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203835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June 10,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226060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SLB N.V. (SLB LIMITED)</w:t>
      </w:r>
    </w:p>
    <w:p>
      <w:pPr>
        <w:spacing w:after="0" w:line="48"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203200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sectPr>
      </w:pPr>
    </w:p>
    <w:p>
      <w:pPr>
        <w:spacing w:after="0" w:line="200" w:lineRule="exact"/>
        <w:rPr>
          <w:sz w:val="24"/>
          <w:szCs w:val="24"/>
          <w:color w:val="auto"/>
        </w:rPr>
      </w:pPr>
    </w:p>
    <w:p>
      <w:pPr>
        <w:spacing w:after="0" w:line="372"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32" w:lineRule="exact"/>
        <w:rPr>
          <w:sz w:val="24"/>
          <w:szCs w:val="24"/>
          <w:color w:val="auto"/>
        </w:rPr>
      </w:pPr>
    </w:p>
    <w:p>
      <w:pPr>
        <w:sectPr>
          <w:pgSz w:w="11900" w:h="16838" w:orient="portrait"/>
          <w:cols w:equalWidth="0" w:num="3">
            <w:col w:w="4624" w:space="720"/>
            <w:col w:w="2720" w:space="720"/>
            <w:col w:w="2240"/>
          </w:cols>
          <w:pgMar w:left="436" w:top="393"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166" w:lineRule="exact"/>
        <w:rPr>
          <w:sz w:val="24"/>
          <w:szCs w:val="24"/>
          <w:color w:val="auto"/>
        </w:rPr>
      </w:pPr>
    </w:p>
    <w:p>
      <w:pPr>
        <w:sectPr>
          <w:pgSz w:w="11900" w:h="16838" w:orient="portrait"/>
          <w:cols w:equalWidth="0" w:num="3">
            <w:col w:w="4444" w:space="720"/>
            <w:col w:w="2760" w:space="720"/>
            <w:col w:w="2380"/>
          </w:cols>
          <w:pgMar w:left="436" w:top="393"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1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 U.S.A . 77056</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93" w:right="439" w:bottom="1440" w:gutter="0" w:footer="0" w:header="0"/>
          <w:type w:val="continuous"/>
        </w:sectPr>
      </w:pPr>
    </w:p>
    <w:p>
      <w:pPr>
        <w:spacing w:after="0" w:line="166"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214630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left="4" w:right="12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20" w:lineRule="exact"/>
        <w:rPr>
          <w:sz w:val="24"/>
          <w:szCs w:val="24"/>
          <w:color w:val="auto"/>
        </w:rPr>
      </w:pPr>
    </w:p>
    <w:p>
      <w:pPr>
        <w:ind w:left="4"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3"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8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9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Arial" w:cs="Arial" w:eastAsia="Arial" w:hAnsi="Arial"/>
          <w:sz w:val="18"/>
          <w:szCs w:val="18"/>
          <w:b w:val="1"/>
          <w:bCs w:val="1"/>
          <w:color w:val="auto"/>
        </w:rPr>
        <w:t>Regulation FD Disclosure.</w:t>
      </w:r>
    </w:p>
    <w:p>
      <w:pPr>
        <w:spacing w:after="0" w:line="104" w:lineRule="exact"/>
        <w:rPr>
          <w:sz w:val="20"/>
          <w:szCs w:val="20"/>
          <w:color w:val="auto"/>
        </w:rPr>
      </w:pPr>
    </w:p>
    <w:p>
      <w:pPr>
        <w:ind w:firstLine="440"/>
        <w:spacing w:after="0"/>
        <w:rPr>
          <w:sz w:val="20"/>
          <w:szCs w:val="20"/>
          <w:color w:val="auto"/>
        </w:rPr>
      </w:pPr>
      <w:r>
        <w:rPr>
          <w:rFonts w:ascii="Arial" w:cs="Arial" w:eastAsia="Arial" w:hAnsi="Arial"/>
          <w:sz w:val="18"/>
          <w:szCs w:val="18"/>
          <w:color w:val="auto"/>
        </w:rPr>
        <w:t>On June 10, 2026, SLB issued a press release announcing that it is hosting its 2026 Digital Investors Day in New York, New York on June 17, 2026. Executive management presentations, including by Olivier Le Peuch, chief executive officer, SLB, and Stephane Biguet, chief financial officer, SLB, will be available on the SLB website as described in the press release, a copy of which is furnished with this Form 8-K as Exhibit 99 and incorporated into this Item 7.01 by reference. In accordance with General Instructions B.2. of Form 8-K, the information in this Item 7.01 will not be deemed “filed” for purposes of Section 18 of the Securities Exchange Act of 1934, as amended, nor will it be deemed incorporated by reference in any filing under the Securities Act of 1933, as amended, except as expressly set forth by specific reference in such a filing.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04" w:lineRule="exact"/>
        <w:rPr>
          <w:sz w:val="20"/>
          <w:szCs w:val="20"/>
          <w:color w:val="auto"/>
        </w:rPr>
      </w:pPr>
    </w:p>
    <w:p>
      <w:pPr>
        <w:ind w:right="20" w:firstLine="440"/>
        <w:spacing w:after="0" w:line="236" w:lineRule="auto"/>
        <w:rPr>
          <w:sz w:val="20"/>
          <w:szCs w:val="20"/>
          <w:color w:val="auto"/>
        </w:rPr>
      </w:pPr>
      <w:r>
        <w:rPr>
          <w:rFonts w:ascii="Arial" w:cs="Arial" w:eastAsia="Arial" w:hAnsi="Arial"/>
          <w:sz w:val="18"/>
          <w:szCs w:val="18"/>
          <w:color w:val="auto"/>
        </w:rPr>
        <w:t>The presentations to be made at SLB’s 2026 Digital Investor Day, as well as other statements we make, contain “forward-looking statements” within the meaning of the federal securities laws, which include any statements that are not historical facts. Such statements often contain words such as “expect,” “may,” “can,” “believe,” “predict,” “plan,” “potential,” “potentially,”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SLB as a whole and for each of its Divisions (and for specified business lines, geographic areas, or technologies within each Division); the benefits of the ChampionX acquisition, including SLB’s ability to integrate the ChampionX business successfully and to achieve anticipated synergies and value creation from the acquisition; oil and natural gas demand and production growth; oil and natural gas prices; forecasts or expectations regarding energy transition and global climate change; improvements in operating procedures and technology; capital expenditures by SLB and the oil and gas industry; our business strategies, including digital and “fit for basin,” as well as the strategies of our customers; our capital allocation plans, including dividend plans and share repurchase programs; our APS projects, joint ventures, and other alliances; the impact of ongoing or escalating conflicts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our customers, and changes in the level of oil and natural gas exploration and development; the results of operations and financial condition of our customers and suppliers; the inability to achieve our financial and performance targets and other forecasts and expectations; the inability to achieve our net-zero carbon emissions goals or interim emissions reduction goals; general economic, geopolitical and business conditions in key regions of the world; foreign currency risk; inflation; changes in monetary policy by governments; tariffs; pricing pressure; weather and seasonal factors; unfavorable effects of health pandemics; availability and cost of raw materials; operational modifications, delays or cancellations; challenges in our supply chain; production declines; the extent of future charges; the inability to recognize efficiencies and other intended benefits from our business strategies and initiatives, such as digital or new energy, as well as our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our most recent Forms 10-K, 10-Q and 8-K filed with or furnished to the SEC. 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the presentations are made as of 17 June 2026, and SLB disclaims any intention or obligation to update publicly or revise such statements, whether as a result of new information, future events, or otherwise.</w:t>
      </w:r>
    </w:p>
    <w:p>
      <w:pPr>
        <w:sectPr>
          <w:pgSz w:w="11900" w:h="16838" w:orient="portrait"/>
          <w:cols w:equalWidth="0" w:num="1">
            <w:col w:w="11000"/>
          </w:cols>
          <w:pgMar w:left="440" w:top="296" w:right="459" w:bottom="1440" w:gutter="0" w:footer="0" w:header="0"/>
        </w:sectPr>
      </w:pPr>
    </w:p>
    <w:bookmarkStart w:id="2" w:name="page3"/>
    <w:bookmarkEnd w:id="2"/>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17"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117"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0000EE"/>
        </w:rPr>
        <w:t>Press Release dated June 10, 2026.</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104  Cover Page Interactive Data File (embedded within the Inline XBRL document).</w:t>
      </w:r>
    </w:p>
    <w:p>
      <w:pPr>
        <w:sectPr>
          <w:pgSz w:w="11900" w:h="16838" w:orient="portrait"/>
          <w:cols w:equalWidth="0" w:num="1">
            <w:col w:w="10023"/>
          </w:cols>
          <w:pgMar w:left="436" w:top="296" w:right="1440"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12"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SLB LIMITED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Samantha Blons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Samantha Blons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June 10, 2026</w:t>
      </w:r>
    </w:p>
    <w:p>
      <w:pPr>
        <w:sectPr>
          <w:pgSz w:w="11900" w:h="16838" w:orient="portrait"/>
          <w:cols w:equalWidth="0" w:num="1">
            <w:col w:w="10840"/>
          </w:cols>
          <w:pgMar w:left="440" w:top="296" w:right="6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5998210</wp:posOffset>
            </wp:positionH>
            <wp:positionV relativeFrom="paragraph">
              <wp:posOffset>163195</wp:posOffset>
            </wp:positionV>
            <wp:extent cx="994410" cy="634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9441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SLB to Host 2026 Digital Investor Day</w:t>
      </w:r>
    </w:p>
    <w:p>
      <w:pPr>
        <w:spacing w:after="0" w:line="104" w:lineRule="exact"/>
        <w:rPr>
          <w:sz w:val="20"/>
          <w:szCs w:val="20"/>
          <w:color w:val="auto"/>
        </w:rPr>
      </w:pPr>
    </w:p>
    <w:p>
      <w:pPr>
        <w:jc w:val="both"/>
        <w:ind w:right="120"/>
        <w:spacing w:after="0" w:line="275" w:lineRule="auto"/>
        <w:rPr>
          <w:sz w:val="20"/>
          <w:szCs w:val="20"/>
          <w:color w:val="auto"/>
        </w:rPr>
      </w:pPr>
      <w:r>
        <w:rPr>
          <w:rFonts w:ascii="Arial" w:cs="Arial" w:eastAsia="Arial" w:hAnsi="Arial"/>
          <w:sz w:val="17"/>
          <w:szCs w:val="17"/>
          <w:b w:val="1"/>
          <w:bCs w:val="1"/>
          <w:color w:val="auto"/>
        </w:rPr>
        <w:t xml:space="preserve">HOUSTON, June 10, 2026 — </w:t>
      </w:r>
      <w:r>
        <w:rPr>
          <w:rFonts w:ascii="Arial" w:cs="Arial" w:eastAsia="Arial" w:hAnsi="Arial"/>
          <w:sz w:val="17"/>
          <w:szCs w:val="17"/>
          <w:color w:val="auto"/>
        </w:rPr>
        <w:t>SLB (NYSE: SLB) will host an Investor Day on Wednesday, June 17, 2026, in New York, where leadership</w:t>
      </w:r>
      <w:r>
        <w:rPr>
          <w:rFonts w:ascii="Arial" w:cs="Arial" w:eastAsia="Arial" w:hAnsi="Arial"/>
          <w:sz w:val="17"/>
          <w:szCs w:val="17"/>
          <w:b w:val="1"/>
          <w:bCs w:val="1"/>
          <w:color w:val="auto"/>
        </w:rPr>
        <w:t xml:space="preserve"> </w:t>
      </w:r>
      <w:r>
        <w:rPr>
          <w:rFonts w:ascii="Arial" w:cs="Arial" w:eastAsia="Arial" w:hAnsi="Arial"/>
          <w:sz w:val="17"/>
          <w:szCs w:val="17"/>
          <w:color w:val="auto"/>
        </w:rPr>
        <w:t>will outline their vision for SLB’s Digital business as digital technologies and AI continue to reshape the energy industry. The presentation will highlight SLB’s integrated digital strategy and portfolio, scalable growth opportunities powered by AI, and financial profile and outlook.</w:t>
      </w:r>
    </w:p>
    <w:p>
      <w:pPr>
        <w:spacing w:after="0" w:line="15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Olivier Le Peuch, chief executive officer, SLB, will present at 9:00 a.m. U.S. Eastern Time (ET), and will discuss SLB’s digital strategy and business outlook. Stephane Biguet, chief financial officer, SLB, will present at approximately 11:00 a.m. ET, and will discuss the financial profile of SLB’s Digital business, the market opportunity and SLB’s 2030 digital ambitions.</w:t>
      </w:r>
    </w:p>
    <w:p>
      <w:pPr>
        <w:spacing w:after="0" w:line="16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Mr. Le Peuch and Mr. Biguet will be joined by divisional leadership, who will provide further insight into Digital’s competitive differentiation supported by its mission-critical platform, driving transformation for customers.</w:t>
      </w:r>
    </w:p>
    <w:p>
      <w:pPr>
        <w:spacing w:after="0" w:line="15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 live webcast of Mr. Biguet’s address, followed by a Q&amp;A session, will begin at approximately 11:00 a.m. ET. The live webcast can be accessed at investorcenter.slb.com/news-events/slb-digital-investor-day. A replay, as well as the presentations and transcripts from the full event, will be available at the same website later that day.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SLB</w:t>
      </w:r>
    </w:p>
    <w:p>
      <w:pPr>
        <w:spacing w:after="0" w:line="212"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SLB (NYSE: SLB) is a global technology company that has driven energy innovation for 100 years. With a global footprint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slb.com.</w:t>
      </w:r>
    </w:p>
    <w:p>
      <w:pPr>
        <w:sectPr>
          <w:pgSz w:w="11900" w:h="16838" w:orient="portrait"/>
          <w:cols w:equalWidth="0" w:num="1">
            <w:col w:w="11020"/>
          </w:cols>
          <w:pgMar w:left="440" w:top="122" w:right="4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Media</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Investors</w:t>
      </w:r>
    </w:p>
    <w:p>
      <w:pPr>
        <w:spacing w:after="0" w:line="16" w:lineRule="exact"/>
        <w:rPr>
          <w:sz w:val="20"/>
          <w:szCs w:val="20"/>
          <w:color w:val="auto"/>
        </w:rPr>
      </w:pPr>
    </w:p>
    <w:p>
      <w:pPr>
        <w:sectPr>
          <w:pgSz w:w="11900" w:h="16838" w:orient="portrait"/>
          <w:cols w:equalWidth="0" w:num="2">
            <w:col w:w="5020" w:space="720"/>
            <w:col w:w="5280"/>
          </w:cols>
          <w:pgMar w:left="440" w:top="122" w:right="4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Josh Byerly – SVP of Global Communications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Moira Duff – Director of External Communications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SLB</w:t>
      </w:r>
    </w:p>
    <w:p>
      <w:pPr>
        <w:spacing w:after="0" w:line="234" w:lineRule="auto"/>
        <w:rPr>
          <w:sz w:val="20"/>
          <w:szCs w:val="20"/>
          <w:color w:val="auto"/>
        </w:rPr>
      </w:pPr>
      <w:r>
        <w:rPr>
          <w:rFonts w:ascii="Arial" w:cs="Arial" w:eastAsia="Arial" w:hAnsi="Arial"/>
          <w:sz w:val="18"/>
          <w:szCs w:val="18"/>
          <w:color w:val="auto"/>
        </w:rPr>
        <w:t>Tel: +1 (713) 375-3407</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media@slb.com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James R. McDonald – SVP of Investor Relations &amp; Industry</w:t>
      </w:r>
    </w:p>
    <w:p>
      <w:pPr>
        <w:spacing w:after="0" w:line="234" w:lineRule="auto"/>
        <w:rPr>
          <w:sz w:val="20"/>
          <w:szCs w:val="20"/>
          <w:color w:val="auto"/>
        </w:rPr>
      </w:pPr>
      <w:r>
        <w:rPr>
          <w:rFonts w:ascii="Arial" w:cs="Arial" w:eastAsia="Arial" w:hAnsi="Arial"/>
          <w:sz w:val="18"/>
          <w:szCs w:val="18"/>
          <w:color w:val="auto"/>
        </w:rPr>
        <w:t>Affairs</w:t>
      </w:r>
    </w:p>
    <w:p>
      <w:pPr>
        <w:spacing w:after="0" w:line="235" w:lineRule="auto"/>
        <w:rPr>
          <w:sz w:val="20"/>
          <w:szCs w:val="20"/>
          <w:color w:val="auto"/>
        </w:rPr>
      </w:pPr>
      <w:r>
        <w:rPr>
          <w:rFonts w:ascii="Arial" w:cs="Arial" w:eastAsia="Arial" w:hAnsi="Arial"/>
          <w:sz w:val="18"/>
          <w:szCs w:val="18"/>
          <w:color w:val="auto"/>
        </w:rPr>
        <w:t>Joy V. Domingo – Director of Investor Relations</w:t>
      </w:r>
    </w:p>
    <w:p>
      <w:pPr>
        <w:spacing w:after="0" w:line="235" w:lineRule="auto"/>
        <w:rPr>
          <w:sz w:val="20"/>
          <w:szCs w:val="20"/>
          <w:color w:val="auto"/>
        </w:rPr>
      </w:pPr>
      <w:r>
        <w:rPr>
          <w:rFonts w:ascii="Arial" w:cs="Arial" w:eastAsia="Arial" w:hAnsi="Arial"/>
          <w:sz w:val="18"/>
          <w:szCs w:val="18"/>
          <w:color w:val="auto"/>
        </w:rPr>
        <w:t>SLB</w:t>
      </w:r>
    </w:p>
    <w:p>
      <w:pPr>
        <w:spacing w:after="0" w:line="235" w:lineRule="auto"/>
        <w:rPr>
          <w:sz w:val="20"/>
          <w:szCs w:val="20"/>
          <w:color w:val="auto"/>
        </w:rPr>
      </w:pPr>
      <w:r>
        <w:rPr>
          <w:rFonts w:ascii="Arial" w:cs="Arial" w:eastAsia="Arial" w:hAnsi="Arial"/>
          <w:sz w:val="18"/>
          <w:szCs w:val="18"/>
          <w:color w:val="auto"/>
        </w:rPr>
        <w:t>Tel: +1 (713) 375-3535</w:t>
      </w:r>
    </w:p>
    <w:p>
      <w:pPr>
        <w:spacing w:after="0"/>
        <w:rPr>
          <w:sz w:val="20"/>
          <w:szCs w:val="20"/>
          <w:color w:val="auto"/>
        </w:rPr>
      </w:pPr>
      <w:r>
        <w:rPr>
          <w:rFonts w:ascii="Arial" w:cs="Arial" w:eastAsia="Arial" w:hAnsi="Arial"/>
          <w:sz w:val="18"/>
          <w:szCs w:val="18"/>
          <w:color w:val="auto"/>
        </w:rPr>
        <w:t>investor-relations@slb.com</w:t>
      </w:r>
    </w:p>
    <w:p>
      <w:pPr>
        <w:spacing w:after="0" w:line="194" w:lineRule="exact"/>
        <w:rPr>
          <w:sz w:val="20"/>
          <w:szCs w:val="20"/>
          <w:color w:val="auto"/>
        </w:rPr>
      </w:pPr>
    </w:p>
    <w:p>
      <w:pPr>
        <w:sectPr>
          <w:pgSz w:w="11900" w:h="16838" w:orient="portrait"/>
          <w:cols w:equalWidth="0" w:num="2">
            <w:col w:w="5020" w:space="720"/>
            <w:col w:w="5280"/>
          </w:cols>
          <w:pgMar w:left="440" w:top="122" w:right="4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slb.com/newsroom</w:t>
      </w:r>
    </w:p>
    <w:sectPr>
      <w:pgSz w:w="11900" w:h="16838" w:orient="portrait"/>
      <w:cols w:equalWidth="0" w:num="1">
        <w:col w:w="11020"/>
      </w:cols>
      <w:pgMar w:left="440" w:top="122"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9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2026-06-10T14:56:48Z</dcterms:created>
  <dcterms:modified xsi:type="dcterms:W3CDTF">2026-06-10T14:56:48Z</dcterms:modified>
</cp:coreProperties>
</file>