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w:t>
      </w: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 April 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2040"/>
          </w:cols>
          <w:pgMar w:left="240" w:top="368" w:right="4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700" w:space="720"/>
            <w:col w:w="2900" w:space="720"/>
            <w:col w:w="2160"/>
          </w:cols>
          <w:pgMar w:left="240" w:top="368" w:right="459" w:bottom="1440" w:gutter="0" w:footer="0" w:header="0"/>
          <w:type w:val="continuous"/>
        </w:sectPr>
      </w:pPr>
    </w:p>
    <w:p>
      <w:pPr>
        <w:jc w:val="center"/>
        <w:ind w:right="-2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200"/>
          </w:cols>
          <w:pgMar w:left="240" w:top="368" w:right="459" w:bottom="1440" w:gutter="0" w:footer="0" w:header="0"/>
          <w:type w:val="continuous"/>
        </w:sectPr>
      </w:pPr>
    </w:p>
    <w:p>
      <w:pPr>
        <w:spacing w:after="0" w:line="15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right="1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right="320" w:firstLine="456"/>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type w:val="continuous"/>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Amended and Restated French Sub Plan for Restricted Units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stockholders of Schlumberger Limited (Schlumberger N.V.), a Curaçao corporation (“Schlumberger”), approved Schlumberger’s amended and restated French Sub Plan for Restricted Units (as amended and restated, the “French Sub Plan”) at the 2018 Annual General Meeting of Stockholders of Schlumberger held on April 4, 2018 (the “Annual Meeting”). The French Sub Plan is a single sub plan established under the Schlumberger 2010 Omnibus Stock Incentive Plan (the “2010 Plan”), the Schlumberger 2013 Omnibus Stock Incentive Plan (the “2013 Plan”) and the Schlumberger 2017 Omnibus Stock Incentive Plan (the “2017 Plan,” and together with the 2010 Plan and the 2013 Plan, the “Omnibus Plans”).</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Stockholder approval of the French Sub Plan is designed to qualify under the so-called “2018 Finance Law” in France, so that restricted stock units and performance stock units that Schlumberger grants under the French Sub Plan to individuals who are subject to taxation under French law (including certain grants previously approved by the Compensation Committee of Schlumberger’s Board of Directors) may qualify as “Free Share Grants,” which are subject to more favorable tax treatment. The foregoing description of the French Sub Plan is qualified in its entirety by reference to the text of the French Sub Plan, which is incorporated herein by reference as Exhibit 10.1 hereto.</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5.07</w:t>
      </w:r>
      <w:r>
        <w:rPr>
          <w:sz w:val="20"/>
          <w:szCs w:val="20"/>
          <w:color w:val="auto"/>
        </w:rPr>
        <w:tab/>
      </w:r>
      <w:r>
        <w:rPr>
          <w:rFonts w:ascii="Arial" w:cs="Arial" w:eastAsia="Arial" w:hAnsi="Arial"/>
          <w:sz w:val="16"/>
          <w:szCs w:val="16"/>
          <w:b w:val="1"/>
          <w:bCs w:val="1"/>
          <w:u w:val="single" w:color="auto"/>
          <w:color w:val="auto"/>
        </w:rPr>
        <w:t>Submission of Matters to a Vote of Security Holders</w:t>
      </w:r>
      <w:r>
        <w:rPr>
          <w:rFonts w:ascii="Arial" w:cs="Arial" w:eastAsia="Arial" w:hAnsi="Arial"/>
          <w:sz w:val="16"/>
          <w:szCs w:val="16"/>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the stockholders of Schlumberger:</w:t>
      </w:r>
    </w:p>
    <w:p>
      <w:pPr>
        <w:spacing w:after="0" w:line="13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1—elected all 11 director nominees;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2—approved, on an advisory basis, Schlumberger’s executive compensation;</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3—approved Schlumberger’s consolidated balance sheet as at December 31, 2017, its consolidated statement of income for the year ended December 31, 2017, and the declarations of dividends by Schlumberger’s Board of Directors in 2017 as reflected in its 2017 Annual Report to Stockholders;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4—ratified the appointment of PricewaterhouseCoopers LLP as the independent auditors of Schlumberger for 2018;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5—approved the amended and restated French Sub Plan for purposes of qualification under French laws.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proposals are described in detail in Schlumberger’s definitive proxy statement for the Annual Meeting, which was filed with the SEC on March 2, 2018 (the “Definitive Proxy Statement”).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are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1—Election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director nominees were elected at the Annual Meeting.</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10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For</w:t>
            </w:r>
          </w:p>
        </w:tc>
        <w:tc>
          <w:tcPr>
            <w:tcW w:w="11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Against</w:t>
            </w:r>
          </w:p>
        </w:tc>
        <w:tc>
          <w:tcPr>
            <w:tcW w:w="10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Abstain</w:t>
            </w:r>
          </w:p>
        </w:tc>
        <w:tc>
          <w:tcPr>
            <w:tcW w:w="1140" w:type="dxa"/>
            <w:vAlign w:val="bottom"/>
          </w:tcPr>
          <w:p>
            <w:pPr>
              <w:jc w:val="right"/>
              <w:ind w:right="253"/>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140" w:type="dxa"/>
            <w:vAlign w:val="bottom"/>
          </w:tcPr>
          <w:p>
            <w:pPr>
              <w:jc w:val="right"/>
              <w:ind w:right="173"/>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Peter L.S. Currie</w:t>
            </w:r>
          </w:p>
        </w:tc>
        <w:tc>
          <w:tcPr>
            <w:tcW w:w="3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1,042,693,560</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22,447,512</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4,793,475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101,669,099</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Miguel M. Galuccio</w:t>
            </w:r>
          </w:p>
        </w:tc>
        <w:tc>
          <w:tcPr>
            <w:tcW w:w="3100" w:type="dxa"/>
            <w:vAlign w:val="bottom"/>
          </w:tcPr>
          <w:p>
            <w:pPr>
              <w:jc w:val="right"/>
              <w:ind w:right="91"/>
              <w:spacing w:after="0"/>
              <w:rPr>
                <w:sz w:val="20"/>
                <w:szCs w:val="20"/>
                <w:color w:val="auto"/>
              </w:rPr>
            </w:pPr>
            <w:r>
              <w:rPr>
                <w:rFonts w:ascii="Arial" w:cs="Arial" w:eastAsia="Arial" w:hAnsi="Arial"/>
                <w:sz w:val="18"/>
                <w:szCs w:val="18"/>
                <w:color w:val="auto"/>
              </w:rPr>
              <w:t>1,059,847,750</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9,269,207</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817,590</w:t>
            </w:r>
          </w:p>
        </w:tc>
        <w:tc>
          <w:tcPr>
            <w:tcW w:w="1140" w:type="dxa"/>
            <w:vAlign w:val="bottom"/>
          </w:tcPr>
          <w:p>
            <w:pPr>
              <w:jc w:val="right"/>
              <w:spacing w:after="0"/>
              <w:rPr>
                <w:sz w:val="20"/>
                <w:szCs w:val="20"/>
                <w:color w:val="auto"/>
              </w:rPr>
            </w:pPr>
            <w:r>
              <w:rPr>
                <w:rFonts w:ascii="Arial" w:cs="Arial" w:eastAsia="Arial" w:hAnsi="Arial"/>
                <w:sz w:val="18"/>
                <w:szCs w:val="18"/>
                <w:color w:val="auto"/>
              </w:rPr>
              <w:t>101,669,099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 Maureen Kempston Darkes</w:t>
            </w:r>
          </w:p>
        </w:tc>
        <w:tc>
          <w:tcPr>
            <w:tcW w:w="3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1,056,493,145</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11,383,693</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2,057,709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101,669,099</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Paal Kibsgaard</w:t>
            </w:r>
          </w:p>
        </w:tc>
        <w:tc>
          <w:tcPr>
            <w:tcW w:w="3100" w:type="dxa"/>
            <w:vAlign w:val="bottom"/>
          </w:tcPr>
          <w:p>
            <w:pPr>
              <w:jc w:val="right"/>
              <w:ind w:right="91"/>
              <w:spacing w:after="0"/>
              <w:rPr>
                <w:sz w:val="20"/>
                <w:szCs w:val="20"/>
                <w:color w:val="auto"/>
              </w:rPr>
            </w:pPr>
            <w:r>
              <w:rPr>
                <w:rFonts w:ascii="Arial" w:cs="Arial" w:eastAsia="Arial" w:hAnsi="Arial"/>
                <w:sz w:val="18"/>
                <w:szCs w:val="18"/>
                <w:color w:val="auto"/>
              </w:rPr>
              <w:t>1,051,443,987</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17,180,852</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1,309,708</w:t>
            </w:r>
          </w:p>
        </w:tc>
        <w:tc>
          <w:tcPr>
            <w:tcW w:w="1140" w:type="dxa"/>
            <w:vAlign w:val="bottom"/>
          </w:tcPr>
          <w:p>
            <w:pPr>
              <w:jc w:val="right"/>
              <w:spacing w:after="0"/>
              <w:rPr>
                <w:sz w:val="20"/>
                <w:szCs w:val="20"/>
                <w:color w:val="auto"/>
              </w:rPr>
            </w:pPr>
            <w:r>
              <w:rPr>
                <w:rFonts w:ascii="Arial" w:cs="Arial" w:eastAsia="Arial" w:hAnsi="Arial"/>
                <w:sz w:val="18"/>
                <w:szCs w:val="18"/>
                <w:color w:val="auto"/>
              </w:rPr>
              <w:t>101,669,099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Nikolay Kudryavtsev</w:t>
            </w:r>
          </w:p>
        </w:tc>
        <w:tc>
          <w:tcPr>
            <w:tcW w:w="3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1,055,226,189</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13,707,642</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1,000,716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101,669,099</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Helge Lund</w:t>
            </w:r>
          </w:p>
        </w:tc>
        <w:tc>
          <w:tcPr>
            <w:tcW w:w="3100" w:type="dxa"/>
            <w:vAlign w:val="bottom"/>
          </w:tcPr>
          <w:p>
            <w:pPr>
              <w:jc w:val="right"/>
              <w:ind w:right="91"/>
              <w:spacing w:after="0"/>
              <w:rPr>
                <w:sz w:val="20"/>
                <w:szCs w:val="20"/>
                <w:color w:val="auto"/>
              </w:rPr>
            </w:pPr>
            <w:r>
              <w:rPr>
                <w:rFonts w:ascii="Arial" w:cs="Arial" w:eastAsia="Arial" w:hAnsi="Arial"/>
                <w:sz w:val="18"/>
                <w:szCs w:val="18"/>
                <w:color w:val="auto"/>
              </w:rPr>
              <w:t>1,063,560,047</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4,440,737</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1,933,763</w:t>
            </w:r>
          </w:p>
        </w:tc>
        <w:tc>
          <w:tcPr>
            <w:tcW w:w="1140" w:type="dxa"/>
            <w:vAlign w:val="bottom"/>
          </w:tcPr>
          <w:p>
            <w:pPr>
              <w:jc w:val="right"/>
              <w:spacing w:after="0"/>
              <w:rPr>
                <w:sz w:val="20"/>
                <w:szCs w:val="20"/>
                <w:color w:val="auto"/>
              </w:rPr>
            </w:pPr>
            <w:r>
              <w:rPr>
                <w:rFonts w:ascii="Arial" w:cs="Arial" w:eastAsia="Arial" w:hAnsi="Arial"/>
                <w:sz w:val="18"/>
                <w:szCs w:val="18"/>
                <w:color w:val="auto"/>
              </w:rPr>
              <w:t>101,669,099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Michael E. Marks</w:t>
            </w:r>
          </w:p>
        </w:tc>
        <w:tc>
          <w:tcPr>
            <w:tcW w:w="3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1,044,378,031</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24,626,767</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929,749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101,669,099</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Indra K. Nooyi</w:t>
            </w:r>
          </w:p>
        </w:tc>
        <w:tc>
          <w:tcPr>
            <w:tcW w:w="3100" w:type="dxa"/>
            <w:vAlign w:val="bottom"/>
          </w:tcPr>
          <w:p>
            <w:pPr>
              <w:jc w:val="right"/>
              <w:ind w:right="91"/>
              <w:spacing w:after="0"/>
              <w:rPr>
                <w:sz w:val="20"/>
                <w:szCs w:val="20"/>
                <w:color w:val="auto"/>
              </w:rPr>
            </w:pPr>
            <w:r>
              <w:rPr>
                <w:rFonts w:ascii="Arial" w:cs="Arial" w:eastAsia="Arial" w:hAnsi="Arial"/>
                <w:sz w:val="18"/>
                <w:szCs w:val="18"/>
                <w:color w:val="auto"/>
              </w:rPr>
              <w:t>1,031,172,154</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36,791,919</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1,970,474</w:t>
            </w:r>
          </w:p>
        </w:tc>
        <w:tc>
          <w:tcPr>
            <w:tcW w:w="1140" w:type="dxa"/>
            <w:vAlign w:val="bottom"/>
          </w:tcPr>
          <w:p>
            <w:pPr>
              <w:jc w:val="right"/>
              <w:spacing w:after="0"/>
              <w:rPr>
                <w:sz w:val="20"/>
                <w:szCs w:val="20"/>
                <w:color w:val="auto"/>
              </w:rPr>
            </w:pPr>
            <w:r>
              <w:rPr>
                <w:rFonts w:ascii="Arial" w:cs="Arial" w:eastAsia="Arial" w:hAnsi="Arial"/>
                <w:sz w:val="18"/>
                <w:szCs w:val="18"/>
                <w:color w:val="auto"/>
              </w:rPr>
              <w:t>101,669,099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Lubna S. Olayan</w:t>
            </w:r>
          </w:p>
        </w:tc>
        <w:tc>
          <w:tcPr>
            <w:tcW w:w="3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1,054,010,118</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13,007,175</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2,917,254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101,669,099</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Leo Rafael Reif</w:t>
            </w:r>
          </w:p>
        </w:tc>
        <w:tc>
          <w:tcPr>
            <w:tcW w:w="3100" w:type="dxa"/>
            <w:vAlign w:val="bottom"/>
          </w:tcPr>
          <w:p>
            <w:pPr>
              <w:jc w:val="right"/>
              <w:ind w:right="91"/>
              <w:spacing w:after="0"/>
              <w:rPr>
                <w:sz w:val="20"/>
                <w:szCs w:val="20"/>
                <w:color w:val="auto"/>
              </w:rPr>
            </w:pPr>
            <w:r>
              <w:rPr>
                <w:rFonts w:ascii="Arial" w:cs="Arial" w:eastAsia="Arial" w:hAnsi="Arial"/>
                <w:sz w:val="18"/>
                <w:szCs w:val="18"/>
                <w:color w:val="auto"/>
              </w:rPr>
              <w:t>1,038,882,891</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30,133,333</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918,323</w:t>
            </w:r>
          </w:p>
        </w:tc>
        <w:tc>
          <w:tcPr>
            <w:tcW w:w="1140" w:type="dxa"/>
            <w:vAlign w:val="bottom"/>
          </w:tcPr>
          <w:p>
            <w:pPr>
              <w:jc w:val="right"/>
              <w:spacing w:after="0"/>
              <w:rPr>
                <w:sz w:val="20"/>
                <w:szCs w:val="20"/>
                <w:color w:val="auto"/>
              </w:rPr>
            </w:pPr>
            <w:r>
              <w:rPr>
                <w:rFonts w:ascii="Arial" w:cs="Arial" w:eastAsia="Arial" w:hAnsi="Arial"/>
                <w:sz w:val="18"/>
                <w:szCs w:val="18"/>
                <w:color w:val="auto"/>
              </w:rPr>
              <w:t>101,669,099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Henri Seydoux</w:t>
            </w:r>
          </w:p>
        </w:tc>
        <w:tc>
          <w:tcPr>
            <w:tcW w:w="3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1,059,734,797</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8,151,482</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2,048,268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101,669,099</w:t>
            </w:r>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2—Advisory Resolution to Approve Executive Compensation</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advisory resolution to approve Schlumberger’s executive compensation, as described in the Definitive Proxy Statement, was approved with approximately 66.2% of the votes cast at the Annual Meeting voting in favor of the advisory resolution.</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Against</w:t>
            </w:r>
          </w:p>
        </w:tc>
        <w:tc>
          <w:tcPr>
            <w:tcW w:w="2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Abstain</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3"/>
              </w:rPr>
              <w:t>Broker Non-votes</w:t>
            </w:r>
          </w:p>
        </w:tc>
      </w:tr>
      <w:tr>
        <w:trPr>
          <w:trHeight w:val="210"/>
        </w:trPr>
        <w:tc>
          <w:tcPr>
            <w:tcW w:w="230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rPr>
              <w:t>669,398,218</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rPr>
              <w:t>342,143,502</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rPr>
              <w:t>58,392,827</w:t>
            </w: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rPr>
              <w:t>101,669,099</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3—Financial Statements and Dividends</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The proposal to approve Schlumberger’s consolidated balance sheet as at December 31, 2017, its consolidated statement of income for the year ended December 31, 2017, and the declarations of dividends by Schlumberger’s Board of Directors in 2017 as reflected in its 2017 Annual Report to Stockholders, as described in the Definitive Proxy Statement, was approved with approximately 99.8% of the votes cast at the Annual Meeting voting for the proposal.</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Against</w:t>
            </w:r>
          </w:p>
        </w:tc>
        <w:tc>
          <w:tcPr>
            <w:tcW w:w="2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Abstain</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3"/>
              </w:rPr>
              <w:t>Broker Non-votes</w:t>
            </w:r>
          </w:p>
        </w:tc>
      </w:tr>
      <w:tr>
        <w:trPr>
          <w:trHeight w:val="210"/>
        </w:trPr>
        <w:tc>
          <w:tcPr>
            <w:tcW w:w="230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rPr>
              <w:t>1,163,791,392</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2,599,072</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5,213,182</w:t>
            </w: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rPr>
              <w:t>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4—Independent Registered Public Accounting Firm</w:t>
      </w:r>
    </w:p>
    <w:p>
      <w:pPr>
        <w:spacing w:after="0" w:line="117"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The proposal to ratify the appointment of PricewaterhouseCoopers LLP as the independent auditors of Schlumberger for 2018, as described in the Definitive Proxy Statement, was approved with approximately 97.9% of the votes cast at the Annual Meeting voting for the proposal.</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Against</w:t>
            </w:r>
          </w:p>
        </w:tc>
        <w:tc>
          <w:tcPr>
            <w:tcW w:w="2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Abstain</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3"/>
              </w:rPr>
              <w:t>Broker Non-votes</w:t>
            </w:r>
          </w:p>
        </w:tc>
      </w:tr>
      <w:tr>
        <w:trPr>
          <w:trHeight w:val="210"/>
        </w:trPr>
        <w:tc>
          <w:tcPr>
            <w:tcW w:w="230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rPr>
              <w:t>1,145,795,084</w:t>
            </w:r>
          </w:p>
        </w:tc>
        <w:tc>
          <w:tcPr>
            <w:tcW w:w="1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24,527,023</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1,281,539</w:t>
            </w: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rPr>
              <w:t>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Adoption of Amended and restated French Sub Plan</w:t>
      </w:r>
    </w:p>
    <w:p>
      <w:pPr>
        <w:spacing w:after="0" w:line="11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proposal to approve Schlumberger’s French Sub Plan under its Omnibus Plans for purposes of qualification under French law, as described in the Definitive Proxy Statement, was approved with approximately 97.4% of the votes cast at the Annual Meeting voting for the proposal.</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8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7"/>
              </w:rPr>
              <w:t>For</w:t>
            </w:r>
          </w:p>
        </w:tc>
        <w:tc>
          <w:tcPr>
            <w:tcW w:w="16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3"/>
              </w:rPr>
              <w:t>Against</w:t>
            </w:r>
          </w:p>
        </w:tc>
        <w:tc>
          <w:tcPr>
            <w:tcW w:w="2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Abstain</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3"/>
              </w:rPr>
              <w:t>Broker Non-votes</w:t>
            </w:r>
          </w:p>
        </w:tc>
      </w:tr>
      <w:tr>
        <w:trPr>
          <w:trHeight w:val="210"/>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1,042,019,171</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88"/>
              </w:rPr>
              <w:t>25,997,147</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rPr>
              <w:t>1,918,229</w:t>
            </w:r>
          </w:p>
        </w:tc>
        <w:tc>
          <w:tcPr>
            <w:tcW w:w="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rPr>
              <w:t>101,669,099</w:t>
            </w:r>
          </w:p>
        </w:tc>
      </w:tr>
      <w:tr>
        <w:trPr>
          <w:trHeight w:val="540"/>
        </w:trPr>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2720" w:type="dxa"/>
            <w:vAlign w:val="bottom"/>
            <w:gridSpan w:val="4"/>
          </w:tcPr>
          <w:p>
            <w:pPr>
              <w:ind w:left="40"/>
              <w:spacing w:after="0"/>
              <w:rPr>
                <w:sz w:val="20"/>
                <w:szCs w:val="20"/>
                <w:color w:val="auto"/>
              </w:rPr>
            </w:pPr>
            <w:r>
              <w:rPr>
                <w:rFonts w:ascii="Arial" w:cs="Arial" w:eastAsia="Arial" w:hAnsi="Arial"/>
                <w:sz w:val="18"/>
                <w:szCs w:val="18"/>
                <w:b w:val="1"/>
                <w:bCs w:val="1"/>
                <w:color w:val="auto"/>
                <w:w w:val="89"/>
              </w:rPr>
              <w:t>Financial Statements and Exhibits.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45"/>
        </w:trPr>
        <w:tc>
          <w:tcPr>
            <w:tcW w:w="1340" w:type="dxa"/>
            <w:vAlign w:val="bottom"/>
            <w:gridSpan w:val="3"/>
          </w:tcPr>
          <w:p>
            <w:pPr>
              <w:ind w:left="460"/>
              <w:spacing w:after="0"/>
              <w:rPr>
                <w:sz w:val="20"/>
                <w:szCs w:val="20"/>
                <w:color w:val="auto"/>
              </w:rPr>
            </w:pPr>
            <w:r>
              <w:rPr>
                <w:rFonts w:ascii="Arial" w:cs="Arial" w:eastAsia="Arial" w:hAnsi="Arial"/>
                <w:sz w:val="18"/>
                <w:szCs w:val="18"/>
                <w:color w:val="auto"/>
                <w:w w:val="95"/>
              </w:rPr>
              <w:t>(d) Exhibits</w:t>
            </w:r>
          </w:p>
        </w:tc>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pacing w:after="0" w:line="337" w:lineRule="exact"/>
        <w:rPr>
          <w:sz w:val="20"/>
          <w:szCs w:val="20"/>
          <w:color w:val="auto"/>
        </w:rPr>
      </w:pPr>
    </w:p>
    <w:p>
      <w:pPr>
        <w:ind w:left="700" w:right="540" w:hanging="688"/>
        <w:spacing w:after="0" w:line="277"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9">
        <w:r>
          <w:rPr>
            <w:rFonts w:ascii="Arial" w:cs="Arial" w:eastAsia="Arial" w:hAnsi="Arial"/>
            <w:sz w:val="18"/>
            <w:szCs w:val="18"/>
            <w:u w:val="single" w:color="auto"/>
            <w:color w:val="0000EE"/>
          </w:rPr>
          <w:t>Amended and Restated French Sub Plan for Restricted Units (incorporated by reference to Appendix B of Schlumberger’s Definitive Proxy</w:t>
        </w:r>
      </w:hyperlink>
      <w:r>
        <w:rPr>
          <w:rFonts w:ascii="Arial" w:cs="Arial" w:eastAsia="Arial" w:hAnsi="Arial"/>
          <w:sz w:val="18"/>
          <w:szCs w:val="18"/>
          <w:u w:val="single" w:color="auto"/>
          <w:color w:val="0000EE"/>
        </w:rPr>
        <w:t xml:space="preserve"> </w:t>
      </w:r>
      <w:hyperlink r:id="rId19">
        <w:r>
          <w:rPr>
            <w:rFonts w:ascii="Arial" w:cs="Arial" w:eastAsia="Arial" w:hAnsi="Arial"/>
            <w:sz w:val="18"/>
            <w:szCs w:val="18"/>
            <w:u w:val="single" w:color="auto"/>
            <w:color w:val="0000EE"/>
          </w:rPr>
          <w:t>Statement filed with the SEC on March 2, 2018).</w:t>
        </w:r>
      </w:hyperlink>
    </w:p>
    <w:p>
      <w:pPr>
        <w:sectPr>
          <w:pgSz w:w="11900" w:h="16838" w:orient="portrait"/>
          <w:cols w:equalWidth="0" w:num="1">
            <w:col w:w="11280"/>
          </w:cols>
          <w:pgMar w:left="240" w:top="274"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4, 2018</w:t>
      </w:r>
    </w:p>
    <w:sectPr>
      <w:pgSz w:w="11900" w:h="16838" w:orient="portrait"/>
      <w:cols w:equalWidth="0" w:num="1">
        <w:col w:w="10800"/>
      </w:cols>
      <w:pgMar w:left="240" w:top="27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9" Type="http://schemas.openxmlformats.org/officeDocument/2006/relationships/hyperlink" Target="http://www.sec.gov/Archives/edgar/data/87347/000130817918000016/lslb2018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2019-12-28T23:44:37Z</dcterms:created>
  <dcterms:modified xsi:type="dcterms:W3CDTF">2019-12-28T23:44:37Z</dcterms:modified>
</cp:coreProperties>
</file>