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24, 2020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2" w:lineRule="exact"/>
        <w:rPr>
          <w:sz w:val="24"/>
          <w:szCs w:val="24"/>
          <w:color w:val="auto"/>
        </w:rPr>
      </w:pPr>
    </w:p>
    <w:p>
      <w:pPr>
        <w:ind w:left="440" w:right="180" w:hanging="439"/>
        <w:spacing w:after="0" w:line="284" w:lineRule="auto"/>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fiscal year ended December 31, 2019, which was filed with the U.S. Securities and Exchange Commission on January 22, 2020. Such disclosure appears on page 64 of the Annual Report on Form 10-K and is incorporated by reference herein.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Saul R.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Saul R. Laureles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sectPr>
      <w:pgSz w:w="11900" w:h="16838" w:orient="portrait"/>
      <w:cols w:equalWidth="0" w:num="1">
        <w:col w:w="11020"/>
      </w:cols>
      <w:pgMar w:left="440"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2020-01-24T11:42:46Z</dcterms:created>
  <dcterms:modified xsi:type="dcterms:W3CDTF">2020-01-24T11:42:46Z</dcterms:modified>
</cp:coreProperties>
</file>