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media/image6.jpeg" ContentType="image/jpeg"/>
  <Override PartName="/word/media/image7.jpeg" ContentType="image/jpeg"/>
  <Override PartName="/word/media/image8.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jc w:val="center"/>
        <w:rPr/>
      </w:pPr>
      <w:bookmarkStart w:id="0" w:name="d786549d425.htm"/>
      <w:bookmarkStart w:id="1" w:name="ksd786549d425"/>
      <w:bookmarkEnd w:id="0"/>
      <w:bookmarkEnd w:id="1"/>
      <w:r>
        <w:rPr/>
        <w:drawing>
          <wp:inline distT="0" distB="0" distL="0" distR="0">
            <wp:extent cx="3657600" cy="2057400"/>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April 2, 2024 SLB to Acquire ChampionX in an All-Stock Transaction Filed by Schlumberger N.V. pursuant to Rule 425 under the Securities Act of 1933 and deemed filed pursuant to Rule 14a-12 under the Securities Exchange Act of 1934 Subject Company: ChampionX Corporation Filer's SEC File No.: 001-38441 Date: April 2, 2024</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3"/>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Disclaimer Forward-Looking Statements This communication contains forward-looking statements within the meaning of the Private Securities Litigation Reform Act of 1995, Section 27A of the Securities Act of 1933, as amended, and Section 21E of the Exchange Act of 1934, as amended. Such forward-looking statements include statements relating to the proposed transaction between SLB and ChampionX, including statements regarding the benefits of the transaction and the anticipated timing of the transaction, and information regarding the businesses of SLB and ChampionX, including expectations regarding outlook and all underlying assumptions, SLB’s and ChampionX’s objectives, plans and strategies, information relating to operating trends in markets where SLB and ChampionX operate, statements that contain projections of results of operations or of financial condition, and all other statements other than statements of historical fact that address activities, events or developments that SLB or ChampionX intends, expects, projects, believes or anticipates will or may occur in the future. Such statements are based on management’s beliefs and assumptions made based on information currently available to management. All statements in this communication, other than statements of historical fact, are forward-looking statements that may be identified by the use of the words “outlook,” “guidance,” “expects,” “believes,” “anticipates,” “should,” “estimates,” “intends,” “plans,” “seeks,” “targets,” “may,” “can,” “believe,” “predict,” “potential,” “projected,” “projections,” “precursor,” “forecast,” “ambition,” “goal,” “scheduled,” “think,” “could,” “would,” “will,” “see,” “likely,” and other similar expressions or variations, but not all forward-looking statements include such words. These forward-looking statements involve known and unknown risks and uncertainties, and which may cause SLB’s or ChampionX’s actual results and performance to be materially different from those expressed or implied in the forward-looking statements. Factors and risks that may impact future results and performance include, but are not limited to, those factors and risks described in Part I, “Item 1. Business”, “Item 1A. Risk Factors”, and “Item 7. Management’s Discussion and Analysis of Financial Condition and Results of Operations” in SLB’s Annual Report on Form 10-K for the year ended December 31, 2023, as filed with the SEC on January 24, 2024, and Part 1, “Item 1A. Risk Factors” in ChampionX’s Annual Report on Form 10-K for the year ended December 31, 2023 filed with the SEC on February 6, 2024, and each of their respective, subsequent Quarterly Reports on Form 10-Q and Current Reports on Form 8-K. These include, but are not limited to, and in each case as a possible result of the proposed transaction on each of SLB and ChampionX: the ultimate outcome of the proposed transaction between SLB and ChampionX, including the possibility that ChampionX stockholders will not adopt the merger agreement in respect of the proposed transaction; the effect of the announcement of the proposed transaction; the ability to operate the SLB and ChampionX respective businesses, including business disruptions; difficulties in retaining and hiring key personnel and employees; the ability to maintain favorable business relationships with customers, suppliers and other business partners; the terms and timing of the proposed transaction; the occurrence of any event, change or other circumstance that could give rise to the termination of the proposed transaction; the anticipated or actual tax treatment of the proposed transaction; the ability to satisfy closing conditions to the completion of the proposed transaction (including the adoption of the merger agreement in respect of the proposed transaction by ChampionX stockholders); other risks related to the completion of the proposed transaction and actions related thereto; the ability of SLB and ChampionX to integrate the business successfully and to achieve anticipated synergies and value creation from the proposed transaction; changes in demand for SLB’s or ChampionX’s products and services; global market, political, and economic conditions, including in the countries in which SLB and ChampionX operate; the ability to secure government regulatory approvals on the terms expected, at all or in a timely manner; the extent of growth of the oilfield services market generally, including for chemical solutions in production and midstream operations; the global macro-economic environment, including headwinds caused by inflation, rising interest rates, unfavorable currency exchange rates, and potential recessionary or depressionary conditions; the impact of shifts in prices or margins of the products that SLB or ChampionX sells or services that SLB or ChampionX provides, including due to a shift towards lower margin products or services; cyber-attacks, information security and data privacy; the impact of public health crises, such as pandemics (including COVID-19) and epidemics and any related company or government policies and actions to protect the health and safety of individuals or government policies or actions to maintain the functioning of national or global economies and markets; trends in crude oil and natural gas prices, including trends in chemical solutions across the oil and natural gas industries, that may affect the drilling and production activity, profitability and financial stability of SLB’s and ChampionX’s customers and therefore the demand for, and profitability of, their products and services; litigation and regulatory proceedings, including any proceedings that may be instituted against SLB or ChampionX related to the proposed transaction; failure to effectively and timely address energy transitions that could adversely affect the businesses of SLB or ChampionX, results of operations, and cash flows of SLB or ChampionX; and disruptions of SLB’s or ChampionX’s information technology systems. These risks, as well as other risks related to the proposed transaction, will be included in the Form S-4 and proxy statement/prospectus that will be filed with the SEC in connection with the proposed transaction. While the list of factors presented here is, and the list of factors to be presented in the registration statement on Form S-4 are, considered representative, no such list should be considered to be a complete statement of all potential risks and uncertainties. For additional information about other factors that could cause actual results to differ materially from those described in the forward-looking statements, please refer to SLB’s and ChampionX’s respective periodic reports and other filings with the SEC, including the risk factors identified in SLB’s and ChampionX’s Annual Reports on Form 10-K, respectively, and SLB’s and ChampionX’s subsequent Quarterly Reports on Form 10-Q. The forward-looking statements included in this communication are made only as of the date hereof. Neither SLB nor ChampionX undertakes any obligation to update any forward-looking statements to reflect subsequent events or circumstances, except as required by law.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4"/>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Disclaimer Additional Information about the Transaction and Where to Find It In connection with the proposed transaction, SLB intends to file with the Securities and Exchange Commission (the “SEC”) a registration statement on Form S-4 (the “Form S-4”) that will include a proxy statement of ChampionX and that also constitutes a prospectus of SLB with respect to the shares of SLB to be issued in the proposed transaction (the “proxy statement/prospectus”). Each of SLB and ChampionX may also file other relevant documents with the SEC regarding the proposed transaction. This document is not a substitute for the Form S-4 or proxy statement/prospectus or any other document that SLB or ChampionX may file with the SEC. The definitive proxy statement/prospectus (if and when available) will be mailed to stockholders of ChampionX. INVESTORS AND SECURITY HOLDERS ARE URGED TO READ THE REGISTRATION STATEMENT, THE PROXY STATEMENT/PROSPECTUS AND ANY OTHER RELEVANT DOCUMENTS THAT MAY BE FILED WITH THE SEC, AS WELL AS ANY AMENDMENTS OR SUPPLEMENTS TO THESE DOCUMENTS, CAREFULLY AND IN THEIR ENTIRETY IF AND WHEN THEY BECOME AVAILABLE BECAUSE THEY CONTAIN OR WILL CONTAIN IMPORTANT INFORMATION ABOUT THE PROPOSED TRANSACTION. Investors and security holders will be able to obtain free copies of the Form S-4 and the proxy statement/prospectus (if and when available) and other documents containing important information about SLB, ChampionX and the proposed transaction, once such documents are filed with the SEC through the website maintained by the SEC at http://www.sec.gov. Copies of the documents filed with, or furnished to, the SEC by SLB will be available free of charge on SLB’s website at https://investorcenter.slb.com. Copies of the documents filed with, or furnished to, the SEC by ChampionX will be available free of charge on ChampionX’s website at https://investors.championx.com. The information included on, or accessible through, SLB’s or ChampionX’s website is not incorporated by reference into this communication. Participants in the Solicitation SLB, ChampionX and certain of their respective directors and executive officers may be deemed to be participants in the solicitation of proxies in respect of the proposed transaction. Information about the directors and executive officers of SLB, including a description of their direct or indirect interests, by security holdings or otherwise, is set forth in SLB’s proxy statement for its 2024 Annual General Meeting of Stockholders (https://www.sec.gov/ix?doc=/Archives/edgar/data/0000087347/000130817924000033/lslb2024_def14a.htm), which was filed with the SEC on February 22, 2024, including under the sections entitled “Director Compensation”, “Security Ownership by Management and Our Board”, “Compensation Discussion and Analysis”, “2023 Compensation Decisions and Results”, “Elements of 2023 Total Compensation”, “Long-Term Equity Incentive Awards”, “Executive Compensation Tables”, “Grants of Plan-Based Awards in 2023”, “Outstanding Equity Awards at Year-End 2023”, “Potential Payments Upon Termination or Change in Control” and “Pay vs. Performance Comparison”, and SLB’s Annual Report on Form 10-K for the fiscal year ended December 31, 2023 (https://www.sec.gov/ix?doc=/Archives/edgar/data/0000087347/000095017024006884/slb-20231231.htm), which was filed with the SEC on January 24,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Information about the directors and executive officers of ChampionX, including a description of their direct or indirect interests, by security holdings or otherwise, is set forth in ChampionX’s proxy statement for its 2023 Annual Meeting of Stockholders (https://www.sec.gov/ix?doc=/Archives/edgar/data/1723089/000172308923000073/championx-20230327.htm), which was filed with the SEC on March 29, 2023, including under the sections entitled “Executive Compensation Highlights”, “Director Compensation”, “2022 Director Compensation Table”, “Security Ownership of Certain Beneficial Owners and Management”, “Compensation Discussion and Analysis”, “Key Compensation Overview for 2022”, “Summary of 2022 Compensation for Named Executive Officers”, “Elements of Our Executive Compensation Program”, “Long-Term Equity Incentive Compensation”, “Additional Executive Compensation Governance Considerations”, “Executive Compensation Tables”, “Potential Payments upon Termination or Change-in-Control”, “Pay-versus-Performance” and ChampionX’s Annual Report on Form 10-K for the fiscal year ended December 31, 2023 (https://www.sec.gov/ix?doc=/Archives/edgar/data/1723089/000172308924000011/championx-20231231.htm), which was filed with the SEC on February 6, 2024, including under the sections entitled “Item 10. Directors, Executive Officers and Corporate Governance”, “Item 11. Executive Compensation”, “Item 12. Security Ownership of Certain Beneficial Owners and Management and Related Stockholder Matters” and “Item 13. Certain Relationships and Related Transactions, and Director Independence”. Other information regarding the participants in the proxy solicitation and a description of their direct and indirect interests, by security holdings or otherwise, will be contained in the Form S-4 and the proxy statement/prospectus and other relevant materials to be filed with the SEC regarding the proposed transaction when such materials become available. Investors should read the Form S-4 and the proxy statement/prospectus carefully when available before making any voting or investment decisions. You may obtain free copies of these documents from SLB or ChampionX using the sources indicated above.</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5"/>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Announcement Highlights 1 2 3 Acquisition strengthens SLB as a leader in production space, with world-class production chemicals and artificial lift technologies Combined portfolios will drive customer value through deep industry expertise and digital integration, as well as enhanced equipment life and production optimization ChampionX shareholders to receive 0.735 SLB shares for each share of ChampionX SLB expects synergies to reach approximately $400 million on an annualized basis within three years   SLB will increase its total returns to shareholders to a target of $3 billion in 2024; sets target for returns to shareholders of $4B in 2025 4 5</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6"/>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 xml:space="preserve">As assets age, chemical intensity and usage will accelerate and additional lift solutions will be required throughout the life of the well Digital leadership, domain expertise and integration capabilities can increase production and longevity of assets, structurally lowering cost and carbon Production chemicals is asset light with strong cash generation and resilient across industry cycles, driven by growing OpEx spending Production market is important to SLB’s core growth strategy CapEx spend, % OpEx spend, % Upstream E&amp;P market spend Source: Rystad Ucube (March 2024) OpEx excludes SG&amp;A and taxes </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6" name="Image6"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Image6" descr=""/>
                    <pic:cNvPicPr>
                      <a:picLocks noChangeAspect="1" noChangeArrowheads="1"/>
                    </pic:cNvPicPr>
                  </pic:nvPicPr>
                  <pic:blipFill>
                    <a:blip r:embed="rId7"/>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A production chemistry industry leader with associated manufacturing capabilities Comprehensive artificial lift, drill bit cutters, and emissions monitoring offerings Strong North America presence that is complementary to the existing SLB business Broad digital offering with a large installed base of connected production equipment ChampionX’s product portfolio and geographical footprint are complementary to SLB 7,200+ Employees 60+ Countries 40+ Manufacturing Locations 400+ Scientists and Technologists Revenue by Segment FY 2023 64% Production Chemicals Technologies 27% Production and Automation Technologies 6% Drilling Technologies 3% Reservoir Chemicals</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7" name="Image7"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7" descr=""/>
                    <pic:cNvPicPr>
                      <a:picLocks noChangeAspect="1" noChangeArrowheads="1"/>
                    </pic:cNvPicPr>
                  </pic:nvPicPr>
                  <pic:blipFill>
                    <a:blip r:embed="rId8"/>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CHX SLB Strengthening the Core Acquisition strengthens SLB as a leader in production space, with world-class production chemicals and artificial lift technologies Creating efficiencies through integration Life of field solutions create value at scale by addressing challenges in subsurface, wellbore, and surface processing Expanding our global offering Expands market access internationally leveraging SLB’s global reach, strengthens position in North America Delivering value through digital Combines production optimization, asset integrity, and emissions monitoring technologies to lower the cost and carbon producing assets Combined, we will be a  global leader in production  Source: Spears OMR Jan-2024, SLB Actuals 2023 Production Chemicals Revenue 2023 Artificial Lift Revenue SLB CHX</w:t>
      </w:r>
      <w:r>
        <w:br w:type="page"/>
      </w:r>
    </w:p>
    <w:p>
      <w:pPr>
        <w:pStyle w:val="HorizontalLine"/>
        <w:pBdr>
          <w:bottom w:val="double" w:sz="6" w:space="0" w:color="808080"/>
        </w:pBdr>
        <w:bidi w:val="0"/>
        <w:jc w:val="left"/>
        <w:rPr/>
      </w:pPr>
      <w:r>
        <w:rPr/>
      </w:r>
    </w:p>
    <w:p>
      <w:pPr>
        <w:pStyle w:val="TextBody"/>
        <w:bidi w:val="0"/>
        <w:spacing w:before="0" w:after="0"/>
        <w:jc w:val="center"/>
        <w:rPr/>
      </w:pPr>
      <w:r>
        <w:rPr/>
        <w:drawing>
          <wp:inline distT="0" distB="0" distL="0" distR="0">
            <wp:extent cx="3657600" cy="2057400"/>
            <wp:effectExtent l="0" t="0" r="0" b="0"/>
            <wp:docPr id="8" name="Image8"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Image8" descr=""/>
                    <pic:cNvPicPr>
                      <a:picLocks noChangeAspect="1" noChangeArrowheads="1"/>
                    </pic:cNvPicPr>
                  </pic:nvPicPr>
                  <pic:blipFill>
                    <a:blip r:embed="rId9"/>
                    <a:stretch>
                      <a:fillRect/>
                    </a:stretch>
                  </pic:blipFill>
                  <pic:spPr bwMode="auto">
                    <a:xfrm>
                      <a:off x="0" y="0"/>
                      <a:ext cx="3657600" cy="2057400"/>
                    </a:xfrm>
                    <a:prstGeom prst="rect">
                      <a:avLst/>
                    </a:prstGeom>
                  </pic:spPr>
                </pic:pic>
              </a:graphicData>
            </a:graphic>
          </wp:inline>
        </w:drawing>
      </w:r>
    </w:p>
    <w:p>
      <w:pPr>
        <w:pStyle w:val="TextBody"/>
        <w:bidi w:val="0"/>
        <w:spacing w:before="0" w:after="0"/>
        <w:jc w:val="left"/>
        <w:rPr>
          <w:rFonts w:ascii="Times New Roman" w:hAnsi="Times New Roman"/>
          <w:color w:val="FFFFFF"/>
          <w:sz w:val="2"/>
        </w:rPr>
      </w:pPr>
      <w:r>
        <w:rPr>
          <w:rFonts w:ascii="Times New Roman" w:hAnsi="Times New Roman"/>
          <w:color w:val="FFFFFF"/>
          <w:sz w:val="2"/>
        </w:rPr>
        <w:t>Reminder: Business as usual Slides and FAQ will be shared following this call Accelerates SLB’s strategy Affirms commitment to the Core Complements SLB portfolio and footprint Creates value for shareholders Strengthens SLB as a leader in production Key takeaways for managers</w:t>
      </w:r>
    </w:p>
    <w:sectPr>
      <w:type w:val="nextPage"/>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image" Target="media/image2.jpeg"/><Relationship Id="rId4" Type="http://schemas.openxmlformats.org/officeDocument/2006/relationships/image" Target="media/image3.jpeg"/><Relationship Id="rId5" Type="http://schemas.openxmlformats.org/officeDocument/2006/relationships/image" Target="media/image4.jpeg"/><Relationship Id="rId6" Type="http://schemas.openxmlformats.org/officeDocument/2006/relationships/image" Target="media/image5.jpeg"/><Relationship Id="rId7" Type="http://schemas.openxmlformats.org/officeDocument/2006/relationships/image" Target="media/image6.jpeg"/><Relationship Id="rId8" Type="http://schemas.openxmlformats.org/officeDocument/2006/relationships/image" Target="media/image7.jpeg"/><Relationship Id="rId9" Type="http://schemas.openxmlformats.org/officeDocument/2006/relationships/image" Target="media/image8.jpeg"/><Relationship Id="rId10" Type="http://schemas.openxmlformats.org/officeDocument/2006/relationships/fontTable" Target="fontTable.xml"/><Relationship Id="rId1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Pages>
  <Words>2299</Words>
  <Characters>14095</Characters>
  <CharactersWithSpaces>16392</CharactersWithSpaces>
  <Paragraphs>16</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425</dc:title>
</cp:coreProperties>
</file>