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20"/>
        <w:spacing w:after="0"/>
        <w:rPr>
          <w:sz w:val="20"/>
          <w:szCs w:val="20"/>
          <w:color w:val="auto"/>
        </w:rPr>
      </w:pPr>
      <w:r>
        <w:rPr>
          <w:rFonts w:ascii="Arial" w:cs="Arial" w:eastAsia="Arial" w:hAnsi="Arial"/>
          <w:sz w:val="13"/>
          <w:szCs w:val="13"/>
          <w:b w:val="1"/>
          <w:bCs w:val="1"/>
          <w:color w:val="auto"/>
        </w:rPr>
        <w:t>Filed Pursuant to Rule 424(b)(3)</w:t>
      </w:r>
    </w:p>
    <w:p>
      <w:pPr>
        <w:spacing w:after="0" w:line="15" w:lineRule="exact"/>
        <w:rPr>
          <w:sz w:val="24"/>
          <w:szCs w:val="24"/>
          <w:color w:val="auto"/>
        </w:rPr>
      </w:pPr>
    </w:p>
    <w:p>
      <w:pPr>
        <w:ind w:left="6220"/>
        <w:spacing w:after="0"/>
        <w:rPr>
          <w:sz w:val="20"/>
          <w:szCs w:val="20"/>
          <w:color w:val="auto"/>
        </w:rPr>
      </w:pPr>
      <w:r>
        <w:rPr>
          <w:rFonts w:ascii="Arial" w:cs="Arial" w:eastAsia="Arial" w:hAnsi="Arial"/>
          <w:sz w:val="13"/>
          <w:szCs w:val="13"/>
          <w:b w:val="1"/>
          <w:bCs w:val="1"/>
          <w:color w:val="auto"/>
        </w:rPr>
        <w:t>Registration No.333-295427</w:t>
      </w:r>
    </w:p>
    <w:p>
      <w:pPr>
        <w:ind w:left="420"/>
        <w:spacing w:after="0"/>
        <w:rPr>
          <w:sz w:val="20"/>
          <w:szCs w:val="20"/>
          <w:color w:val="auto"/>
        </w:rPr>
      </w:pPr>
      <w:r>
        <w:rPr>
          <w:rFonts w:ascii="Arial" w:cs="Arial" w:eastAsia="Arial" w:hAnsi="Arial"/>
          <w:sz w:val="11"/>
          <w:szCs w:val="11"/>
          <w:b w:val="1"/>
          <w:bCs w:val="1"/>
          <w:color w:val="auto"/>
        </w:rPr>
        <w:t>PROSPECTUS SUPPLEMENT</w:t>
      </w:r>
    </w:p>
    <w:p>
      <w:pPr>
        <w:ind w:left="420"/>
        <w:spacing w:after="0"/>
        <w:rPr>
          <w:sz w:val="20"/>
          <w:szCs w:val="20"/>
          <w:color w:val="auto"/>
        </w:rPr>
      </w:pPr>
      <w:r>
        <w:rPr>
          <w:rFonts w:ascii="Arial" w:cs="Arial" w:eastAsia="Arial" w:hAnsi="Arial"/>
          <w:sz w:val="11"/>
          <w:szCs w:val="11"/>
          <w:b w:val="1"/>
          <w:bCs w:val="1"/>
          <w:color w:val="auto"/>
        </w:rPr>
        <w:t>(To Prospectus dated April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51435</wp:posOffset>
            </wp:positionV>
            <wp:extent cx="936625" cy="567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36625" cy="567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Schlumberger Investment S.A.</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US$500,000,000 4.550% Senior Notes due 2031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US$500,000,000 4.800% Senior Notes due 2033</w:t>
      </w:r>
    </w:p>
    <w:p>
      <w:pPr>
        <w:jc w:val="center"/>
        <w:spacing w:after="0"/>
        <w:rPr>
          <w:sz w:val="20"/>
          <w:szCs w:val="20"/>
          <w:color w:val="auto"/>
        </w:rPr>
      </w:pPr>
      <w:r>
        <w:rPr>
          <w:rFonts w:ascii="Arial" w:cs="Arial" w:eastAsia="Arial" w:hAnsi="Arial"/>
          <w:sz w:val="16"/>
          <w:szCs w:val="16"/>
          <w:b w:val="1"/>
          <w:bCs w:val="1"/>
          <w:color w:val="auto"/>
        </w:rPr>
        <w:t>US$1,000,000,000 5.150% Senior Notes due 2036</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Fully and unconditionally guaranteed by</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SLB N.V. (SLB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2315210</wp:posOffset>
            </wp:positionH>
            <wp:positionV relativeFrom="paragraph">
              <wp:posOffset>172720</wp:posOffset>
            </wp:positionV>
            <wp:extent cx="108966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660" cy="635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420" w:right="459" w:firstLine="327"/>
        <w:spacing w:after="0" w:line="236" w:lineRule="auto"/>
        <w:rPr>
          <w:sz w:val="20"/>
          <w:szCs w:val="20"/>
          <w:color w:val="auto"/>
        </w:rPr>
      </w:pPr>
      <w:r>
        <w:rPr>
          <w:rFonts w:ascii="Arial" w:cs="Arial" w:eastAsia="Arial" w:hAnsi="Arial"/>
          <w:sz w:val="11"/>
          <w:szCs w:val="11"/>
          <w:color w:val="auto"/>
        </w:rPr>
        <w:t>Schlumberger Investment S.A., a public limited liability company (</w:t>
      </w:r>
      <w:r>
        <w:rPr>
          <w:rFonts w:ascii="Arial" w:cs="Arial" w:eastAsia="Arial" w:hAnsi="Arial"/>
          <w:sz w:val="11"/>
          <w:szCs w:val="11"/>
          <w:i w:val="1"/>
          <w:iCs w:val="1"/>
          <w:color w:val="auto"/>
        </w:rPr>
        <w:t>société anonyme</w:t>
      </w:r>
      <w:r>
        <w:rPr>
          <w:rFonts w:ascii="Arial" w:cs="Arial" w:eastAsia="Arial" w:hAnsi="Arial"/>
          <w:sz w:val="11"/>
          <w:szCs w:val="11"/>
          <w:color w:val="auto"/>
        </w:rPr>
        <w:t>) incorporated and existing under the laws of the Grand Duchy of Luxembourg, having its registered office located at 5, Place de la Gare, L-1616 Luxembourg, Grand Duchy of Luxembourg, and registered with the Luxembourg Trade and Companies Register (Registre de Commerce et des Sociétés, Luxembourg) under number B 163.122 (the “Company”) is offering US$500,000,000 principal amount of its 4.550% Senior Notes due 2031 (the “2031 Notes”), US$500,000,000 principal amount of its 4.800% Senior Notes due 2033 (the “2033 Notes”) and US$1,000,000,000 principal amount of its 5.150% Senior Notes due 2036 (the “2036 Notes” and, together with the 2031 Notes and the 2033 Notes, the “Notes”).</w:t>
      </w:r>
    </w:p>
    <w:p>
      <w:pPr>
        <w:spacing w:after="0" w:line="141" w:lineRule="exact"/>
        <w:rPr>
          <w:sz w:val="24"/>
          <w:szCs w:val="24"/>
          <w:color w:val="auto"/>
        </w:rPr>
      </w:pPr>
    </w:p>
    <w:p>
      <w:pPr>
        <w:ind w:left="420" w:right="559" w:firstLine="327"/>
        <w:spacing w:after="0" w:line="305" w:lineRule="auto"/>
        <w:rPr>
          <w:sz w:val="20"/>
          <w:szCs w:val="20"/>
          <w:color w:val="auto"/>
        </w:rPr>
      </w:pPr>
      <w:r>
        <w:rPr>
          <w:rFonts w:ascii="Arial" w:cs="Arial" w:eastAsia="Arial" w:hAnsi="Arial"/>
          <w:sz w:val="10"/>
          <w:szCs w:val="10"/>
          <w:color w:val="auto"/>
        </w:rPr>
        <w:t>The 2031 Notes will bear interest at a rate of 4.550% per year. The 2033 Notes will bear interest at a rate of 4.800% per year. The 2036 Notes will bear interest at a rate of 5.150% per year. The Company will pay interest on the Notes semi-annually on May 7 and November 7 of each year, beginning on November 7, 2026.</w:t>
      </w:r>
    </w:p>
    <w:p>
      <w:pPr>
        <w:spacing w:after="0" w:line="109" w:lineRule="exact"/>
        <w:rPr>
          <w:sz w:val="24"/>
          <w:szCs w:val="24"/>
          <w:color w:val="auto"/>
        </w:rPr>
      </w:pPr>
    </w:p>
    <w:p>
      <w:pPr>
        <w:jc w:val="both"/>
        <w:ind w:left="420" w:right="519" w:firstLine="327"/>
        <w:spacing w:after="0" w:line="242" w:lineRule="auto"/>
        <w:rPr>
          <w:sz w:val="20"/>
          <w:szCs w:val="20"/>
          <w:color w:val="auto"/>
        </w:rPr>
      </w:pPr>
      <w:r>
        <w:rPr>
          <w:rFonts w:ascii="Arial" w:cs="Arial" w:eastAsia="Arial" w:hAnsi="Arial"/>
          <w:sz w:val="11"/>
          <w:szCs w:val="11"/>
          <w:color w:val="auto"/>
        </w:rPr>
        <w:t>The Notes will be fully and unconditionally guaranteed (the “Guarantees”) on a senior unsecured basis by SLB N.V. (SLB Limited), formerly known as Schlumberger Limited (the “Guarantor”), the ultimate parent of the Company. The Guarantees will be the unsecured and unsubordinated obligations of the Guarantor and will rank equally with the Guarantor’s other unsecured and unsubordinated indebtedness from time to time outstanding.</w:t>
      </w:r>
    </w:p>
    <w:p>
      <w:pPr>
        <w:spacing w:after="0" w:line="139" w:lineRule="exact"/>
        <w:rPr>
          <w:sz w:val="24"/>
          <w:szCs w:val="24"/>
          <w:color w:val="auto"/>
        </w:rPr>
      </w:pPr>
    </w:p>
    <w:p>
      <w:pPr>
        <w:ind w:left="420" w:right="459" w:firstLine="327"/>
        <w:spacing w:after="0" w:line="255" w:lineRule="auto"/>
        <w:rPr>
          <w:sz w:val="20"/>
          <w:szCs w:val="20"/>
          <w:color w:val="auto"/>
        </w:rPr>
      </w:pPr>
      <w:r>
        <w:rPr>
          <w:rFonts w:ascii="Arial" w:cs="Arial" w:eastAsia="Arial" w:hAnsi="Arial"/>
          <w:sz w:val="11"/>
          <w:szCs w:val="11"/>
          <w:color w:val="auto"/>
        </w:rPr>
        <w:t>The Company may redeem some or all of the Notes at any time and from time to time at the redemption prices described in this prospectus supplement, plus accrued and unpaid interest to the redemption date.</w:t>
      </w:r>
    </w:p>
    <w:p>
      <w:pPr>
        <w:spacing w:after="0" w:line="133" w:lineRule="exact"/>
        <w:rPr>
          <w:sz w:val="24"/>
          <w:szCs w:val="24"/>
          <w:color w:val="auto"/>
        </w:rPr>
      </w:pPr>
    </w:p>
    <w:p>
      <w:pPr>
        <w:ind w:left="420" w:right="659" w:firstLine="327"/>
        <w:spacing w:after="0" w:line="255" w:lineRule="auto"/>
        <w:rPr>
          <w:sz w:val="20"/>
          <w:szCs w:val="20"/>
          <w:color w:val="auto"/>
        </w:rPr>
      </w:pPr>
      <w:r>
        <w:rPr>
          <w:rFonts w:ascii="Arial" w:cs="Arial" w:eastAsia="Arial" w:hAnsi="Arial"/>
          <w:sz w:val="11"/>
          <w:szCs w:val="11"/>
          <w:color w:val="auto"/>
        </w:rPr>
        <w:t>The Notes will be the unsecured and unsubordinated obligations of the Company and will rank equally with its other unsecured and unsubordinated indebtedness from time to time outstanding.</w:t>
      </w:r>
    </w:p>
    <w:p>
      <w:pPr>
        <w:spacing w:after="0" w:line="133" w:lineRule="exact"/>
        <w:rPr>
          <w:sz w:val="24"/>
          <w:szCs w:val="24"/>
          <w:color w:val="auto"/>
        </w:rPr>
      </w:pPr>
    </w:p>
    <w:p>
      <w:pPr>
        <w:ind w:left="740"/>
        <w:spacing w:after="0"/>
        <w:rPr>
          <w:sz w:val="20"/>
          <w:szCs w:val="20"/>
          <w:color w:val="auto"/>
        </w:rPr>
      </w:pPr>
      <w:r>
        <w:rPr>
          <w:rFonts w:ascii="Arial" w:cs="Arial" w:eastAsia="Arial" w:hAnsi="Arial"/>
          <w:sz w:val="11"/>
          <w:szCs w:val="11"/>
          <w:color w:val="auto"/>
        </w:rPr>
        <w:t>The Notes will not be listed on any securities exchange. Currently, there is no public market for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2315210</wp:posOffset>
            </wp:positionH>
            <wp:positionV relativeFrom="paragraph">
              <wp:posOffset>165735</wp:posOffset>
            </wp:positionV>
            <wp:extent cx="108966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660" cy="6350"/>
                    </a:xfrm>
                    <a:prstGeom prst="rect">
                      <a:avLst/>
                    </a:prstGeom>
                    <a:noFill/>
                  </pic:spPr>
                </pic:pic>
              </a:graphicData>
            </a:graphic>
          </wp:anchor>
        </w:drawing>
      </w:r>
    </w:p>
    <w:p>
      <w:pPr>
        <w:spacing w:after="0" w:line="397" w:lineRule="exact"/>
        <w:rPr>
          <w:sz w:val="24"/>
          <w:szCs w:val="24"/>
          <w:color w:val="auto"/>
        </w:rPr>
      </w:pPr>
    </w:p>
    <w:p>
      <w:pPr>
        <w:ind w:left="740"/>
        <w:spacing w:after="0"/>
        <w:rPr>
          <w:sz w:val="20"/>
          <w:szCs w:val="20"/>
          <w:color w:val="auto"/>
        </w:rPr>
      </w:pPr>
      <w:r>
        <w:rPr>
          <w:rFonts w:ascii="Arial" w:cs="Arial" w:eastAsia="Arial" w:hAnsi="Arial"/>
          <w:sz w:val="13"/>
          <w:szCs w:val="13"/>
          <w:b w:val="1"/>
          <w:bCs w:val="1"/>
          <w:color w:val="auto"/>
        </w:rPr>
        <w:t>Investing in the Notes involves risks. See “</w:t>
      </w:r>
      <w:r>
        <w:rPr>
          <w:rFonts w:ascii="Arial" w:cs="Arial" w:eastAsia="Arial" w:hAnsi="Arial"/>
          <w:sz w:val="13"/>
          <w:szCs w:val="13"/>
          <w:b w:val="1"/>
          <w:bCs w:val="1"/>
          <w:u w:val="single" w:color="auto"/>
          <w:color w:val="0000EE"/>
        </w:rPr>
        <w:t>Risk Factors”</w:t>
      </w:r>
      <w:r>
        <w:rPr>
          <w:rFonts w:ascii="Arial" w:cs="Arial" w:eastAsia="Arial" w:hAnsi="Arial"/>
          <w:sz w:val="13"/>
          <w:szCs w:val="13"/>
          <w:b w:val="1"/>
          <w:bCs w:val="1"/>
          <w:color w:val="auto"/>
        </w:rPr>
        <w:t xml:space="preserve"> beginning on page S-7.</w:t>
      </w:r>
    </w:p>
    <w:p>
      <w:pPr>
        <w:spacing w:after="0" w:line="170" w:lineRule="exact"/>
        <w:rPr>
          <w:sz w:val="24"/>
          <w:szCs w:val="24"/>
          <w:color w:val="auto"/>
        </w:rPr>
      </w:pPr>
    </w:p>
    <w:p>
      <w:pPr>
        <w:ind w:left="420" w:right="539" w:firstLine="327"/>
        <w:spacing w:after="0" w:line="317" w:lineRule="auto"/>
        <w:rPr>
          <w:sz w:val="20"/>
          <w:szCs w:val="20"/>
          <w:color w:val="auto"/>
        </w:rPr>
      </w:pPr>
      <w:r>
        <w:rPr>
          <w:rFonts w:ascii="Arial" w:cs="Arial" w:eastAsia="Arial" w:hAnsi="Arial"/>
          <w:sz w:val="10"/>
          <w:szCs w:val="10"/>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2315210</wp:posOffset>
            </wp:positionH>
            <wp:positionV relativeFrom="paragraph">
              <wp:posOffset>129540</wp:posOffset>
            </wp:positionV>
            <wp:extent cx="108966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660" cy="6350"/>
                    </a:xfrm>
                    <a:prstGeom prst="rect">
                      <a:avLst/>
                    </a:prstGeom>
                    <a:noFill/>
                  </pic:spPr>
                </pic:pic>
              </a:graphicData>
            </a:graphic>
          </wp:anchor>
        </w:drawing>
      </w:r>
    </w:p>
    <w:p>
      <w:pPr>
        <w:spacing w:after="0" w:line="393" w:lineRule="exact"/>
        <w:rPr>
          <w:sz w:val="24"/>
          <w:szCs w:val="24"/>
          <w:color w:val="auto"/>
        </w:rPr>
      </w:pPr>
    </w:p>
    <w:tbl>
      <w:tblPr>
        <w:tblLayout w:type="fixed"/>
        <w:tblInd w:w="420" w:type="dxa"/>
        <w:tblCellMar>
          <w:top w:w="0" w:type="dxa"/>
          <w:left w:w="0" w:type="dxa"/>
          <w:bottom w:w="0" w:type="dxa"/>
          <w:right w:w="0" w:type="dxa"/>
        </w:tblCellMar>
      </w:tblPr>
      <w:tr>
        <w:trPr>
          <w:trHeight w:val="113"/>
        </w:trPr>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3"/>
          </w:tcPr>
          <w:p>
            <w:pPr>
              <w:jc w:val="right"/>
              <w:ind w:right="508"/>
              <w:spacing w:after="0"/>
              <w:rPr>
                <w:sz w:val="20"/>
                <w:szCs w:val="20"/>
                <w:color w:val="auto"/>
              </w:rPr>
            </w:pPr>
            <w:r>
              <w:rPr>
                <w:rFonts w:ascii="Arial" w:cs="Arial" w:eastAsia="Arial" w:hAnsi="Arial"/>
                <w:sz w:val="9"/>
                <w:szCs w:val="9"/>
                <w:b w:val="1"/>
                <w:bCs w:val="1"/>
                <w:color w:val="auto"/>
              </w:rPr>
              <w:t>2031 Notes</w:t>
            </w: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3"/>
          </w:tcPr>
          <w:p>
            <w:pPr>
              <w:jc w:val="right"/>
              <w:ind w:right="508"/>
              <w:spacing w:after="0"/>
              <w:rPr>
                <w:sz w:val="20"/>
                <w:szCs w:val="20"/>
                <w:color w:val="auto"/>
              </w:rPr>
            </w:pPr>
            <w:r>
              <w:rPr>
                <w:rFonts w:ascii="Arial" w:cs="Arial" w:eastAsia="Arial" w:hAnsi="Arial"/>
                <w:sz w:val="9"/>
                <w:szCs w:val="9"/>
                <w:b w:val="1"/>
                <w:bCs w:val="1"/>
                <w:color w:val="auto"/>
              </w:rPr>
              <w:t>2033 Notes</w:t>
            </w: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3"/>
          </w:tcPr>
          <w:p>
            <w:pPr>
              <w:jc w:val="right"/>
              <w:ind w:right="548"/>
              <w:spacing w:after="0"/>
              <w:rPr>
                <w:sz w:val="20"/>
                <w:szCs w:val="20"/>
                <w:color w:val="auto"/>
              </w:rPr>
            </w:pPr>
            <w:r>
              <w:rPr>
                <w:rFonts w:ascii="Arial" w:cs="Arial" w:eastAsia="Arial" w:hAnsi="Arial"/>
                <w:sz w:val="9"/>
                <w:szCs w:val="9"/>
                <w:b w:val="1"/>
                <w:bCs w:val="1"/>
                <w:color w:val="auto"/>
              </w:rPr>
              <w:t>2036 Notes</w:t>
            </w:r>
          </w:p>
        </w:tc>
        <w:tc>
          <w:tcPr>
            <w:tcW w:w="0" w:type="dxa"/>
            <w:vAlign w:val="bottom"/>
          </w:tcPr>
          <w:p>
            <w:pPr>
              <w:spacing w:after="0"/>
              <w:rPr>
                <w:sz w:val="1"/>
                <w:szCs w:val="1"/>
                <w:color w:val="auto"/>
              </w:rPr>
            </w:pPr>
          </w:p>
        </w:tc>
      </w:tr>
      <w:tr>
        <w:trPr>
          <w:trHeight w:val="90"/>
        </w:trPr>
        <w:tc>
          <w:tcPr>
            <w:tcW w:w="2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Borders>
              <w:top w:val="single" w:sz="8" w:color="auto"/>
            </w:tcBorders>
          </w:tcPr>
          <w:p>
            <w:pPr>
              <w:spacing w:after="0" w:line="91" w:lineRule="exact"/>
              <w:rPr>
                <w:sz w:val="20"/>
                <w:szCs w:val="20"/>
                <w:color w:val="auto"/>
              </w:rPr>
            </w:pPr>
            <w:r>
              <w:rPr>
                <w:rFonts w:ascii="Arial" w:cs="Arial" w:eastAsia="Arial" w:hAnsi="Arial"/>
                <w:sz w:val="9"/>
                <w:szCs w:val="9"/>
                <w:b w:val="1"/>
                <w:bCs w:val="1"/>
                <w:color w:val="auto"/>
                <w:w w:val="97"/>
              </w:rPr>
              <w:t>Per Note</w:t>
            </w:r>
          </w:p>
        </w:tc>
        <w:tc>
          <w:tcPr>
            <w:tcW w:w="1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248"/>
              <w:spacing w:after="0" w:line="91" w:lineRule="exact"/>
              <w:rPr>
                <w:sz w:val="20"/>
                <w:szCs w:val="20"/>
                <w:color w:val="auto"/>
              </w:rPr>
            </w:pPr>
            <w:r>
              <w:rPr>
                <w:rFonts w:ascii="Arial" w:cs="Arial" w:eastAsia="Arial" w:hAnsi="Arial"/>
                <w:sz w:val="9"/>
                <w:szCs w:val="9"/>
                <w:b w:val="1"/>
                <w:bCs w:val="1"/>
                <w:color w:val="auto"/>
              </w:rPr>
              <w:t>Total</w:t>
            </w:r>
          </w:p>
        </w:tc>
        <w:tc>
          <w:tcPr>
            <w:tcW w:w="320" w:type="dxa"/>
            <w:vAlign w:val="bottom"/>
          </w:tcPr>
          <w:p>
            <w:pPr>
              <w:spacing w:after="0"/>
              <w:rPr>
                <w:sz w:val="7"/>
                <w:szCs w:val="7"/>
                <w:color w:val="auto"/>
              </w:rPr>
            </w:pPr>
          </w:p>
        </w:tc>
        <w:tc>
          <w:tcPr>
            <w:tcW w:w="380" w:type="dxa"/>
            <w:vAlign w:val="bottom"/>
            <w:tcBorders>
              <w:top w:val="single" w:sz="8" w:color="auto"/>
            </w:tcBorders>
          </w:tcPr>
          <w:p>
            <w:pPr>
              <w:spacing w:after="0" w:line="91" w:lineRule="exact"/>
              <w:rPr>
                <w:sz w:val="20"/>
                <w:szCs w:val="20"/>
                <w:color w:val="auto"/>
              </w:rPr>
            </w:pPr>
            <w:r>
              <w:rPr>
                <w:rFonts w:ascii="Arial" w:cs="Arial" w:eastAsia="Arial" w:hAnsi="Arial"/>
                <w:sz w:val="9"/>
                <w:szCs w:val="9"/>
                <w:b w:val="1"/>
                <w:bCs w:val="1"/>
                <w:color w:val="auto"/>
                <w:w w:val="97"/>
              </w:rPr>
              <w:t>Per Note</w:t>
            </w:r>
          </w:p>
        </w:tc>
        <w:tc>
          <w:tcPr>
            <w:tcW w:w="1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248"/>
              <w:spacing w:after="0" w:line="91" w:lineRule="exact"/>
              <w:rPr>
                <w:sz w:val="20"/>
                <w:szCs w:val="20"/>
                <w:color w:val="auto"/>
              </w:rPr>
            </w:pPr>
            <w:r>
              <w:rPr>
                <w:rFonts w:ascii="Arial" w:cs="Arial" w:eastAsia="Arial" w:hAnsi="Arial"/>
                <w:sz w:val="9"/>
                <w:szCs w:val="9"/>
                <w:b w:val="1"/>
                <w:bCs w:val="1"/>
                <w:color w:val="auto"/>
              </w:rPr>
              <w:t>Total</w:t>
            </w:r>
          </w:p>
        </w:tc>
        <w:tc>
          <w:tcPr>
            <w:tcW w:w="320" w:type="dxa"/>
            <w:vAlign w:val="bottom"/>
          </w:tcPr>
          <w:p>
            <w:pPr>
              <w:spacing w:after="0"/>
              <w:rPr>
                <w:sz w:val="7"/>
                <w:szCs w:val="7"/>
                <w:color w:val="auto"/>
              </w:rPr>
            </w:pPr>
          </w:p>
        </w:tc>
        <w:tc>
          <w:tcPr>
            <w:tcW w:w="520" w:type="dxa"/>
            <w:vAlign w:val="bottom"/>
            <w:tcBorders>
              <w:top w:val="single" w:sz="8" w:color="auto"/>
            </w:tcBorders>
            <w:gridSpan w:val="2"/>
          </w:tcPr>
          <w:p>
            <w:pPr>
              <w:jc w:val="right"/>
              <w:ind w:right="140"/>
              <w:spacing w:after="0" w:line="91" w:lineRule="exact"/>
              <w:rPr>
                <w:sz w:val="20"/>
                <w:szCs w:val="20"/>
                <w:color w:val="auto"/>
              </w:rPr>
            </w:pPr>
            <w:r>
              <w:rPr>
                <w:rFonts w:ascii="Arial" w:cs="Arial" w:eastAsia="Arial" w:hAnsi="Arial"/>
                <w:sz w:val="9"/>
                <w:szCs w:val="9"/>
                <w:b w:val="1"/>
                <w:bCs w:val="1"/>
                <w:color w:val="auto"/>
                <w:w w:val="97"/>
              </w:rPr>
              <w:t>Per Note</w:t>
            </w:r>
          </w:p>
        </w:tc>
        <w:tc>
          <w:tcPr>
            <w:tcW w:w="28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jc w:val="right"/>
              <w:ind w:right="288"/>
              <w:spacing w:after="0" w:line="91" w:lineRule="exact"/>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20"/>
        </w:trPr>
        <w:tc>
          <w:tcPr>
            <w:tcW w:w="2400" w:type="dxa"/>
            <w:vAlign w:val="bottom"/>
            <w:vMerge w:val="restart"/>
            <w:shd w:val="clear" w:color="auto" w:fill="CCEEFF"/>
          </w:tcPr>
          <w:p>
            <w:pPr>
              <w:spacing w:after="0" w:line="131" w:lineRule="exact"/>
              <w:rPr>
                <w:sz w:val="20"/>
                <w:szCs w:val="20"/>
                <w:color w:val="auto"/>
              </w:rPr>
            </w:pPr>
            <w:r>
              <w:rPr>
                <w:rFonts w:ascii="Arial" w:cs="Arial" w:eastAsia="Arial" w:hAnsi="Arial"/>
                <w:sz w:val="10"/>
                <w:szCs w:val="10"/>
                <w:color w:val="auto"/>
              </w:rPr>
              <w:t>Public Offering Price</w:t>
            </w:r>
            <w:r>
              <w:rPr>
                <w:rFonts w:ascii="Arial" w:cs="Arial" w:eastAsia="Arial" w:hAnsi="Arial"/>
                <w:sz w:val="15"/>
                <w:szCs w:val="15"/>
                <w:color w:val="auto"/>
                <w:vertAlign w:val="superscript"/>
              </w:rPr>
              <w:t>(1)</w:t>
            </w:r>
          </w:p>
        </w:tc>
        <w:tc>
          <w:tcPr>
            <w:tcW w:w="30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400" w:type="dxa"/>
            <w:vAlign w:val="bottom"/>
            <w:vMerge w:val="continue"/>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520" w:type="dxa"/>
            <w:vAlign w:val="bottom"/>
            <w:gridSpan w:val="2"/>
            <w:shd w:val="clear" w:color="auto" w:fill="CCEEFF"/>
          </w:tcPr>
          <w:p>
            <w:pPr>
              <w:jc w:val="right"/>
              <w:ind w:right="40"/>
              <w:spacing w:after="0" w:line="111" w:lineRule="exact"/>
              <w:rPr>
                <w:sz w:val="20"/>
                <w:szCs w:val="20"/>
                <w:color w:val="auto"/>
              </w:rPr>
            </w:pPr>
            <w:r>
              <w:rPr>
                <w:rFonts w:ascii="Arial" w:cs="Arial" w:eastAsia="Arial" w:hAnsi="Arial"/>
                <w:sz w:val="11"/>
                <w:szCs w:val="11"/>
                <w:color w:val="auto"/>
              </w:rPr>
              <w:t>99.916%</w:t>
            </w:r>
          </w:p>
        </w:tc>
        <w:tc>
          <w:tcPr>
            <w:tcW w:w="26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w w:val="93"/>
              </w:rPr>
              <w:t>US$</w:t>
            </w: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w w:val="94"/>
              </w:rPr>
              <w:t>499,580,000</w:t>
            </w:r>
          </w:p>
        </w:tc>
        <w:tc>
          <w:tcPr>
            <w:tcW w:w="320" w:type="dxa"/>
            <w:vAlign w:val="bottom"/>
            <w:vMerge w:val="continue"/>
            <w:shd w:val="clear" w:color="auto" w:fill="CCEEFF"/>
          </w:tcPr>
          <w:p>
            <w:pPr>
              <w:spacing w:after="0"/>
              <w:rPr>
                <w:sz w:val="9"/>
                <w:szCs w:val="9"/>
                <w:color w:val="auto"/>
              </w:rPr>
            </w:pPr>
          </w:p>
        </w:tc>
        <w:tc>
          <w:tcPr>
            <w:tcW w:w="500" w:type="dxa"/>
            <w:vAlign w:val="bottom"/>
            <w:gridSpan w:val="2"/>
            <w:shd w:val="clear" w:color="auto" w:fill="CCEEFF"/>
          </w:tcPr>
          <w:p>
            <w:pPr>
              <w:jc w:val="right"/>
              <w:ind w:right="20"/>
              <w:spacing w:after="0" w:line="111" w:lineRule="exact"/>
              <w:rPr>
                <w:sz w:val="20"/>
                <w:szCs w:val="20"/>
                <w:color w:val="auto"/>
              </w:rPr>
            </w:pPr>
            <w:r>
              <w:rPr>
                <w:rFonts w:ascii="Arial" w:cs="Arial" w:eastAsia="Arial" w:hAnsi="Arial"/>
                <w:sz w:val="11"/>
                <w:szCs w:val="11"/>
                <w:color w:val="auto"/>
              </w:rPr>
              <w:t>99.730%</w:t>
            </w:r>
          </w:p>
        </w:tc>
        <w:tc>
          <w:tcPr>
            <w:tcW w:w="30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w w:val="83"/>
              </w:rPr>
              <w:t>US$</w:t>
            </w: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w w:val="94"/>
              </w:rPr>
              <w:t>498,650,000</w:t>
            </w:r>
          </w:p>
        </w:tc>
        <w:tc>
          <w:tcPr>
            <w:tcW w:w="320" w:type="dxa"/>
            <w:vAlign w:val="bottom"/>
            <w:vMerge w:val="continue"/>
            <w:shd w:val="clear" w:color="auto" w:fill="CCEEFF"/>
          </w:tcPr>
          <w:p>
            <w:pPr>
              <w:spacing w:after="0"/>
              <w:rPr>
                <w:sz w:val="9"/>
                <w:szCs w:val="9"/>
                <w:color w:val="auto"/>
              </w:rPr>
            </w:pPr>
          </w:p>
        </w:tc>
        <w:tc>
          <w:tcPr>
            <w:tcW w:w="520" w:type="dxa"/>
            <w:vAlign w:val="bottom"/>
            <w:gridSpan w:val="2"/>
            <w:shd w:val="clear" w:color="auto" w:fill="CCEEFF"/>
          </w:tcPr>
          <w:p>
            <w:pPr>
              <w:jc w:val="right"/>
              <w:ind w:right="40"/>
              <w:spacing w:after="0" w:line="111" w:lineRule="exact"/>
              <w:rPr>
                <w:sz w:val="20"/>
                <w:szCs w:val="20"/>
                <w:color w:val="auto"/>
              </w:rPr>
            </w:pPr>
            <w:r>
              <w:rPr>
                <w:rFonts w:ascii="Arial" w:cs="Arial" w:eastAsia="Arial" w:hAnsi="Arial"/>
                <w:sz w:val="11"/>
                <w:szCs w:val="11"/>
                <w:color w:val="auto"/>
              </w:rPr>
              <w:t>99.861%</w:t>
            </w:r>
          </w:p>
        </w:tc>
        <w:tc>
          <w:tcPr>
            <w:tcW w:w="28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w w:val="83"/>
              </w:rPr>
              <w:t>US$</w:t>
            </w:r>
          </w:p>
        </w:tc>
        <w:tc>
          <w:tcPr>
            <w:tcW w:w="640" w:type="dxa"/>
            <w:vAlign w:val="bottom"/>
            <w:tcBorders>
              <w:right w:val="single" w:sz="8" w:color="CCEEFF"/>
            </w:tcBorders>
            <w:shd w:val="clear" w:color="auto" w:fill="CCEEFF"/>
          </w:tcPr>
          <w:p>
            <w:pPr>
              <w:jc w:val="right"/>
              <w:spacing w:after="0" w:line="111" w:lineRule="exact"/>
              <w:rPr>
                <w:sz w:val="20"/>
                <w:szCs w:val="20"/>
                <w:color w:val="auto"/>
              </w:rPr>
            </w:pPr>
            <w:r>
              <w:rPr>
                <w:rFonts w:ascii="Arial" w:cs="Arial" w:eastAsia="Arial" w:hAnsi="Arial"/>
                <w:sz w:val="11"/>
                <w:szCs w:val="11"/>
                <w:color w:val="auto"/>
                <w:w w:val="94"/>
              </w:rPr>
              <w:t>998,610,000</w:t>
            </w:r>
          </w:p>
        </w:tc>
        <w:tc>
          <w:tcPr>
            <w:tcW w:w="0" w:type="dxa"/>
            <w:vAlign w:val="bottom"/>
          </w:tcPr>
          <w:p>
            <w:pPr>
              <w:spacing w:after="0"/>
              <w:rPr>
                <w:sz w:val="1"/>
                <w:szCs w:val="1"/>
                <w:color w:val="auto"/>
              </w:rPr>
            </w:pPr>
          </w:p>
        </w:tc>
      </w:tr>
      <w:tr>
        <w:trPr>
          <w:trHeight w:val="120"/>
        </w:trPr>
        <w:tc>
          <w:tcPr>
            <w:tcW w:w="2400" w:type="dxa"/>
            <w:vAlign w:val="bottom"/>
          </w:tcPr>
          <w:p>
            <w:pPr>
              <w:spacing w:after="0" w:line="121" w:lineRule="exact"/>
              <w:rPr>
                <w:sz w:val="20"/>
                <w:szCs w:val="20"/>
                <w:color w:val="auto"/>
              </w:rPr>
            </w:pPr>
            <w:r>
              <w:rPr>
                <w:rFonts w:ascii="Arial" w:cs="Arial" w:eastAsia="Arial" w:hAnsi="Arial"/>
                <w:sz w:val="11"/>
                <w:szCs w:val="11"/>
                <w:color w:val="auto"/>
              </w:rPr>
              <w:t>Underwriting Discount</w:t>
            </w:r>
          </w:p>
        </w:tc>
        <w:tc>
          <w:tcPr>
            <w:tcW w:w="820" w:type="dxa"/>
            <w:vAlign w:val="bottom"/>
            <w:gridSpan w:val="3"/>
          </w:tcPr>
          <w:p>
            <w:pPr>
              <w:jc w:val="right"/>
              <w:ind w:right="40"/>
              <w:spacing w:after="0" w:line="121" w:lineRule="exact"/>
              <w:rPr>
                <w:sz w:val="20"/>
                <w:szCs w:val="20"/>
                <w:color w:val="auto"/>
              </w:rPr>
            </w:pPr>
            <w:r>
              <w:rPr>
                <w:rFonts w:ascii="Arial" w:cs="Arial" w:eastAsia="Arial" w:hAnsi="Arial"/>
                <w:sz w:val="11"/>
                <w:szCs w:val="11"/>
                <w:color w:val="auto"/>
              </w:rPr>
              <w:t>0.350%</w:t>
            </w:r>
          </w:p>
        </w:tc>
        <w:tc>
          <w:tcPr>
            <w:tcW w:w="480" w:type="dxa"/>
            <w:vAlign w:val="bottom"/>
            <w:gridSpan w:val="2"/>
          </w:tcPr>
          <w:p>
            <w:pPr>
              <w:ind w:left="260"/>
              <w:spacing w:after="0" w:line="121" w:lineRule="exact"/>
              <w:rPr>
                <w:sz w:val="20"/>
                <w:szCs w:val="20"/>
                <w:color w:val="auto"/>
              </w:rPr>
            </w:pPr>
            <w:r>
              <w:rPr>
                <w:rFonts w:ascii="Arial" w:cs="Arial" w:eastAsia="Arial" w:hAnsi="Arial"/>
                <w:sz w:val="11"/>
                <w:szCs w:val="11"/>
                <w:color w:val="auto"/>
                <w:w w:val="93"/>
              </w:rPr>
              <w:t>US$</w:t>
            </w: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1,750,000</w:t>
            </w:r>
          </w:p>
        </w:tc>
        <w:tc>
          <w:tcPr>
            <w:tcW w:w="820" w:type="dxa"/>
            <w:vAlign w:val="bottom"/>
            <w:gridSpan w:val="3"/>
          </w:tcPr>
          <w:p>
            <w:pPr>
              <w:jc w:val="right"/>
              <w:ind w:right="20"/>
              <w:spacing w:after="0" w:line="121" w:lineRule="exact"/>
              <w:rPr>
                <w:sz w:val="20"/>
                <w:szCs w:val="20"/>
                <w:color w:val="auto"/>
              </w:rPr>
            </w:pPr>
            <w:r>
              <w:rPr>
                <w:rFonts w:ascii="Arial" w:cs="Arial" w:eastAsia="Arial" w:hAnsi="Arial"/>
                <w:sz w:val="11"/>
                <w:szCs w:val="11"/>
                <w:color w:val="auto"/>
              </w:rPr>
              <w:t>0.400%</w:t>
            </w:r>
          </w:p>
        </w:tc>
        <w:tc>
          <w:tcPr>
            <w:tcW w:w="5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US$</w:t>
            </w: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2,000,000</w:t>
            </w:r>
          </w:p>
        </w:tc>
        <w:tc>
          <w:tcPr>
            <w:tcW w:w="840" w:type="dxa"/>
            <w:vAlign w:val="bottom"/>
            <w:gridSpan w:val="3"/>
          </w:tcPr>
          <w:p>
            <w:pPr>
              <w:jc w:val="right"/>
              <w:ind w:right="40"/>
              <w:spacing w:after="0" w:line="121" w:lineRule="exact"/>
              <w:rPr>
                <w:sz w:val="20"/>
                <w:szCs w:val="20"/>
                <w:color w:val="auto"/>
              </w:rPr>
            </w:pPr>
            <w:r>
              <w:rPr>
                <w:rFonts w:ascii="Arial" w:cs="Arial" w:eastAsia="Arial" w:hAnsi="Arial"/>
                <w:sz w:val="11"/>
                <w:szCs w:val="11"/>
                <w:color w:val="auto"/>
              </w:rPr>
              <w:t>0.450%</w:t>
            </w:r>
          </w:p>
        </w:tc>
        <w:tc>
          <w:tcPr>
            <w:tcW w:w="480" w:type="dxa"/>
            <w:vAlign w:val="bottom"/>
            <w:gridSpan w:val="2"/>
          </w:tcPr>
          <w:p>
            <w:pPr>
              <w:ind w:left="280"/>
              <w:spacing w:after="0" w:line="121" w:lineRule="exact"/>
              <w:rPr>
                <w:sz w:val="20"/>
                <w:szCs w:val="20"/>
                <w:color w:val="auto"/>
              </w:rPr>
            </w:pPr>
            <w:r>
              <w:rPr>
                <w:rFonts w:ascii="Arial" w:cs="Arial" w:eastAsia="Arial" w:hAnsi="Arial"/>
                <w:sz w:val="11"/>
                <w:szCs w:val="11"/>
                <w:color w:val="auto"/>
                <w:w w:val="83"/>
              </w:rPr>
              <w:t>US$</w:t>
            </w:r>
          </w:p>
        </w:tc>
        <w:tc>
          <w:tcPr>
            <w:tcW w:w="640" w:type="dxa"/>
            <w:vAlign w:val="bottom"/>
          </w:tcPr>
          <w:p>
            <w:pPr>
              <w:jc w:val="right"/>
              <w:spacing w:after="0" w:line="121" w:lineRule="exact"/>
              <w:rPr>
                <w:sz w:val="20"/>
                <w:szCs w:val="20"/>
                <w:color w:val="auto"/>
              </w:rPr>
            </w:pPr>
            <w:r>
              <w:rPr>
                <w:rFonts w:ascii="Arial" w:cs="Arial" w:eastAsia="Arial" w:hAnsi="Arial"/>
                <w:sz w:val="11"/>
                <w:szCs w:val="11"/>
                <w:color w:val="auto"/>
              </w:rPr>
              <w:t>4,500,000</w:t>
            </w:r>
          </w:p>
        </w:tc>
        <w:tc>
          <w:tcPr>
            <w:tcW w:w="0" w:type="dxa"/>
            <w:vAlign w:val="bottom"/>
          </w:tcPr>
          <w:p>
            <w:pPr>
              <w:spacing w:after="0"/>
              <w:rPr>
                <w:sz w:val="1"/>
                <w:szCs w:val="1"/>
                <w:color w:val="auto"/>
              </w:rPr>
            </w:pPr>
          </w:p>
        </w:tc>
      </w:tr>
      <w:tr>
        <w:trPr>
          <w:trHeight w:val="120"/>
        </w:trPr>
        <w:tc>
          <w:tcPr>
            <w:tcW w:w="24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Proceeds to the Company (before expenses)</w:t>
            </w:r>
          </w:p>
        </w:tc>
        <w:tc>
          <w:tcPr>
            <w:tcW w:w="820" w:type="dxa"/>
            <w:vAlign w:val="bottom"/>
            <w:gridSpan w:val="3"/>
            <w:shd w:val="clear" w:color="auto" w:fill="CCEEFF"/>
          </w:tcPr>
          <w:p>
            <w:pPr>
              <w:jc w:val="right"/>
              <w:ind w:right="40"/>
              <w:spacing w:after="0" w:line="121" w:lineRule="exact"/>
              <w:rPr>
                <w:sz w:val="20"/>
                <w:szCs w:val="20"/>
                <w:color w:val="auto"/>
              </w:rPr>
            </w:pPr>
            <w:r>
              <w:rPr>
                <w:rFonts w:ascii="Arial" w:cs="Arial" w:eastAsia="Arial" w:hAnsi="Arial"/>
                <w:sz w:val="11"/>
                <w:szCs w:val="11"/>
                <w:color w:val="auto"/>
              </w:rPr>
              <w:t>99.566%</w:t>
            </w:r>
          </w:p>
        </w:tc>
        <w:tc>
          <w:tcPr>
            <w:tcW w:w="480" w:type="dxa"/>
            <w:vAlign w:val="bottom"/>
            <w:gridSpan w:val="2"/>
            <w:shd w:val="clear" w:color="auto" w:fill="CCEEFF"/>
          </w:tcPr>
          <w:p>
            <w:pPr>
              <w:ind w:left="260"/>
              <w:spacing w:after="0" w:line="121" w:lineRule="exact"/>
              <w:rPr>
                <w:sz w:val="20"/>
                <w:szCs w:val="20"/>
                <w:color w:val="auto"/>
              </w:rPr>
            </w:pPr>
            <w:r>
              <w:rPr>
                <w:rFonts w:ascii="Arial" w:cs="Arial" w:eastAsia="Arial" w:hAnsi="Arial"/>
                <w:sz w:val="11"/>
                <w:szCs w:val="11"/>
                <w:color w:val="auto"/>
                <w:w w:val="93"/>
              </w:rPr>
              <w:t>US$</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w w:val="94"/>
              </w:rPr>
              <w:t>497,830,000</w:t>
            </w:r>
          </w:p>
        </w:tc>
        <w:tc>
          <w:tcPr>
            <w:tcW w:w="820" w:type="dxa"/>
            <w:vAlign w:val="bottom"/>
            <w:gridSpan w:val="3"/>
            <w:shd w:val="clear" w:color="auto" w:fill="CCEEFF"/>
          </w:tcPr>
          <w:p>
            <w:pPr>
              <w:jc w:val="right"/>
              <w:ind w:right="20"/>
              <w:spacing w:after="0" w:line="121" w:lineRule="exact"/>
              <w:rPr>
                <w:sz w:val="20"/>
                <w:szCs w:val="20"/>
                <w:color w:val="auto"/>
              </w:rPr>
            </w:pPr>
            <w:r>
              <w:rPr>
                <w:rFonts w:ascii="Arial" w:cs="Arial" w:eastAsia="Arial" w:hAnsi="Arial"/>
                <w:sz w:val="11"/>
                <w:szCs w:val="11"/>
                <w:color w:val="auto"/>
              </w:rPr>
              <w:t>99.330%</w:t>
            </w:r>
          </w:p>
        </w:tc>
        <w:tc>
          <w:tcPr>
            <w:tcW w:w="5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US$</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w w:val="94"/>
              </w:rPr>
              <w:t>496,650,000</w:t>
            </w:r>
          </w:p>
        </w:tc>
        <w:tc>
          <w:tcPr>
            <w:tcW w:w="840" w:type="dxa"/>
            <w:vAlign w:val="bottom"/>
            <w:gridSpan w:val="3"/>
            <w:shd w:val="clear" w:color="auto" w:fill="CCEEFF"/>
          </w:tcPr>
          <w:p>
            <w:pPr>
              <w:jc w:val="right"/>
              <w:ind w:right="40"/>
              <w:spacing w:after="0" w:line="121" w:lineRule="exact"/>
              <w:rPr>
                <w:sz w:val="20"/>
                <w:szCs w:val="20"/>
                <w:color w:val="auto"/>
              </w:rPr>
            </w:pPr>
            <w:r>
              <w:rPr>
                <w:rFonts w:ascii="Arial" w:cs="Arial" w:eastAsia="Arial" w:hAnsi="Arial"/>
                <w:sz w:val="11"/>
                <w:szCs w:val="11"/>
                <w:color w:val="auto"/>
              </w:rPr>
              <w:t>99.411%</w:t>
            </w:r>
          </w:p>
        </w:tc>
        <w:tc>
          <w:tcPr>
            <w:tcW w:w="480" w:type="dxa"/>
            <w:vAlign w:val="bottom"/>
            <w:gridSpan w:val="2"/>
            <w:shd w:val="clear" w:color="auto" w:fill="CCEEFF"/>
          </w:tcPr>
          <w:p>
            <w:pPr>
              <w:ind w:left="280"/>
              <w:spacing w:after="0" w:line="121" w:lineRule="exact"/>
              <w:rPr>
                <w:sz w:val="20"/>
                <w:szCs w:val="20"/>
                <w:color w:val="auto"/>
              </w:rPr>
            </w:pPr>
            <w:r>
              <w:rPr>
                <w:rFonts w:ascii="Arial" w:cs="Arial" w:eastAsia="Arial" w:hAnsi="Arial"/>
                <w:sz w:val="11"/>
                <w:szCs w:val="11"/>
                <w:color w:val="auto"/>
                <w:w w:val="83"/>
              </w:rPr>
              <w:t>US$</w:t>
            </w:r>
          </w:p>
        </w:tc>
        <w:tc>
          <w:tcPr>
            <w:tcW w:w="640" w:type="dxa"/>
            <w:vAlign w:val="bottom"/>
            <w:tcBorders>
              <w:right w:val="single" w:sz="8" w:color="CCEEFF"/>
            </w:tcBorders>
            <w:shd w:val="clear" w:color="auto" w:fill="CCEEFF"/>
          </w:tcPr>
          <w:p>
            <w:pPr>
              <w:jc w:val="right"/>
              <w:spacing w:after="0" w:line="121" w:lineRule="exact"/>
              <w:rPr>
                <w:sz w:val="20"/>
                <w:szCs w:val="20"/>
                <w:color w:val="auto"/>
              </w:rPr>
            </w:pPr>
            <w:r>
              <w:rPr>
                <w:rFonts w:ascii="Arial" w:cs="Arial" w:eastAsia="Arial" w:hAnsi="Arial"/>
                <w:sz w:val="11"/>
                <w:szCs w:val="11"/>
                <w:color w:val="auto"/>
                <w:w w:val="94"/>
              </w:rPr>
              <w:t>994,110,000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263525</wp:posOffset>
            </wp:positionH>
            <wp:positionV relativeFrom="paragraph">
              <wp:posOffset>69850</wp:posOffset>
            </wp:positionV>
            <wp:extent cx="56705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7055" cy="6350"/>
                    </a:xfrm>
                    <a:prstGeom prst="rect">
                      <a:avLst/>
                    </a:prstGeom>
                    <a:noFill/>
                  </pic:spPr>
                </pic:pic>
              </a:graphicData>
            </a:graphic>
          </wp:anchor>
        </w:drawing>
      </w:r>
    </w:p>
    <w:p>
      <w:pPr>
        <w:spacing w:after="0" w:line="114" w:lineRule="exact"/>
        <w:rPr>
          <w:sz w:val="24"/>
          <w:szCs w:val="24"/>
          <w:color w:val="auto"/>
        </w:rPr>
      </w:pPr>
    </w:p>
    <w:p>
      <w:pPr>
        <w:ind w:left="740" w:hanging="330"/>
        <w:spacing w:after="0"/>
        <w:tabs>
          <w:tab w:leader="none" w:pos="740" w:val="left"/>
        </w:tabs>
        <w:numPr>
          <w:ilvl w:val="0"/>
          <w:numId w:val="1"/>
        </w:numPr>
        <w:rPr>
          <w:rFonts w:ascii="Arial" w:cs="Arial" w:eastAsia="Arial" w:hAnsi="Arial"/>
          <w:sz w:val="11"/>
          <w:szCs w:val="11"/>
          <w:color w:val="auto"/>
        </w:rPr>
      </w:pPr>
      <w:r>
        <w:rPr>
          <w:rFonts w:ascii="Arial" w:cs="Arial" w:eastAsia="Arial" w:hAnsi="Arial"/>
          <w:sz w:val="11"/>
          <w:szCs w:val="11"/>
          <w:color w:val="auto"/>
        </w:rPr>
        <w:t>Plus accrued interest on the Notes, if any, from May 7, 2026 to the date of delivery.</w:t>
      </w:r>
    </w:p>
    <w:p>
      <w:pPr>
        <w:spacing w:after="0" w:line="154" w:lineRule="exact"/>
        <w:rPr>
          <w:sz w:val="24"/>
          <w:szCs w:val="24"/>
          <w:color w:val="auto"/>
        </w:rPr>
      </w:pPr>
    </w:p>
    <w:p>
      <w:pPr>
        <w:ind w:left="420" w:right="419" w:firstLine="327"/>
        <w:spacing w:after="0" w:line="255" w:lineRule="auto"/>
        <w:rPr>
          <w:sz w:val="20"/>
          <w:szCs w:val="20"/>
          <w:color w:val="auto"/>
        </w:rPr>
      </w:pPr>
      <w:r>
        <w:rPr>
          <w:rFonts w:ascii="Arial" w:cs="Arial" w:eastAsia="Arial" w:hAnsi="Arial"/>
          <w:sz w:val="11"/>
          <w:szCs w:val="11"/>
          <w:color w:val="auto"/>
        </w:rPr>
        <w:t>The underwriters expect to deliver the Notes to purchasers against payment on or about May 7, 2026, solely in book-entry form through the facilities of The Depository Trust Company and its direct and indirect participants, including Euroclear Bank SA/NV, as operator of the Euroclear system, and Clearstream Banking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2315210</wp:posOffset>
            </wp:positionH>
            <wp:positionV relativeFrom="paragraph">
              <wp:posOffset>158115</wp:posOffset>
            </wp:positionV>
            <wp:extent cx="108966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660" cy="6350"/>
                    </a:xfrm>
                    <a:prstGeom prst="rect">
                      <a:avLst/>
                    </a:prstGeom>
                    <a:noFill/>
                  </pic:spPr>
                </pic:pic>
              </a:graphicData>
            </a:graphic>
          </wp:anchor>
        </w:drawing>
      </w:r>
    </w:p>
    <w:p>
      <w:pPr>
        <w:spacing w:after="0" w:line="393" w:lineRule="exact"/>
        <w:rPr>
          <w:sz w:val="24"/>
          <w:szCs w:val="24"/>
          <w:color w:val="auto"/>
        </w:rPr>
      </w:pPr>
    </w:p>
    <w:p>
      <w:pPr>
        <w:jc w:val="center"/>
        <w:spacing w:after="0"/>
        <w:rPr>
          <w:sz w:val="20"/>
          <w:szCs w:val="20"/>
          <w:color w:val="auto"/>
        </w:rPr>
      </w:pPr>
      <w:r>
        <w:rPr>
          <w:rFonts w:ascii="Arial" w:cs="Arial" w:eastAsia="Arial" w:hAnsi="Arial"/>
          <w:sz w:val="11"/>
          <w:szCs w:val="11"/>
          <w:b w:val="1"/>
          <w:bCs w:val="1"/>
          <w:i w:val="1"/>
          <w:iCs w:val="1"/>
          <w:color w:val="auto"/>
        </w:rPr>
        <w:t>Joint Book-Running Managers</w:t>
      </w:r>
    </w:p>
    <w:p>
      <w:pPr>
        <w:sectPr>
          <w:pgSz w:w="11900" w:h="16838" w:orient="portrait"/>
          <w:cols w:equalWidth="0" w:num="1">
            <w:col w:w="9019"/>
          </w:cols>
          <w:pgMar w:left="1440" w:top="205" w:right="1440" w:bottom="1440" w:gutter="0" w:footer="0" w:header="0"/>
        </w:sectPr>
      </w:pPr>
    </w:p>
    <w:p>
      <w:pPr>
        <w:spacing w:after="0" w:line="160" w:lineRule="exact"/>
        <w:rPr>
          <w:sz w:val="24"/>
          <w:szCs w:val="24"/>
          <w:color w:val="auto"/>
        </w:rPr>
      </w:pPr>
    </w:p>
    <w:p>
      <w:pPr>
        <w:ind w:left="420"/>
        <w:spacing w:after="0"/>
        <w:rPr>
          <w:sz w:val="20"/>
          <w:szCs w:val="20"/>
          <w:color w:val="auto"/>
        </w:rPr>
      </w:pPr>
      <w:r>
        <w:rPr>
          <w:rFonts w:ascii="Arial" w:cs="Arial" w:eastAsia="Arial" w:hAnsi="Arial"/>
          <w:sz w:val="15"/>
          <w:szCs w:val="15"/>
          <w:b w:val="1"/>
          <w:bCs w:val="1"/>
          <w:color w:val="auto"/>
        </w:rPr>
        <w:t>J.P. Morgan</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HSBC</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Standard Chartered Bank</w:t>
      </w:r>
    </w:p>
    <w:p>
      <w:pPr>
        <w:spacing w:after="0" w:line="37" w:lineRule="exact"/>
        <w:rPr>
          <w:sz w:val="24"/>
          <w:szCs w:val="24"/>
          <w:color w:val="auto"/>
        </w:rPr>
      </w:pPr>
    </w:p>
    <w:p>
      <w:pPr>
        <w:sectPr>
          <w:pgSz w:w="11900" w:h="16838" w:orient="portrait"/>
          <w:cols w:equalWidth="0" w:num="3">
            <w:col w:w="3600" w:space="720"/>
            <w:col w:w="1620" w:space="720"/>
            <w:col w:w="2359"/>
          </w:cols>
          <w:pgMar w:left="1440" w:top="205" w:right="1440" w:bottom="1440" w:gutter="0" w:footer="0" w:header="0"/>
          <w:type w:val="continuous"/>
        </w:sectPr>
      </w:pPr>
    </w:p>
    <w:p>
      <w:pPr>
        <w:ind w:left="420"/>
        <w:spacing w:after="0"/>
        <w:rPr>
          <w:sz w:val="20"/>
          <w:szCs w:val="20"/>
          <w:color w:val="auto"/>
        </w:rPr>
      </w:pPr>
      <w:r>
        <w:rPr>
          <w:rFonts w:ascii="Arial" w:cs="Arial" w:eastAsia="Arial" w:hAnsi="Arial"/>
          <w:sz w:val="14"/>
          <w:szCs w:val="14"/>
          <w:b w:val="1"/>
          <w:bCs w:val="1"/>
          <w:color w:val="auto"/>
        </w:rPr>
        <w:t>BNP PARIBAS</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4"/>
          <w:szCs w:val="14"/>
          <w:b w:val="1"/>
          <w:bCs w:val="1"/>
          <w:color w:val="auto"/>
        </w:rPr>
        <w:t>BofA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Citigroup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Deutsche Bank Securities</w:t>
      </w:r>
    </w:p>
    <w:p>
      <w:pPr>
        <w:spacing w:after="0" w:line="134" w:lineRule="exact"/>
        <w:rPr>
          <w:sz w:val="24"/>
          <w:szCs w:val="24"/>
          <w:color w:val="auto"/>
        </w:rPr>
      </w:pPr>
    </w:p>
    <w:p>
      <w:pPr>
        <w:sectPr>
          <w:pgSz w:w="11900" w:h="16838" w:orient="portrait"/>
          <w:cols w:equalWidth="0" w:num="4">
            <w:col w:w="1860" w:space="720"/>
            <w:col w:w="1420" w:space="720"/>
            <w:col w:w="1360" w:space="720"/>
            <w:col w:w="2219"/>
          </w:cols>
          <w:pgMar w:left="1440" w:top="205" w:right="1440" w:bottom="1440" w:gutter="0" w:footer="0" w:header="0"/>
          <w:type w:val="continuous"/>
        </w:sectPr>
      </w:pPr>
    </w:p>
    <w:p>
      <w:pPr>
        <w:jc w:val="center"/>
        <w:ind w:right="19"/>
        <w:spacing w:after="0"/>
        <w:rPr>
          <w:sz w:val="20"/>
          <w:szCs w:val="20"/>
          <w:color w:val="auto"/>
        </w:rPr>
      </w:pPr>
      <w:r>
        <w:rPr>
          <w:rFonts w:ascii="Arial" w:cs="Arial" w:eastAsia="Arial" w:hAnsi="Arial"/>
          <w:sz w:val="10"/>
          <w:szCs w:val="10"/>
          <w:b w:val="1"/>
          <w:bCs w:val="1"/>
          <w:i w:val="1"/>
          <w:iCs w:val="1"/>
          <w:color w:val="auto"/>
        </w:rPr>
        <w:t>Co-Managers</w:t>
      </w:r>
    </w:p>
    <w:p>
      <w:pPr>
        <w:sectPr>
          <w:pgSz w:w="11900" w:h="16838" w:orient="portrait"/>
          <w:cols w:equalWidth="0" w:num="1">
            <w:col w:w="9019"/>
          </w:cols>
          <w:pgMar w:left="1440" w:top="205" w:right="1440" w:bottom="1440" w:gutter="0" w:footer="0" w:header="0"/>
          <w:type w:val="continuous"/>
        </w:sectPr>
      </w:pPr>
    </w:p>
    <w:p>
      <w:pPr>
        <w:spacing w:after="0" w:line="182" w:lineRule="exact"/>
        <w:rPr>
          <w:sz w:val="24"/>
          <w:szCs w:val="24"/>
          <w:color w:val="auto"/>
        </w:rPr>
      </w:pPr>
    </w:p>
    <w:p>
      <w:pPr>
        <w:ind w:left="420"/>
        <w:spacing w:after="0"/>
        <w:rPr>
          <w:sz w:val="20"/>
          <w:szCs w:val="20"/>
          <w:color w:val="auto"/>
        </w:rPr>
      </w:pPr>
      <w:r>
        <w:rPr>
          <w:rFonts w:ascii="Arial" w:cs="Arial" w:eastAsia="Arial" w:hAnsi="Arial"/>
          <w:sz w:val="11"/>
          <w:szCs w:val="11"/>
          <w:b w:val="1"/>
          <w:bCs w:val="1"/>
          <w:color w:val="auto"/>
        </w:rPr>
        <w:t>BBVA</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ind w:right="1280"/>
        <w:spacing w:after="0"/>
        <w:rPr>
          <w:sz w:val="20"/>
          <w:szCs w:val="20"/>
          <w:color w:val="auto"/>
        </w:rPr>
      </w:pPr>
      <w:r>
        <w:rPr>
          <w:rFonts w:ascii="Arial" w:cs="Arial" w:eastAsia="Arial" w:hAnsi="Arial"/>
          <w:sz w:val="11"/>
          <w:szCs w:val="11"/>
          <w:b w:val="1"/>
          <w:bCs w:val="1"/>
          <w:color w:val="auto"/>
        </w:rPr>
        <w:t>MUFG</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1080"/>
        <w:spacing w:after="0"/>
        <w:rPr>
          <w:sz w:val="20"/>
          <w:szCs w:val="20"/>
          <w:color w:val="auto"/>
        </w:rPr>
      </w:pPr>
      <w:r>
        <w:rPr>
          <w:rFonts w:ascii="Arial" w:cs="Arial" w:eastAsia="Arial" w:hAnsi="Arial"/>
          <w:sz w:val="11"/>
          <w:szCs w:val="11"/>
          <w:b w:val="1"/>
          <w:bCs w:val="1"/>
          <w:color w:val="auto"/>
        </w:rPr>
        <w:t>SOCIETE GENERALE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UniCredit</w:t>
      </w:r>
    </w:p>
    <w:p>
      <w:pPr>
        <w:spacing w:after="0" w:line="167" w:lineRule="exact"/>
        <w:rPr>
          <w:sz w:val="24"/>
          <w:szCs w:val="24"/>
          <w:color w:val="auto"/>
        </w:rPr>
      </w:pPr>
    </w:p>
    <w:p>
      <w:pPr>
        <w:sectPr>
          <w:pgSz w:w="11900" w:h="16838" w:orient="portrait"/>
          <w:cols w:equalWidth="0" w:num="4">
            <w:col w:w="1980" w:space="720"/>
            <w:col w:w="1620" w:space="720"/>
            <w:col w:w="2300" w:space="720"/>
            <w:col w:w="959"/>
          </w:cols>
          <w:pgMar w:left="1440" w:top="205" w:right="1440" w:bottom="1440" w:gutter="0" w:footer="0" w:header="0"/>
          <w:type w:val="continuous"/>
        </w:sectPr>
      </w:pPr>
    </w:p>
    <w:p>
      <w:pPr>
        <w:jc w:val="center"/>
        <w:ind w:right="19"/>
        <w:spacing w:after="0"/>
        <w:rPr>
          <w:sz w:val="20"/>
          <w:szCs w:val="20"/>
          <w:color w:val="auto"/>
        </w:rPr>
      </w:pPr>
      <w:r>
        <w:rPr>
          <w:rFonts w:ascii="Arial" w:cs="Arial" w:eastAsia="Arial" w:hAnsi="Arial"/>
          <w:sz w:val="10"/>
          <w:szCs w:val="10"/>
          <w:b w:val="1"/>
          <w:bCs w:val="1"/>
          <w:color w:val="auto"/>
        </w:rPr>
        <w:t>April 30, 2026</w:t>
      </w:r>
    </w:p>
    <w:p>
      <w:pPr>
        <w:sectPr>
          <w:pgSz w:w="11900" w:h="16838" w:orient="portrait"/>
          <w:cols w:equalWidth="0" w:num="1">
            <w:col w:w="9019"/>
          </w:cols>
          <w:pgMar w:left="1440" w:top="205" w:right="1440" w:bottom="1440" w:gutter="0" w:footer="0" w:header="0"/>
          <w:type w:val="continuous"/>
        </w:sectPr>
      </w:pPr>
    </w:p>
    <w:bookmarkStart w:id="1" w:name="page2"/>
    <w:bookmarkEnd w:id="1"/>
    <w:p>
      <w:pPr>
        <w:jc w:val="center"/>
        <w:ind w:left="14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81" w:lineRule="exact"/>
        <w:rPr>
          <w:sz w:val="20"/>
          <w:szCs w:val="20"/>
          <w:color w:val="auto"/>
        </w:rPr>
      </w:pPr>
    </w:p>
    <w:p>
      <w:pPr>
        <w:jc w:val="center"/>
        <w:ind w:left="1480"/>
        <w:spacing w:after="0"/>
        <w:rPr>
          <w:sz w:val="20"/>
          <w:szCs w:val="20"/>
          <w:color w:val="auto"/>
        </w:rPr>
      </w:pPr>
      <w:r>
        <w:rPr>
          <w:rFonts w:ascii="Arial" w:cs="Arial" w:eastAsia="Arial" w:hAnsi="Arial"/>
          <w:sz w:val="13"/>
          <w:szCs w:val="13"/>
          <w:b w:val="1"/>
          <w:bCs w:val="1"/>
          <w:color w:val="auto"/>
        </w:rPr>
        <w:t>Prospectus Supplement</w:t>
      </w:r>
    </w:p>
    <w:p>
      <w:pPr>
        <w:spacing w:after="0" w:line="304"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About This Prospectus Supplement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Cautionary Statement Regarding Forward-Looking Statements</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Summary</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Risk Factors</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Use of Proceeds</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Description of the Notes</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Non-U.S. Federal Income Tax Considerations</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U.S. Federal Income Tax Considerations</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Underwriting (Conflicts of Interest)</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Legal Matters</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Experts</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Where You Can Find More Information</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Incorporation of Documents by Reference</w:t>
      </w:r>
    </w:p>
    <w:p>
      <w:pPr>
        <w:spacing w:after="0" w:line="318"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Prospectus</w:t>
      </w:r>
    </w:p>
    <w:p>
      <w:pPr>
        <w:spacing w:after="0" w:line="304"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About this Prospectus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About the Guarantor</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About the Company</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Cautionary Statement Regarding Forward-Looking Statements</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Risk Factors</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Where You Can Find More Information</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Incorporation of Documents by Reference</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Use of Proceeds</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Description of Debt Securities</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Plan of Distribution</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Validity of the Securities</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EE"/>
        </w:rPr>
        <w:t>Experts</w:t>
      </w:r>
    </w:p>
    <w:p>
      <w:pPr>
        <w:spacing w:after="0" w:line="10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S-i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0</wp:posOffset>
            </wp:positionV>
            <wp:extent cx="22923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9235" cy="63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3"/>
          <w:szCs w:val="13"/>
          <w:color w:val="auto"/>
        </w:rPr>
        <w:t>S-ii</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3"/>
          <w:szCs w:val="13"/>
          <w:color w:val="auto"/>
        </w:rPr>
        <w:t>S-iii</w:t>
      </w:r>
    </w:p>
    <w:p>
      <w:pPr>
        <w:spacing w:after="0" w:line="11" w:lineRule="exact"/>
        <w:rPr>
          <w:sz w:val="20"/>
          <w:szCs w:val="20"/>
          <w:color w:val="auto"/>
        </w:rPr>
      </w:pPr>
    </w:p>
    <w:p>
      <w:pPr>
        <w:ind w:left="100"/>
        <w:spacing w:after="0"/>
        <w:rPr>
          <w:sz w:val="20"/>
          <w:szCs w:val="20"/>
          <w:color w:val="auto"/>
        </w:rPr>
      </w:pPr>
      <w:r>
        <w:rPr>
          <w:rFonts w:ascii="Arial" w:cs="Arial" w:eastAsia="Arial" w:hAnsi="Arial"/>
          <w:sz w:val="13"/>
          <w:szCs w:val="13"/>
          <w:color w:val="auto"/>
        </w:rPr>
        <w:t>S-1</w:t>
      </w:r>
    </w:p>
    <w:p>
      <w:pPr>
        <w:spacing w:after="0" w:line="11" w:lineRule="exact"/>
        <w:rPr>
          <w:sz w:val="20"/>
          <w:szCs w:val="20"/>
          <w:color w:val="auto"/>
        </w:rPr>
      </w:pPr>
    </w:p>
    <w:p>
      <w:pPr>
        <w:ind w:left="100"/>
        <w:spacing w:after="0"/>
        <w:rPr>
          <w:sz w:val="20"/>
          <w:szCs w:val="20"/>
          <w:color w:val="auto"/>
        </w:rPr>
      </w:pPr>
      <w:r>
        <w:rPr>
          <w:rFonts w:ascii="Arial" w:cs="Arial" w:eastAsia="Arial" w:hAnsi="Arial"/>
          <w:sz w:val="13"/>
          <w:szCs w:val="13"/>
          <w:color w:val="auto"/>
        </w:rPr>
        <w:t>S-7</w:t>
      </w:r>
    </w:p>
    <w:p>
      <w:pPr>
        <w:spacing w:after="0" w:line="11" w:lineRule="exact"/>
        <w:rPr>
          <w:sz w:val="20"/>
          <w:szCs w:val="20"/>
          <w:color w:val="auto"/>
        </w:rPr>
      </w:pPr>
    </w:p>
    <w:p>
      <w:pPr>
        <w:ind w:left="100"/>
        <w:spacing w:after="0"/>
        <w:rPr>
          <w:sz w:val="20"/>
          <w:szCs w:val="20"/>
          <w:color w:val="auto"/>
        </w:rPr>
      </w:pPr>
      <w:r>
        <w:rPr>
          <w:rFonts w:ascii="Arial" w:cs="Arial" w:eastAsia="Arial" w:hAnsi="Arial"/>
          <w:sz w:val="13"/>
          <w:szCs w:val="13"/>
          <w:color w:val="auto"/>
        </w:rPr>
        <w:t>S-9</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color w:val="auto"/>
        </w:rPr>
        <w:t>S-10</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color w:val="auto"/>
        </w:rPr>
        <w:t>S-32</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color w:val="auto"/>
        </w:rPr>
        <w:t>S-36</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color w:val="auto"/>
        </w:rPr>
        <w:t>S-39</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color w:val="auto"/>
        </w:rPr>
        <w:t>S-45</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color w:val="auto"/>
        </w:rPr>
        <w:t>S-45</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color w:val="auto"/>
        </w:rPr>
        <w:t>S-45</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color w:val="auto"/>
        </w:rPr>
        <w:t>S-46</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459"/>
        <w:spacing w:after="0"/>
        <w:rPr>
          <w:sz w:val="20"/>
          <w:szCs w:val="20"/>
          <w:color w:val="auto"/>
        </w:rPr>
      </w:pPr>
      <w:r>
        <w:rPr>
          <w:rFonts w:ascii="Arial" w:cs="Arial" w:eastAsia="Arial" w:hAnsi="Arial"/>
          <w:sz w:val="11"/>
          <w:szCs w:val="11"/>
          <w:b w:val="1"/>
          <w:bCs w:val="1"/>
          <w:u w:val="single" w:color="auto"/>
          <w:color w:val="auto"/>
        </w:rPr>
        <w:t>Page</w:t>
      </w:r>
    </w:p>
    <w:p>
      <w:pPr>
        <w:spacing w:after="0" w:line="10" w:lineRule="exact"/>
        <w:rPr>
          <w:sz w:val="20"/>
          <w:szCs w:val="20"/>
          <w:color w:val="auto"/>
        </w:rPr>
      </w:pPr>
    </w:p>
    <w:p>
      <w:pPr>
        <w:jc w:val="right"/>
        <w:ind w:right="459"/>
        <w:spacing w:after="0"/>
        <w:rPr>
          <w:sz w:val="20"/>
          <w:szCs w:val="20"/>
          <w:color w:val="auto"/>
        </w:rPr>
      </w:pPr>
      <w:r>
        <w:rPr>
          <w:rFonts w:ascii="Arial" w:cs="Arial" w:eastAsia="Arial" w:hAnsi="Arial"/>
          <w:sz w:val="13"/>
          <w:szCs w:val="13"/>
          <w:color w:val="auto"/>
        </w:rPr>
        <w:t>1</w:t>
      </w:r>
    </w:p>
    <w:p>
      <w:pPr>
        <w:spacing w:after="0" w:line="11" w:lineRule="exact"/>
        <w:rPr>
          <w:sz w:val="20"/>
          <w:szCs w:val="20"/>
          <w:color w:val="auto"/>
        </w:rPr>
      </w:pPr>
    </w:p>
    <w:p>
      <w:pPr>
        <w:jc w:val="right"/>
        <w:ind w:right="459"/>
        <w:spacing w:after="0"/>
        <w:rPr>
          <w:sz w:val="20"/>
          <w:szCs w:val="20"/>
          <w:color w:val="auto"/>
        </w:rPr>
      </w:pPr>
      <w:r>
        <w:rPr>
          <w:rFonts w:ascii="Arial" w:cs="Arial" w:eastAsia="Arial" w:hAnsi="Arial"/>
          <w:sz w:val="13"/>
          <w:szCs w:val="13"/>
          <w:color w:val="auto"/>
        </w:rPr>
        <w:t>2</w:t>
      </w:r>
    </w:p>
    <w:p>
      <w:pPr>
        <w:spacing w:after="0" w:line="11" w:lineRule="exact"/>
        <w:rPr>
          <w:sz w:val="20"/>
          <w:szCs w:val="20"/>
          <w:color w:val="auto"/>
        </w:rPr>
      </w:pPr>
    </w:p>
    <w:p>
      <w:pPr>
        <w:jc w:val="right"/>
        <w:ind w:right="459"/>
        <w:spacing w:after="0"/>
        <w:rPr>
          <w:sz w:val="20"/>
          <w:szCs w:val="20"/>
          <w:color w:val="auto"/>
        </w:rPr>
      </w:pPr>
      <w:r>
        <w:rPr>
          <w:rFonts w:ascii="Arial" w:cs="Arial" w:eastAsia="Arial" w:hAnsi="Arial"/>
          <w:sz w:val="13"/>
          <w:szCs w:val="13"/>
          <w:color w:val="auto"/>
        </w:rPr>
        <w:t>3</w:t>
      </w:r>
    </w:p>
    <w:p>
      <w:pPr>
        <w:spacing w:after="0" w:line="11" w:lineRule="exact"/>
        <w:rPr>
          <w:sz w:val="20"/>
          <w:szCs w:val="20"/>
          <w:color w:val="auto"/>
        </w:rPr>
      </w:pPr>
    </w:p>
    <w:p>
      <w:pPr>
        <w:jc w:val="right"/>
        <w:ind w:right="459"/>
        <w:spacing w:after="0"/>
        <w:rPr>
          <w:sz w:val="20"/>
          <w:szCs w:val="20"/>
          <w:color w:val="auto"/>
        </w:rPr>
      </w:pPr>
      <w:r>
        <w:rPr>
          <w:rFonts w:ascii="Arial" w:cs="Arial" w:eastAsia="Arial" w:hAnsi="Arial"/>
          <w:sz w:val="13"/>
          <w:szCs w:val="13"/>
          <w:color w:val="auto"/>
        </w:rPr>
        <w:t>4</w:t>
      </w:r>
    </w:p>
    <w:p>
      <w:pPr>
        <w:spacing w:after="0" w:line="11" w:lineRule="exact"/>
        <w:rPr>
          <w:sz w:val="20"/>
          <w:szCs w:val="20"/>
          <w:color w:val="auto"/>
        </w:rPr>
      </w:pPr>
    </w:p>
    <w:p>
      <w:pPr>
        <w:jc w:val="right"/>
        <w:ind w:right="459"/>
        <w:spacing w:after="0"/>
        <w:rPr>
          <w:sz w:val="20"/>
          <w:szCs w:val="20"/>
          <w:color w:val="auto"/>
        </w:rPr>
      </w:pPr>
      <w:r>
        <w:rPr>
          <w:rFonts w:ascii="Arial" w:cs="Arial" w:eastAsia="Arial" w:hAnsi="Arial"/>
          <w:sz w:val="13"/>
          <w:szCs w:val="13"/>
          <w:color w:val="auto"/>
        </w:rPr>
        <w:t>6</w:t>
      </w:r>
    </w:p>
    <w:p>
      <w:pPr>
        <w:spacing w:after="0" w:line="11" w:lineRule="exact"/>
        <w:rPr>
          <w:sz w:val="20"/>
          <w:szCs w:val="20"/>
          <w:color w:val="auto"/>
        </w:rPr>
      </w:pPr>
    </w:p>
    <w:p>
      <w:pPr>
        <w:jc w:val="right"/>
        <w:ind w:right="459"/>
        <w:spacing w:after="0"/>
        <w:rPr>
          <w:sz w:val="20"/>
          <w:szCs w:val="20"/>
          <w:color w:val="auto"/>
        </w:rPr>
      </w:pPr>
      <w:r>
        <w:rPr>
          <w:rFonts w:ascii="Arial" w:cs="Arial" w:eastAsia="Arial" w:hAnsi="Arial"/>
          <w:sz w:val="13"/>
          <w:szCs w:val="13"/>
          <w:color w:val="auto"/>
        </w:rPr>
        <w:t>7</w:t>
      </w:r>
    </w:p>
    <w:p>
      <w:pPr>
        <w:spacing w:after="0" w:line="11" w:lineRule="exact"/>
        <w:rPr>
          <w:sz w:val="20"/>
          <w:szCs w:val="20"/>
          <w:color w:val="auto"/>
        </w:rPr>
      </w:pPr>
    </w:p>
    <w:p>
      <w:pPr>
        <w:jc w:val="right"/>
        <w:ind w:right="459"/>
        <w:spacing w:after="0"/>
        <w:rPr>
          <w:sz w:val="20"/>
          <w:szCs w:val="20"/>
          <w:color w:val="auto"/>
        </w:rPr>
      </w:pPr>
      <w:r>
        <w:rPr>
          <w:rFonts w:ascii="Arial" w:cs="Arial" w:eastAsia="Arial" w:hAnsi="Arial"/>
          <w:sz w:val="13"/>
          <w:szCs w:val="13"/>
          <w:color w:val="auto"/>
        </w:rPr>
        <w:t>8</w:t>
      </w:r>
    </w:p>
    <w:p>
      <w:pPr>
        <w:spacing w:after="0" w:line="11" w:lineRule="exact"/>
        <w:rPr>
          <w:sz w:val="20"/>
          <w:szCs w:val="20"/>
          <w:color w:val="auto"/>
        </w:rPr>
      </w:pPr>
    </w:p>
    <w:p>
      <w:pPr>
        <w:jc w:val="right"/>
        <w:ind w:right="459"/>
        <w:spacing w:after="0"/>
        <w:rPr>
          <w:sz w:val="20"/>
          <w:szCs w:val="20"/>
          <w:color w:val="auto"/>
        </w:rPr>
      </w:pPr>
      <w:r>
        <w:rPr>
          <w:rFonts w:ascii="Arial" w:cs="Arial" w:eastAsia="Arial" w:hAnsi="Arial"/>
          <w:sz w:val="13"/>
          <w:szCs w:val="13"/>
          <w:color w:val="auto"/>
        </w:rPr>
        <w:t>9</w:t>
      </w:r>
    </w:p>
    <w:p>
      <w:pPr>
        <w:spacing w:after="0" w:line="11" w:lineRule="exact"/>
        <w:rPr>
          <w:sz w:val="20"/>
          <w:szCs w:val="20"/>
          <w:color w:val="auto"/>
        </w:rPr>
      </w:pPr>
    </w:p>
    <w:p>
      <w:pPr>
        <w:jc w:val="right"/>
        <w:ind w:right="459"/>
        <w:spacing w:after="0"/>
        <w:rPr>
          <w:sz w:val="20"/>
          <w:szCs w:val="20"/>
          <w:color w:val="auto"/>
        </w:rPr>
      </w:pPr>
      <w:r>
        <w:rPr>
          <w:rFonts w:ascii="Arial" w:cs="Arial" w:eastAsia="Arial" w:hAnsi="Arial"/>
          <w:sz w:val="13"/>
          <w:szCs w:val="13"/>
          <w:color w:val="auto"/>
        </w:rPr>
        <w:t>10</w:t>
      </w:r>
    </w:p>
    <w:p>
      <w:pPr>
        <w:spacing w:after="0" w:line="11" w:lineRule="exact"/>
        <w:rPr>
          <w:sz w:val="20"/>
          <w:szCs w:val="20"/>
          <w:color w:val="auto"/>
        </w:rPr>
      </w:pPr>
    </w:p>
    <w:p>
      <w:pPr>
        <w:jc w:val="right"/>
        <w:ind w:right="459"/>
        <w:spacing w:after="0"/>
        <w:rPr>
          <w:sz w:val="20"/>
          <w:szCs w:val="20"/>
          <w:color w:val="auto"/>
        </w:rPr>
      </w:pPr>
      <w:r>
        <w:rPr>
          <w:rFonts w:ascii="Arial" w:cs="Arial" w:eastAsia="Arial" w:hAnsi="Arial"/>
          <w:sz w:val="13"/>
          <w:szCs w:val="13"/>
          <w:color w:val="auto"/>
        </w:rPr>
        <w:t>31</w:t>
      </w:r>
    </w:p>
    <w:p>
      <w:pPr>
        <w:spacing w:after="0" w:line="11" w:lineRule="exact"/>
        <w:rPr>
          <w:sz w:val="20"/>
          <w:szCs w:val="20"/>
          <w:color w:val="auto"/>
        </w:rPr>
      </w:pPr>
    </w:p>
    <w:p>
      <w:pPr>
        <w:jc w:val="right"/>
        <w:ind w:right="459"/>
        <w:spacing w:after="0"/>
        <w:rPr>
          <w:sz w:val="20"/>
          <w:szCs w:val="20"/>
          <w:color w:val="auto"/>
        </w:rPr>
      </w:pPr>
      <w:r>
        <w:rPr>
          <w:rFonts w:ascii="Arial" w:cs="Arial" w:eastAsia="Arial" w:hAnsi="Arial"/>
          <w:sz w:val="13"/>
          <w:szCs w:val="13"/>
          <w:color w:val="auto"/>
        </w:rPr>
        <w:t>32</w:t>
      </w:r>
    </w:p>
    <w:p>
      <w:pPr>
        <w:spacing w:after="0" w:line="11" w:lineRule="exact"/>
        <w:rPr>
          <w:sz w:val="20"/>
          <w:szCs w:val="20"/>
          <w:color w:val="auto"/>
        </w:rPr>
      </w:pPr>
    </w:p>
    <w:p>
      <w:pPr>
        <w:jc w:val="right"/>
        <w:ind w:right="459"/>
        <w:spacing w:after="0"/>
        <w:rPr>
          <w:sz w:val="20"/>
          <w:szCs w:val="20"/>
          <w:color w:val="auto"/>
        </w:rPr>
      </w:pPr>
      <w:r>
        <w:rPr>
          <w:rFonts w:ascii="Arial" w:cs="Arial" w:eastAsia="Arial" w:hAnsi="Arial"/>
          <w:sz w:val="13"/>
          <w:szCs w:val="13"/>
          <w:color w:val="auto"/>
        </w:rPr>
        <w:t>33</w:t>
      </w:r>
    </w:p>
    <w:p>
      <w:pPr>
        <w:sectPr>
          <w:pgSz w:w="11900" w:h="16838" w:orient="portrait"/>
          <w:cols w:equalWidth="0" w:num="2">
            <w:col w:w="7520" w:space="720"/>
            <w:col w:w="779"/>
          </w:cols>
          <w:pgMar w:left="1440" w:top="23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5980" cy="31750"/>
                    </a:xfrm>
                    <a:prstGeom prst="rect">
                      <a:avLst/>
                    </a:prstGeom>
                    <a:noFill/>
                  </pic:spPr>
                </pic:pic>
              </a:graphicData>
            </a:graphic>
          </wp:anchor>
        </w:drawing>
        <w:t>ABOUT THIS PROSPECTUS SUPPLEMENT</w:t>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3"/>
          <w:szCs w:val="13"/>
          <w:color w:val="auto"/>
        </w:rPr>
        <w:t>As used in this prospectus supplement, unless otherwise stated or the context otherwise requires:</w:t>
      </w:r>
    </w:p>
    <w:p>
      <w:pPr>
        <w:spacing w:after="0" w:line="91" w:lineRule="exact"/>
        <w:rPr>
          <w:sz w:val="20"/>
          <w:szCs w:val="20"/>
          <w:color w:val="auto"/>
        </w:rPr>
      </w:pPr>
    </w:p>
    <w:p>
      <w:pPr>
        <w:ind w:left="1140" w:hanging="328"/>
        <w:spacing w:after="0"/>
        <w:tabs>
          <w:tab w:leader="none" w:pos="11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“Company” refers to Schlumberger Investment S.A., as defined on the first page of this prospectus supplement;</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“Guarantor” refers to SLB Limited, the ultimate parent of the Company;</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“SLB Group” or “SLB” refers to SLB Limited and its consolidated subsidiaries, including the Company; and</w:t>
      </w:r>
    </w:p>
    <w:p>
      <w:pPr>
        <w:spacing w:after="0" w:line="91" w:lineRule="exact"/>
        <w:rPr>
          <w:rFonts w:ascii="Arial" w:cs="Arial" w:eastAsia="Arial" w:hAnsi="Arial"/>
          <w:sz w:val="13"/>
          <w:szCs w:val="13"/>
          <w:color w:val="auto"/>
        </w:rPr>
      </w:pPr>
    </w:p>
    <w:p>
      <w:pPr>
        <w:ind w:left="1140" w:right="519" w:hanging="328"/>
        <w:spacing w:after="0" w:line="282" w:lineRule="auto"/>
        <w:tabs>
          <w:tab w:leader="none" w:pos="114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“us” and “our” and similar expressions refer to the SLB Group, including the Company, except when used in connection with the “Notes,” in which case these terms refer solely to the Company.</w:t>
      </w:r>
    </w:p>
    <w:p>
      <w:pPr>
        <w:spacing w:after="0" w:line="110" w:lineRule="exact"/>
        <w:rPr>
          <w:sz w:val="20"/>
          <w:szCs w:val="20"/>
          <w:color w:val="auto"/>
        </w:rPr>
      </w:pPr>
    </w:p>
    <w:p>
      <w:pPr>
        <w:ind w:left="420" w:right="559" w:firstLine="327"/>
        <w:spacing w:after="0" w:line="249" w:lineRule="auto"/>
        <w:rPr>
          <w:sz w:val="20"/>
          <w:szCs w:val="20"/>
          <w:color w:val="auto"/>
        </w:rPr>
      </w:pPr>
      <w:r>
        <w:rPr>
          <w:rFonts w:ascii="Arial" w:cs="Arial" w:eastAsia="Arial" w:hAnsi="Arial"/>
          <w:sz w:val="13"/>
          <w:szCs w:val="13"/>
          <w:color w:val="auto"/>
        </w:rPr>
        <w:t>This document is in two parts. The first part is this prospectus supplement, which describes the specific terms of the Notes we are offering and certain other matters relating to us and our financial condition. The second part, the accompanying prospectus, gives more general information about securities we may offer from time to time, some of which may not apply to the Notes. You should read this prospectus supplement along with the accompanying prospectus, as well as the documents incorporated by reference in this prospectus supplement and the accompanying prospectus. If the description of the Notes varies between this prospectus supplement and the accompanying prospectus, you should rely on the information in this prospectus supplement.</w:t>
      </w:r>
    </w:p>
    <w:p>
      <w:pPr>
        <w:spacing w:after="0" w:line="133" w:lineRule="exact"/>
        <w:rPr>
          <w:sz w:val="20"/>
          <w:szCs w:val="20"/>
          <w:color w:val="auto"/>
        </w:rPr>
      </w:pPr>
    </w:p>
    <w:p>
      <w:pPr>
        <w:ind w:left="420" w:right="419" w:firstLine="327"/>
        <w:spacing w:after="0" w:line="247" w:lineRule="auto"/>
        <w:rPr>
          <w:sz w:val="20"/>
          <w:szCs w:val="20"/>
          <w:color w:val="auto"/>
        </w:rPr>
      </w:pPr>
      <w:r>
        <w:rPr>
          <w:rFonts w:ascii="Arial" w:cs="Arial" w:eastAsia="Arial" w:hAnsi="Arial"/>
          <w:sz w:val="13"/>
          <w:szCs w:val="13"/>
          <w:color w:val="auto"/>
        </w:rPr>
        <w:t>We have not, and the underwriters have not, authorized any other person to provide you with information other than that contained or incorporated by reference in this prospectus supplement and the accompanying prospectus or in any related free writing prospectus. The information contained or incorporated by reference in this prospectus supplement and the accompanying prospectus is accurate as of the date on the front cover of such documents only. The business, properties, assets, results of operations, financial position or prospects of the Company and the Guarantor may have changed since that date. Neither the delivery of this prospectus supplement nor of the accompanying prospectus, nor any sale made thereunder, will imply that the information herein is correct as of any date subsequent to the date on the cover of such documents. We are not, and the underwriters are not, making an offer to sell the Notes in any jurisdiction where the offer or sale is not permitted.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S-ii</w:t>
      </w:r>
    </w:p>
    <w:p>
      <w:pPr>
        <w:sectPr>
          <w:pgSz w:w="11900" w:h="16838" w:orient="portrait"/>
          <w:cols w:equalWidth="0" w:num="1">
            <w:col w:w="9019"/>
          </w:cols>
          <w:pgMar w:left="1440" w:top="235"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5980" cy="31750"/>
                    </a:xfrm>
                    <a:prstGeom prst="rect">
                      <a:avLst/>
                    </a:prstGeom>
                    <a:noFill/>
                  </pic:spPr>
                </pic:pic>
              </a:graphicData>
            </a:graphic>
          </wp:anchor>
        </w:drawing>
        <w:t>CAUTIONARY STATEMENT REGARDING FORWARD-LOOKING STATEMENTS</w:t>
      </w:r>
    </w:p>
    <w:p>
      <w:pPr>
        <w:spacing w:after="0" w:line="164" w:lineRule="exact"/>
        <w:rPr>
          <w:sz w:val="20"/>
          <w:szCs w:val="20"/>
          <w:color w:val="auto"/>
        </w:rPr>
      </w:pPr>
    </w:p>
    <w:p>
      <w:pPr>
        <w:ind w:left="420" w:right="479" w:firstLine="327"/>
        <w:spacing w:after="0" w:line="251" w:lineRule="auto"/>
        <w:rPr>
          <w:sz w:val="20"/>
          <w:szCs w:val="20"/>
          <w:color w:val="auto"/>
        </w:rPr>
      </w:pPr>
      <w:r>
        <w:rPr>
          <w:rFonts w:ascii="Arial" w:cs="Arial" w:eastAsia="Arial" w:hAnsi="Arial"/>
          <w:sz w:val="13"/>
          <w:szCs w:val="13"/>
          <w:color w:val="auto"/>
        </w:rPr>
        <w:t>This prospectus supplement, the accompanying prospectus and the documents incorporated by reference herein contain “forward-looking statements” within the meaning of the U.S. Private Securities Litigation Reform Act of 1995,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w:t>
      </w:r>
    </w:p>
    <w:p>
      <w:pPr>
        <w:spacing w:after="0" w:line="131" w:lineRule="exact"/>
        <w:rPr>
          <w:sz w:val="20"/>
          <w:szCs w:val="20"/>
          <w:color w:val="auto"/>
        </w:rPr>
      </w:pPr>
    </w:p>
    <w:p>
      <w:pPr>
        <w:ind w:left="420" w:right="499" w:firstLine="327"/>
        <w:spacing w:after="0" w:line="245" w:lineRule="auto"/>
        <w:rPr>
          <w:sz w:val="20"/>
          <w:szCs w:val="20"/>
          <w:color w:val="auto"/>
        </w:rPr>
      </w:pPr>
      <w:r>
        <w:rPr>
          <w:rFonts w:ascii="Arial" w:cs="Arial" w:eastAsia="Arial" w:hAnsi="Arial"/>
          <w:sz w:val="13"/>
          <w:szCs w:val="13"/>
          <w:color w:val="auto"/>
        </w:rPr>
        <w:t>The following important factors, in addition to those discussed under “Risk Factors” and in the documents incorporated by reference herein, could affect the future results of the SLB Group, and could cause those results to differ materially from those expressed in or implied by such forward-looking statements: the SLB Group’s financial and performance targets and other forecasts or expectations regarding, or dependent on, its business outlook; growth for the SLB Group as a whole and for each of its Divisions (and for specified business lines, geographic areas or technologies within each Division); the benefits of the ChampionX acquisition, including the ability of the SLB Group to integrate the ChampionX business successfully and to achieve anticipated synergies and value creation from the acquisition; oil and natural gas demand and production growth; oil and natural gas prices; forecasts or expectations regarding energy transition and global climate change; improvements in operating procedures and technology; capital expenditures by the SLB Group and the oil and gas industry; the business strategies of the SLB Group, including digital and “fit for basin,” as well as the strategies of the SLB Group’s customers; the SLB Group’s capital allocation plans, including dividend plans and share repurchase programs; the SLB Group’s APS projects, joint ventures, and other alliances; the impact of ongoing or escalating conflicts on global energy supply; access to raw materials; future global economic and geopolitical conditions; future liquidity, including free cash flow; and future results of operations, such as margin levels.</w:t>
      </w:r>
    </w:p>
    <w:p>
      <w:pPr>
        <w:spacing w:after="0" w:line="286" w:lineRule="exact"/>
        <w:rPr>
          <w:sz w:val="20"/>
          <w:szCs w:val="20"/>
          <w:color w:val="auto"/>
        </w:rPr>
      </w:pPr>
    </w:p>
    <w:p>
      <w:pPr>
        <w:ind w:left="420" w:right="439" w:firstLine="327"/>
        <w:spacing w:after="0" w:line="245" w:lineRule="auto"/>
        <w:rPr>
          <w:sz w:val="20"/>
          <w:szCs w:val="20"/>
          <w:color w:val="auto"/>
        </w:rPr>
      </w:pPr>
      <w:r>
        <w:rPr>
          <w:rFonts w:ascii="Arial" w:cs="Arial" w:eastAsia="Arial" w:hAnsi="Arial"/>
          <w:sz w:val="13"/>
          <w:szCs w:val="13"/>
          <w:color w:val="auto"/>
        </w:rPr>
        <w:t>These statements are subject to risks and uncertainties, including, but not limited to, changing global economic and geopolitical conditions; changes in exploration and production spending by the SLB Group’s customers, and changes in the level of oil and natural gas exploration and development; the results of operations and financial condition of the SLB Group’s customers and suppliers; the SLB Group’s inability to achieve its financial and performance targets and other forecasts and expectations; the SLB Group’s inability to achieve net-zero carbon emissions goals or interim emissions reduction goals; general economic, geopolitical, and business conditions in key regions of the world; foreign currency risk; inflation; changes in monetary policy by governments; tariffs; pricing pressure; weather and seasonal factors; unfavorable effects of health pandemics; availability and cost of raw materials; operational modifications, delays or cancellations; challenges in the SLB Group’s supply chain; production declines; the extent of future charges; the SLB Group’s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prospectus supplement and in the Guarantor’s filings with the Securities and Exchange Commission (the “SEC”).</w:t>
      </w:r>
    </w:p>
    <w:p>
      <w:pPr>
        <w:spacing w:after="0" w:line="133" w:lineRule="exact"/>
        <w:rPr>
          <w:sz w:val="20"/>
          <w:szCs w:val="20"/>
          <w:color w:val="auto"/>
        </w:rPr>
      </w:pPr>
    </w:p>
    <w:p>
      <w:pPr>
        <w:ind w:left="420" w:right="439" w:firstLine="327"/>
        <w:spacing w:after="0" w:line="255" w:lineRule="auto"/>
        <w:rPr>
          <w:sz w:val="20"/>
          <w:szCs w:val="20"/>
          <w:color w:val="auto"/>
        </w:rPr>
      </w:pPr>
      <w:r>
        <w:rPr>
          <w:rFonts w:ascii="Arial" w:cs="Arial" w:eastAsia="Arial" w:hAnsi="Arial"/>
          <w:sz w:val="13"/>
          <w:szCs w:val="13"/>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All subsequent written and oral forward -looking statements attributable to the SLB Group or to persons acting on their behalf are expressly qualified in their entirety by reference to these risks and uncertainties. You should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S-iii</w:t>
      </w:r>
    </w:p>
    <w:p>
      <w:pPr>
        <w:sectPr>
          <w:pgSz w:w="11900" w:h="16838" w:orient="portrait"/>
          <w:cols w:equalWidth="0" w:num="1">
            <w:col w:w="9019"/>
          </w:cols>
          <w:pgMar w:left="1440" w:top="235" w:right="1440" w:bottom="1440" w:gutter="0" w:footer="0" w:header="0"/>
        </w:sectPr>
      </w:pPr>
    </w:p>
    <w:bookmarkStart w:id="4" w:name="page5"/>
    <w:bookmarkEnd w:id="4"/>
    <w:p>
      <w:pPr>
        <w:ind w:left="420" w:right="419"/>
        <w:spacing w:after="0" w:line="26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5980" cy="31750"/>
                    </a:xfrm>
                    <a:prstGeom prst="rect">
                      <a:avLst/>
                    </a:prstGeom>
                    <a:noFill/>
                  </pic:spPr>
                </pic:pic>
              </a:graphicData>
            </a:graphic>
          </wp:anchor>
        </w:drawing>
        <w:t>not place undue reliance on forward-looking statements. Each forward-looking statement speaks only as of the date of the particular statement, and we disclaim any intention or obligation to update publicly or revise such statements, whether as a result of new information, future events, or otherwise, except as required by law.</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S-iv</w:t>
      </w:r>
    </w:p>
    <w:p>
      <w:pPr>
        <w:sectPr>
          <w:pgSz w:w="11900" w:h="16838" w:orient="portrait"/>
          <w:cols w:equalWidth="0" w:num="1">
            <w:col w:w="9019"/>
          </w:cols>
          <w:pgMar w:left="1440" w:top="237"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4571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5980" cy="4571365"/>
                    </a:xfrm>
                    <a:prstGeom prst="rect">
                      <a:avLst/>
                    </a:prstGeom>
                    <a:noFill/>
                  </pic:spPr>
                </pic:pic>
              </a:graphicData>
            </a:graphic>
          </wp:anchor>
        </w:drawing>
        <w:t>SUMMARY</w:t>
      </w:r>
    </w:p>
    <w:p>
      <w:pPr>
        <w:spacing w:after="0" w:line="164" w:lineRule="exact"/>
        <w:rPr>
          <w:sz w:val="20"/>
          <w:szCs w:val="20"/>
          <w:color w:val="auto"/>
        </w:rPr>
      </w:pPr>
    </w:p>
    <w:p>
      <w:pPr>
        <w:ind w:left="540" w:right="679" w:firstLine="317"/>
        <w:spacing w:after="0" w:line="255" w:lineRule="auto"/>
        <w:rPr>
          <w:sz w:val="20"/>
          <w:szCs w:val="20"/>
          <w:color w:val="auto"/>
        </w:rPr>
      </w:pPr>
      <w:r>
        <w:rPr>
          <w:rFonts w:ascii="Arial" w:cs="Arial" w:eastAsia="Arial" w:hAnsi="Arial"/>
          <w:sz w:val="13"/>
          <w:szCs w:val="13"/>
          <w:i w:val="1"/>
          <w:iCs w:val="1"/>
          <w:color w:val="auto"/>
        </w:rPr>
        <w:t>This summary may not contain all of the information that may be important to you. You should read this summary together with this entire prospectus supplement and the accompanying prospectus and the documents that we have incorporated herein by reference, including the “Risk Factors” section of this prospectus supplement, the Guarantor’s Annual Report on Form 10-K for the year ended December 31, 2025 and the Guarantor’s Quarterly Report on Form 10-Q for the fiscal quarter ended March 31, 2026.</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Business</w:t>
      </w:r>
    </w:p>
    <w:p>
      <w:pPr>
        <w:spacing w:after="0" w:line="83" w:lineRule="exact"/>
        <w:rPr>
          <w:sz w:val="20"/>
          <w:szCs w:val="20"/>
          <w:color w:val="auto"/>
        </w:rPr>
      </w:pPr>
    </w:p>
    <w:p>
      <w:pPr>
        <w:ind w:left="540" w:right="599" w:firstLine="317"/>
        <w:spacing w:after="0" w:line="255" w:lineRule="auto"/>
        <w:rPr>
          <w:sz w:val="20"/>
          <w:szCs w:val="20"/>
          <w:color w:val="auto"/>
        </w:rPr>
      </w:pPr>
      <w:r>
        <w:rPr>
          <w:rFonts w:ascii="Arial" w:cs="Arial" w:eastAsia="Arial" w:hAnsi="Arial"/>
          <w:sz w:val="13"/>
          <w:szCs w:val="13"/>
          <w:color w:val="auto"/>
        </w:rPr>
        <w:t>The SLB Group is a global technology company driving energy innovation for a balanced planet. With a global presence in more than 100 countries and employees representing almost twice as many nationalities, we work each day on innovating energy technology, delivering digital at scale, decarbonizing industries, and developing and scaling new energy systems that accelerate the energy transition.</w:t>
      </w:r>
    </w:p>
    <w:p>
      <w:pPr>
        <w:spacing w:after="0" w:line="127" w:lineRule="exact"/>
        <w:rPr>
          <w:sz w:val="20"/>
          <w:szCs w:val="20"/>
          <w:color w:val="auto"/>
        </w:rPr>
      </w:pPr>
    </w:p>
    <w:p>
      <w:pPr>
        <w:ind w:left="540" w:right="599" w:firstLine="317"/>
        <w:spacing w:after="0" w:line="262" w:lineRule="auto"/>
        <w:rPr>
          <w:sz w:val="20"/>
          <w:szCs w:val="20"/>
          <w:color w:val="auto"/>
        </w:rPr>
      </w:pPr>
      <w:r>
        <w:rPr>
          <w:rFonts w:ascii="Arial" w:cs="Arial" w:eastAsia="Arial" w:hAnsi="Arial"/>
          <w:sz w:val="13"/>
          <w:szCs w:val="13"/>
          <w:color w:val="auto"/>
        </w:rPr>
        <w:t>The SLB Group is primarily organized under four Divisions that combine and integrate the SLB Group’s technologies, enhancing its ability to support the emerging long-term growth opportunities in each of these market segments. The four Divisions are Digital, Reservoir Performance, Well Construction, and Production Systems.</w:t>
      </w:r>
    </w:p>
    <w:p>
      <w:pPr>
        <w:spacing w:after="0" w:line="122" w:lineRule="exact"/>
        <w:rPr>
          <w:sz w:val="20"/>
          <w:szCs w:val="20"/>
          <w:color w:val="auto"/>
        </w:rPr>
      </w:pPr>
    </w:p>
    <w:p>
      <w:pPr>
        <w:ind w:left="540" w:right="699" w:firstLine="317"/>
        <w:spacing w:after="0" w:line="249" w:lineRule="auto"/>
        <w:rPr>
          <w:sz w:val="20"/>
          <w:szCs w:val="20"/>
          <w:color w:val="auto"/>
        </w:rPr>
      </w:pPr>
      <w:r>
        <w:rPr>
          <w:rFonts w:ascii="Arial" w:cs="Arial" w:eastAsia="Arial" w:hAnsi="Arial"/>
          <w:sz w:val="13"/>
          <w:szCs w:val="13"/>
          <w:color w:val="auto"/>
        </w:rPr>
        <w:t>The SLB Group operates through a geographical structure of five basins that are aligned with critical concentrations of activity: North America Land; Americas; Europe and Africa; Middle East and North Africa; and Asia. The basins are configured around common regional characteristics that enable the SLB Group to deploy fit-for-purpose technologies, operating models, and skills to meet the specific customer needs in each basin. The basins are further organized into GeoUnits, which can be a region, a single country, or comprise several countries. With a strong focus on customers, the basins identify opportunities for growth, and are focused on agility, responsiveness, and competitiveness.</w:t>
      </w:r>
    </w:p>
    <w:p>
      <w:pPr>
        <w:spacing w:after="0" w:line="133" w:lineRule="exact"/>
        <w:rPr>
          <w:sz w:val="20"/>
          <w:szCs w:val="20"/>
          <w:color w:val="auto"/>
        </w:rPr>
      </w:pPr>
    </w:p>
    <w:p>
      <w:pPr>
        <w:ind w:left="540" w:right="779" w:firstLine="317"/>
        <w:spacing w:after="0" w:line="255" w:lineRule="auto"/>
        <w:rPr>
          <w:sz w:val="20"/>
          <w:szCs w:val="20"/>
          <w:color w:val="auto"/>
        </w:rPr>
      </w:pPr>
      <w:r>
        <w:rPr>
          <w:rFonts w:ascii="Arial" w:cs="Arial" w:eastAsia="Arial" w:hAnsi="Arial"/>
          <w:sz w:val="13"/>
          <w:szCs w:val="13"/>
          <w:color w:val="auto"/>
        </w:rPr>
        <w:t>Supporting the Divisions is a global network of research and development centers. Through these centers the SLB Group advance its technology programs to enhance industry efficiency, lower finding and producing costs, improve productivity, maximize reserve recovery, and increase asset value safely, securely, and sustainably. These centers also support the SLB Group’s investments in lower carbon energy sources and carbon capture technologies.</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About the Guarantor</w:t>
      </w:r>
    </w:p>
    <w:p>
      <w:pPr>
        <w:spacing w:after="0" w:line="83" w:lineRule="exact"/>
        <w:rPr>
          <w:sz w:val="20"/>
          <w:szCs w:val="20"/>
          <w:color w:val="auto"/>
        </w:rPr>
      </w:pPr>
    </w:p>
    <w:p>
      <w:pPr>
        <w:ind w:left="540" w:right="799" w:firstLine="317"/>
        <w:spacing w:after="0" w:line="262" w:lineRule="auto"/>
        <w:rPr>
          <w:sz w:val="20"/>
          <w:szCs w:val="20"/>
          <w:color w:val="auto"/>
        </w:rPr>
      </w:pPr>
      <w:r>
        <w:rPr>
          <w:rFonts w:ascii="Arial" w:cs="Arial" w:eastAsia="Arial" w:hAnsi="Arial"/>
          <w:sz w:val="13"/>
          <w:szCs w:val="13"/>
          <w:color w:val="auto"/>
        </w:rPr>
        <w:t>The SLB Group was founded in 1926, and SLB Limited, the NYSE-listed parent of the SLB Group, was incorporated in 1956. SLB Limited is governed by the applicable laws of Curaçao, and is entered into the Curaçao Commercial Register with company number 1674.</w:t>
      </w:r>
    </w:p>
    <w:p>
      <w:pPr>
        <w:spacing w:after="0" w:line="122" w:lineRule="exact"/>
        <w:rPr>
          <w:sz w:val="20"/>
          <w:szCs w:val="20"/>
          <w:color w:val="auto"/>
        </w:rPr>
      </w:pPr>
    </w:p>
    <w:p>
      <w:pPr>
        <w:ind w:left="540" w:right="679" w:firstLine="317"/>
        <w:spacing w:after="0" w:line="282" w:lineRule="auto"/>
        <w:rPr>
          <w:sz w:val="20"/>
          <w:szCs w:val="20"/>
          <w:color w:val="auto"/>
        </w:rPr>
      </w:pPr>
      <w:r>
        <w:rPr>
          <w:rFonts w:ascii="Arial" w:cs="Arial" w:eastAsia="Arial" w:hAnsi="Arial"/>
          <w:sz w:val="13"/>
          <w:szCs w:val="13"/>
          <w:color w:val="auto"/>
        </w:rPr>
        <w:t>The Guarantor has executive offices in Paris, Houston, and The Hague. The principal U.S. market for the Guarantor’s common stock is the New York Stock Exchange, where it is traded under the symbol “SLB.”</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About the Company</w:t>
      </w:r>
    </w:p>
    <w:p>
      <w:pPr>
        <w:spacing w:after="0" w:line="83" w:lineRule="exact"/>
        <w:rPr>
          <w:sz w:val="20"/>
          <w:szCs w:val="20"/>
          <w:color w:val="auto"/>
        </w:rPr>
      </w:pPr>
    </w:p>
    <w:p>
      <w:pPr>
        <w:ind w:left="540"/>
        <w:spacing w:after="0"/>
        <w:rPr>
          <w:sz w:val="20"/>
          <w:szCs w:val="20"/>
          <w:color w:val="auto"/>
        </w:rPr>
      </w:pPr>
      <w:r>
        <w:rPr>
          <w:rFonts w:ascii="Arial" w:cs="Arial" w:eastAsia="Arial" w:hAnsi="Arial"/>
          <w:sz w:val="13"/>
          <w:szCs w:val="13"/>
          <w:b w:val="1"/>
          <w:bCs w:val="1"/>
          <w:i w:val="1"/>
          <w:iCs w:val="1"/>
          <w:color w:val="auto"/>
        </w:rPr>
        <w:t>Legal and organizational status</w:t>
      </w:r>
    </w:p>
    <w:p>
      <w:pPr>
        <w:spacing w:after="0" w:line="81" w:lineRule="exact"/>
        <w:rPr>
          <w:sz w:val="20"/>
          <w:szCs w:val="20"/>
          <w:color w:val="auto"/>
        </w:rPr>
      </w:pPr>
    </w:p>
    <w:p>
      <w:pPr>
        <w:ind w:left="540" w:right="599" w:firstLine="317"/>
        <w:spacing w:after="0" w:line="282" w:lineRule="auto"/>
        <w:rPr>
          <w:sz w:val="20"/>
          <w:szCs w:val="20"/>
          <w:color w:val="auto"/>
        </w:rPr>
      </w:pPr>
      <w:r>
        <w:rPr>
          <w:rFonts w:ascii="Arial" w:cs="Arial" w:eastAsia="Arial" w:hAnsi="Arial"/>
          <w:sz w:val="13"/>
          <w:szCs w:val="13"/>
          <w:color w:val="auto"/>
        </w:rPr>
        <w:t>Schlumberger Investment S.A. is a public limited liability company (</w:t>
      </w:r>
      <w:r>
        <w:rPr>
          <w:rFonts w:ascii="Arial" w:cs="Arial" w:eastAsia="Arial" w:hAnsi="Arial"/>
          <w:sz w:val="13"/>
          <w:szCs w:val="13"/>
          <w:i w:val="1"/>
          <w:iCs w:val="1"/>
          <w:color w:val="auto"/>
        </w:rPr>
        <w:t>société anonyme</w:t>
      </w:r>
      <w:r>
        <w:rPr>
          <w:rFonts w:ascii="Arial" w:cs="Arial" w:eastAsia="Arial" w:hAnsi="Arial"/>
          <w:sz w:val="13"/>
          <w:szCs w:val="13"/>
          <w:color w:val="auto"/>
        </w:rPr>
        <w:t>) incorporated in 2011 under the laws of the Grand Duchy of Luxembourg and registered with the Luxembourg Trade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S-1</w:t>
      </w:r>
    </w:p>
    <w:p>
      <w:pPr>
        <w:sectPr>
          <w:pgSz w:w="11900" w:h="16838" w:orient="portrait"/>
          <w:cols w:equalWidth="0" w:num="1">
            <w:col w:w="9019"/>
          </w:cols>
          <w:pgMar w:left="1440" w:top="376" w:right="1440" w:bottom="1440" w:gutter="0" w:footer="0" w:header="0"/>
        </w:sectPr>
      </w:pPr>
    </w:p>
    <w:bookmarkStart w:id="6" w:name="page7"/>
    <w:bookmarkEnd w:id="6"/>
    <w:p>
      <w:pPr>
        <w:ind w:left="540" w:right="579"/>
        <w:spacing w:after="0" w:line="28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1028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5980" cy="1028700"/>
                    </a:xfrm>
                    <a:prstGeom prst="rect">
                      <a:avLst/>
                    </a:prstGeom>
                    <a:noFill/>
                  </pic:spPr>
                </pic:pic>
              </a:graphicData>
            </a:graphic>
          </wp:anchor>
        </w:drawing>
        <w:t>and Companies Register (Registre de Commerce et des Sociétés, Luxembourg) under number B 163.122. The Company’s registered office is at 5, Place de la Gare, L-1616 Luxembourg and its telephone number is +352 284 878 1045.</w:t>
      </w:r>
    </w:p>
    <w:p>
      <w:pPr>
        <w:spacing w:after="0" w:line="11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The Company is part of the SLB Group and all shares of the Company are owned indirectly by the Guarantor.</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3"/>
          <w:szCs w:val="13"/>
          <w:b w:val="1"/>
          <w:bCs w:val="1"/>
          <w:i w:val="1"/>
          <w:iCs w:val="1"/>
          <w:color w:val="auto"/>
        </w:rPr>
        <w:t>Activities</w:t>
      </w:r>
    </w:p>
    <w:p>
      <w:pPr>
        <w:spacing w:after="0" w:line="8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The Company has no subsidiaries, and its principal activities are debt issuance and intercompany group financing.</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S-2</w:t>
      </w:r>
    </w:p>
    <w:p>
      <w:pPr>
        <w:sectPr>
          <w:pgSz w:w="11900" w:h="16838" w:orient="portrait"/>
          <w:cols w:equalWidth="0" w:num="1">
            <w:col w:w="9019"/>
          </w:cols>
          <w:pgMar w:left="1440" w:top="378"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45142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5980" cy="4514215"/>
                    </a:xfrm>
                    <a:prstGeom prst="rect">
                      <a:avLst/>
                    </a:prstGeom>
                    <a:noFill/>
                  </pic:spPr>
                </pic:pic>
              </a:graphicData>
            </a:graphic>
          </wp:anchor>
        </w:drawing>
        <w:t>The Offering</w:t>
      </w:r>
    </w:p>
    <w:p>
      <w:pPr>
        <w:spacing w:after="0" w:line="164" w:lineRule="exact"/>
        <w:rPr>
          <w:sz w:val="20"/>
          <w:szCs w:val="20"/>
          <w:color w:val="auto"/>
        </w:rPr>
      </w:pPr>
    </w:p>
    <w:p>
      <w:pPr>
        <w:ind w:left="540" w:right="659" w:firstLine="317"/>
        <w:spacing w:after="0" w:line="262" w:lineRule="auto"/>
        <w:rPr>
          <w:sz w:val="20"/>
          <w:szCs w:val="20"/>
          <w:color w:val="auto"/>
        </w:rPr>
      </w:pPr>
      <w:r>
        <w:rPr>
          <w:rFonts w:ascii="Arial" w:cs="Arial" w:eastAsia="Arial" w:hAnsi="Arial"/>
          <w:sz w:val="13"/>
          <w:szCs w:val="13"/>
          <w:color w:val="auto"/>
        </w:rPr>
        <w:t>The following summary contains basic information about the Notes. It does not contain all the information that is important to you. For a more complete understanding of the Notes, please refer to the section of this prospectus supplement entitled “Description of the Notes,” including those subsections to which we have referred you below.</w:t>
      </w:r>
    </w:p>
    <w:p>
      <w:pPr>
        <w:spacing w:after="0" w:line="50" w:lineRule="exact"/>
        <w:rPr>
          <w:sz w:val="20"/>
          <w:szCs w:val="20"/>
          <w:color w:val="auto"/>
        </w:rPr>
      </w:pPr>
    </w:p>
    <w:tbl>
      <w:tblPr>
        <w:tblLayout w:type="fixed"/>
        <w:tblInd w:w="420" w:type="dxa"/>
        <w:tblCellMar>
          <w:top w:w="0" w:type="dxa"/>
          <w:left w:w="0" w:type="dxa"/>
          <w:bottom w:w="0" w:type="dxa"/>
          <w:right w:w="0" w:type="dxa"/>
        </w:tblCellMar>
      </w:tblPr>
      <w:tr>
        <w:trPr>
          <w:trHeight w:val="185"/>
        </w:trPr>
        <w:tc>
          <w:tcPr>
            <w:tcW w:w="2420" w:type="dxa"/>
            <w:vAlign w:val="bottom"/>
          </w:tcPr>
          <w:p>
            <w:pPr>
              <w:ind w:left="120"/>
              <w:spacing w:after="0"/>
              <w:rPr>
                <w:sz w:val="20"/>
                <w:szCs w:val="20"/>
                <w:color w:val="auto"/>
              </w:rPr>
            </w:pPr>
            <w:r>
              <w:rPr>
                <w:rFonts w:ascii="Arial" w:cs="Arial" w:eastAsia="Arial" w:hAnsi="Arial"/>
                <w:sz w:val="13"/>
                <w:szCs w:val="13"/>
                <w:b w:val="1"/>
                <w:bCs w:val="1"/>
                <w:color w:val="auto"/>
              </w:rPr>
              <w:t>Issuer</w:t>
            </w:r>
          </w:p>
        </w:tc>
        <w:tc>
          <w:tcPr>
            <w:tcW w:w="5760" w:type="dxa"/>
            <w:vAlign w:val="bottom"/>
          </w:tcPr>
          <w:p>
            <w:pPr>
              <w:ind w:left="700"/>
              <w:spacing w:after="0"/>
              <w:rPr>
                <w:sz w:val="20"/>
                <w:szCs w:val="20"/>
                <w:color w:val="auto"/>
              </w:rPr>
            </w:pPr>
            <w:r>
              <w:rPr>
                <w:rFonts w:ascii="Arial" w:cs="Arial" w:eastAsia="Arial" w:hAnsi="Arial"/>
                <w:sz w:val="13"/>
                <w:szCs w:val="13"/>
                <w:color w:val="auto"/>
              </w:rPr>
              <w:t>Schlumberger Investment S.A.</w:t>
            </w:r>
          </w:p>
        </w:tc>
      </w:tr>
      <w:tr>
        <w:trPr>
          <w:trHeight w:val="251"/>
        </w:trPr>
        <w:tc>
          <w:tcPr>
            <w:tcW w:w="2420" w:type="dxa"/>
            <w:vAlign w:val="bottom"/>
          </w:tcPr>
          <w:p>
            <w:pPr>
              <w:ind w:left="120"/>
              <w:spacing w:after="0"/>
              <w:rPr>
                <w:sz w:val="20"/>
                <w:szCs w:val="20"/>
                <w:color w:val="auto"/>
              </w:rPr>
            </w:pPr>
            <w:r>
              <w:rPr>
                <w:rFonts w:ascii="Arial" w:cs="Arial" w:eastAsia="Arial" w:hAnsi="Arial"/>
                <w:sz w:val="13"/>
                <w:szCs w:val="13"/>
                <w:b w:val="1"/>
                <w:bCs w:val="1"/>
                <w:color w:val="auto"/>
              </w:rPr>
              <w:t>Guarantor</w:t>
            </w:r>
          </w:p>
        </w:tc>
        <w:tc>
          <w:tcPr>
            <w:tcW w:w="5760" w:type="dxa"/>
            <w:vAlign w:val="bottom"/>
          </w:tcPr>
          <w:p>
            <w:pPr>
              <w:ind w:left="700"/>
              <w:spacing w:after="0"/>
              <w:rPr>
                <w:sz w:val="20"/>
                <w:szCs w:val="20"/>
                <w:color w:val="auto"/>
              </w:rPr>
            </w:pPr>
            <w:r>
              <w:rPr>
                <w:rFonts w:ascii="Arial" w:cs="Arial" w:eastAsia="Arial" w:hAnsi="Arial"/>
                <w:sz w:val="13"/>
                <w:szCs w:val="13"/>
                <w:color w:val="auto"/>
              </w:rPr>
              <w:t>SLB Limited.</w:t>
            </w:r>
          </w:p>
        </w:tc>
      </w:tr>
      <w:tr>
        <w:trPr>
          <w:trHeight w:val="251"/>
        </w:trPr>
        <w:tc>
          <w:tcPr>
            <w:tcW w:w="2420" w:type="dxa"/>
            <w:vAlign w:val="bottom"/>
          </w:tcPr>
          <w:p>
            <w:pPr>
              <w:ind w:left="120"/>
              <w:spacing w:after="0"/>
              <w:rPr>
                <w:sz w:val="20"/>
                <w:szCs w:val="20"/>
                <w:color w:val="auto"/>
              </w:rPr>
            </w:pPr>
            <w:r>
              <w:rPr>
                <w:rFonts w:ascii="Arial" w:cs="Arial" w:eastAsia="Arial" w:hAnsi="Arial"/>
                <w:sz w:val="13"/>
                <w:szCs w:val="13"/>
                <w:b w:val="1"/>
                <w:bCs w:val="1"/>
                <w:color w:val="auto"/>
              </w:rPr>
              <w:t>Notes Offered</w:t>
            </w:r>
          </w:p>
        </w:tc>
        <w:tc>
          <w:tcPr>
            <w:tcW w:w="5760" w:type="dxa"/>
            <w:vAlign w:val="bottom"/>
          </w:tcPr>
          <w:p>
            <w:pPr>
              <w:ind w:left="700"/>
              <w:spacing w:after="0"/>
              <w:rPr>
                <w:sz w:val="20"/>
                <w:szCs w:val="20"/>
                <w:color w:val="auto"/>
              </w:rPr>
            </w:pPr>
            <w:r>
              <w:rPr>
                <w:rFonts w:ascii="Arial" w:cs="Arial" w:eastAsia="Arial" w:hAnsi="Arial"/>
                <w:sz w:val="13"/>
                <w:szCs w:val="13"/>
                <w:color w:val="auto"/>
              </w:rPr>
              <w:t>US$500,000,000 principal amount of 4.550% Senior Notes due 2031.</w:t>
            </w:r>
          </w:p>
        </w:tc>
      </w:tr>
      <w:tr>
        <w:trPr>
          <w:trHeight w:val="243"/>
        </w:trPr>
        <w:tc>
          <w:tcPr>
            <w:tcW w:w="2420" w:type="dxa"/>
            <w:vAlign w:val="bottom"/>
          </w:tcPr>
          <w:p>
            <w:pPr>
              <w:spacing w:after="0"/>
              <w:rPr>
                <w:sz w:val="21"/>
                <w:szCs w:val="21"/>
                <w:color w:val="auto"/>
              </w:rPr>
            </w:pPr>
          </w:p>
        </w:tc>
        <w:tc>
          <w:tcPr>
            <w:tcW w:w="5760" w:type="dxa"/>
            <w:vAlign w:val="bottom"/>
          </w:tcPr>
          <w:p>
            <w:pPr>
              <w:ind w:left="700"/>
              <w:spacing w:after="0"/>
              <w:rPr>
                <w:sz w:val="20"/>
                <w:szCs w:val="20"/>
                <w:color w:val="auto"/>
              </w:rPr>
            </w:pPr>
            <w:r>
              <w:rPr>
                <w:rFonts w:ascii="Arial" w:cs="Arial" w:eastAsia="Arial" w:hAnsi="Arial"/>
                <w:sz w:val="13"/>
                <w:szCs w:val="13"/>
                <w:color w:val="auto"/>
              </w:rPr>
              <w:t>US$500,000,000 principal amount of 4.800% Senior Notes due 2033.</w:t>
            </w:r>
          </w:p>
        </w:tc>
      </w:tr>
      <w:tr>
        <w:trPr>
          <w:trHeight w:val="241"/>
        </w:trPr>
        <w:tc>
          <w:tcPr>
            <w:tcW w:w="2420" w:type="dxa"/>
            <w:vAlign w:val="bottom"/>
          </w:tcPr>
          <w:p>
            <w:pPr>
              <w:spacing w:after="0"/>
              <w:rPr>
                <w:sz w:val="20"/>
                <w:szCs w:val="20"/>
                <w:color w:val="auto"/>
              </w:rPr>
            </w:pPr>
          </w:p>
        </w:tc>
        <w:tc>
          <w:tcPr>
            <w:tcW w:w="5760" w:type="dxa"/>
            <w:vAlign w:val="bottom"/>
          </w:tcPr>
          <w:p>
            <w:pPr>
              <w:ind w:left="700"/>
              <w:spacing w:after="0"/>
              <w:rPr>
                <w:sz w:val="20"/>
                <w:szCs w:val="20"/>
                <w:color w:val="auto"/>
              </w:rPr>
            </w:pPr>
            <w:r>
              <w:rPr>
                <w:rFonts w:ascii="Arial" w:cs="Arial" w:eastAsia="Arial" w:hAnsi="Arial"/>
                <w:sz w:val="13"/>
                <w:szCs w:val="13"/>
                <w:color w:val="auto"/>
              </w:rPr>
              <w:t>US$1,000,000,000 principal amount of 5.150% Senior Notes due 2036.</w:t>
            </w:r>
          </w:p>
        </w:tc>
      </w:tr>
      <w:tr>
        <w:trPr>
          <w:trHeight w:val="249"/>
        </w:trPr>
        <w:tc>
          <w:tcPr>
            <w:tcW w:w="2420" w:type="dxa"/>
            <w:vAlign w:val="bottom"/>
          </w:tcPr>
          <w:p>
            <w:pPr>
              <w:ind w:left="120"/>
              <w:spacing w:after="0"/>
              <w:rPr>
                <w:sz w:val="20"/>
                <w:szCs w:val="20"/>
                <w:color w:val="auto"/>
              </w:rPr>
            </w:pPr>
            <w:r>
              <w:rPr>
                <w:rFonts w:ascii="Arial" w:cs="Arial" w:eastAsia="Arial" w:hAnsi="Arial"/>
                <w:sz w:val="13"/>
                <w:szCs w:val="13"/>
                <w:b w:val="1"/>
                <w:bCs w:val="1"/>
                <w:color w:val="auto"/>
              </w:rPr>
              <w:t>Maturity Date</w:t>
            </w:r>
          </w:p>
        </w:tc>
        <w:tc>
          <w:tcPr>
            <w:tcW w:w="5760" w:type="dxa"/>
            <w:vAlign w:val="bottom"/>
          </w:tcPr>
          <w:p>
            <w:pPr>
              <w:ind w:left="700"/>
              <w:spacing w:after="0"/>
              <w:rPr>
                <w:sz w:val="20"/>
                <w:szCs w:val="20"/>
                <w:color w:val="auto"/>
              </w:rPr>
            </w:pPr>
            <w:r>
              <w:rPr>
                <w:rFonts w:ascii="Arial" w:cs="Arial" w:eastAsia="Arial" w:hAnsi="Arial"/>
                <w:sz w:val="13"/>
                <w:szCs w:val="13"/>
                <w:color w:val="auto"/>
              </w:rPr>
              <w:t>The 2031 Notes will mature on May 7, 2031.</w:t>
            </w:r>
          </w:p>
        </w:tc>
      </w:tr>
      <w:tr>
        <w:trPr>
          <w:trHeight w:val="243"/>
        </w:trPr>
        <w:tc>
          <w:tcPr>
            <w:tcW w:w="2420" w:type="dxa"/>
            <w:vAlign w:val="bottom"/>
          </w:tcPr>
          <w:p>
            <w:pPr>
              <w:spacing w:after="0"/>
              <w:rPr>
                <w:sz w:val="21"/>
                <w:szCs w:val="21"/>
                <w:color w:val="auto"/>
              </w:rPr>
            </w:pPr>
          </w:p>
        </w:tc>
        <w:tc>
          <w:tcPr>
            <w:tcW w:w="5760" w:type="dxa"/>
            <w:vAlign w:val="bottom"/>
          </w:tcPr>
          <w:p>
            <w:pPr>
              <w:ind w:left="700"/>
              <w:spacing w:after="0"/>
              <w:rPr>
                <w:sz w:val="20"/>
                <w:szCs w:val="20"/>
                <w:color w:val="auto"/>
              </w:rPr>
            </w:pPr>
            <w:r>
              <w:rPr>
                <w:rFonts w:ascii="Arial" w:cs="Arial" w:eastAsia="Arial" w:hAnsi="Arial"/>
                <w:sz w:val="13"/>
                <w:szCs w:val="13"/>
                <w:color w:val="auto"/>
              </w:rPr>
              <w:t>The 2033 Notes will mature on May 7, 2033.</w:t>
            </w:r>
          </w:p>
        </w:tc>
      </w:tr>
      <w:tr>
        <w:trPr>
          <w:trHeight w:val="241"/>
        </w:trPr>
        <w:tc>
          <w:tcPr>
            <w:tcW w:w="2420" w:type="dxa"/>
            <w:vAlign w:val="bottom"/>
          </w:tcPr>
          <w:p>
            <w:pPr>
              <w:spacing w:after="0"/>
              <w:rPr>
                <w:sz w:val="20"/>
                <w:szCs w:val="20"/>
                <w:color w:val="auto"/>
              </w:rPr>
            </w:pPr>
          </w:p>
        </w:tc>
        <w:tc>
          <w:tcPr>
            <w:tcW w:w="5760" w:type="dxa"/>
            <w:vAlign w:val="bottom"/>
          </w:tcPr>
          <w:p>
            <w:pPr>
              <w:ind w:left="700"/>
              <w:spacing w:after="0"/>
              <w:rPr>
                <w:sz w:val="20"/>
                <w:szCs w:val="20"/>
                <w:color w:val="auto"/>
              </w:rPr>
            </w:pPr>
            <w:r>
              <w:rPr>
                <w:rFonts w:ascii="Arial" w:cs="Arial" w:eastAsia="Arial" w:hAnsi="Arial"/>
                <w:sz w:val="13"/>
                <w:szCs w:val="13"/>
                <w:color w:val="auto"/>
              </w:rPr>
              <w:t>The 2036 Notes will mature on May 7, 2036.</w:t>
            </w:r>
          </w:p>
        </w:tc>
      </w:tr>
      <w:tr>
        <w:trPr>
          <w:trHeight w:val="249"/>
        </w:trPr>
        <w:tc>
          <w:tcPr>
            <w:tcW w:w="2420" w:type="dxa"/>
            <w:vAlign w:val="bottom"/>
          </w:tcPr>
          <w:p>
            <w:pPr>
              <w:ind w:left="120"/>
              <w:spacing w:after="0"/>
              <w:rPr>
                <w:sz w:val="20"/>
                <w:szCs w:val="20"/>
                <w:color w:val="auto"/>
              </w:rPr>
            </w:pPr>
            <w:r>
              <w:rPr>
                <w:rFonts w:ascii="Arial" w:cs="Arial" w:eastAsia="Arial" w:hAnsi="Arial"/>
                <w:sz w:val="13"/>
                <w:szCs w:val="13"/>
                <w:b w:val="1"/>
                <w:bCs w:val="1"/>
                <w:color w:val="auto"/>
              </w:rPr>
              <w:t>Interest</w:t>
            </w:r>
          </w:p>
        </w:tc>
        <w:tc>
          <w:tcPr>
            <w:tcW w:w="5760" w:type="dxa"/>
            <w:vAlign w:val="bottom"/>
          </w:tcPr>
          <w:p>
            <w:pPr>
              <w:ind w:left="700"/>
              <w:spacing w:after="0"/>
              <w:rPr>
                <w:sz w:val="20"/>
                <w:szCs w:val="20"/>
                <w:color w:val="auto"/>
              </w:rPr>
            </w:pPr>
            <w:r>
              <w:rPr>
                <w:rFonts w:ascii="Arial" w:cs="Arial" w:eastAsia="Arial" w:hAnsi="Arial"/>
                <w:sz w:val="13"/>
                <w:szCs w:val="13"/>
                <w:color w:val="auto"/>
              </w:rPr>
              <w:t>The 2031 Notes will bear interest at 4.550% per annum.</w:t>
            </w:r>
          </w:p>
        </w:tc>
      </w:tr>
      <w:tr>
        <w:trPr>
          <w:trHeight w:val="243"/>
        </w:trPr>
        <w:tc>
          <w:tcPr>
            <w:tcW w:w="2420" w:type="dxa"/>
            <w:vAlign w:val="bottom"/>
          </w:tcPr>
          <w:p>
            <w:pPr>
              <w:spacing w:after="0"/>
              <w:rPr>
                <w:sz w:val="21"/>
                <w:szCs w:val="21"/>
                <w:color w:val="auto"/>
              </w:rPr>
            </w:pPr>
          </w:p>
        </w:tc>
        <w:tc>
          <w:tcPr>
            <w:tcW w:w="5760" w:type="dxa"/>
            <w:vAlign w:val="bottom"/>
          </w:tcPr>
          <w:p>
            <w:pPr>
              <w:ind w:left="700"/>
              <w:spacing w:after="0"/>
              <w:rPr>
                <w:sz w:val="20"/>
                <w:szCs w:val="20"/>
                <w:color w:val="auto"/>
              </w:rPr>
            </w:pPr>
            <w:r>
              <w:rPr>
                <w:rFonts w:ascii="Arial" w:cs="Arial" w:eastAsia="Arial" w:hAnsi="Arial"/>
                <w:sz w:val="13"/>
                <w:szCs w:val="13"/>
                <w:color w:val="auto"/>
              </w:rPr>
              <w:t>The 2033 Notes will bear interest at 4.800% per annum.</w:t>
            </w:r>
          </w:p>
        </w:tc>
      </w:tr>
      <w:tr>
        <w:trPr>
          <w:trHeight w:val="241"/>
        </w:trPr>
        <w:tc>
          <w:tcPr>
            <w:tcW w:w="2420" w:type="dxa"/>
            <w:vAlign w:val="bottom"/>
          </w:tcPr>
          <w:p>
            <w:pPr>
              <w:spacing w:after="0"/>
              <w:rPr>
                <w:sz w:val="20"/>
                <w:szCs w:val="20"/>
                <w:color w:val="auto"/>
              </w:rPr>
            </w:pPr>
          </w:p>
        </w:tc>
        <w:tc>
          <w:tcPr>
            <w:tcW w:w="5760" w:type="dxa"/>
            <w:vAlign w:val="bottom"/>
          </w:tcPr>
          <w:p>
            <w:pPr>
              <w:ind w:left="700"/>
              <w:spacing w:after="0"/>
              <w:rPr>
                <w:sz w:val="20"/>
                <w:szCs w:val="20"/>
                <w:color w:val="auto"/>
              </w:rPr>
            </w:pPr>
            <w:r>
              <w:rPr>
                <w:rFonts w:ascii="Arial" w:cs="Arial" w:eastAsia="Arial" w:hAnsi="Arial"/>
                <w:sz w:val="13"/>
                <w:szCs w:val="13"/>
                <w:color w:val="auto"/>
              </w:rPr>
              <w:t>The 2036 Notes will bear interest at 5.150% per annum.</w:t>
            </w:r>
          </w:p>
        </w:tc>
      </w:tr>
      <w:tr>
        <w:trPr>
          <w:trHeight w:val="216"/>
        </w:trPr>
        <w:tc>
          <w:tcPr>
            <w:tcW w:w="2420" w:type="dxa"/>
            <w:vAlign w:val="bottom"/>
          </w:tcPr>
          <w:p>
            <w:pPr>
              <w:ind w:left="120"/>
              <w:spacing w:after="0"/>
              <w:rPr>
                <w:sz w:val="20"/>
                <w:szCs w:val="20"/>
                <w:color w:val="auto"/>
              </w:rPr>
            </w:pPr>
            <w:r>
              <w:rPr>
                <w:rFonts w:ascii="Arial" w:cs="Arial" w:eastAsia="Arial" w:hAnsi="Arial"/>
                <w:sz w:val="13"/>
                <w:szCs w:val="13"/>
                <w:b w:val="1"/>
                <w:bCs w:val="1"/>
                <w:color w:val="auto"/>
              </w:rPr>
              <w:t>Interest Payment Dates</w:t>
            </w:r>
          </w:p>
        </w:tc>
        <w:tc>
          <w:tcPr>
            <w:tcW w:w="5760" w:type="dxa"/>
            <w:vAlign w:val="bottom"/>
          </w:tcPr>
          <w:p>
            <w:pPr>
              <w:ind w:left="700"/>
              <w:spacing w:after="0"/>
              <w:rPr>
                <w:sz w:val="20"/>
                <w:szCs w:val="20"/>
                <w:color w:val="auto"/>
              </w:rPr>
            </w:pPr>
            <w:r>
              <w:rPr>
                <w:rFonts w:ascii="Arial" w:cs="Arial" w:eastAsia="Arial" w:hAnsi="Arial"/>
                <w:sz w:val="13"/>
                <w:szCs w:val="13"/>
                <w:color w:val="auto"/>
              </w:rPr>
              <w:t>Interest on the Notes will be payable semi-annually on May 7 and November 7 of</w:t>
            </w:r>
          </w:p>
        </w:tc>
      </w:tr>
      <w:tr>
        <w:trPr>
          <w:trHeight w:val="175"/>
        </w:trPr>
        <w:tc>
          <w:tcPr>
            <w:tcW w:w="2420" w:type="dxa"/>
            <w:vAlign w:val="bottom"/>
          </w:tcPr>
          <w:p>
            <w:pPr>
              <w:spacing w:after="0"/>
              <w:rPr>
                <w:sz w:val="15"/>
                <w:szCs w:val="15"/>
                <w:color w:val="auto"/>
              </w:rPr>
            </w:pPr>
          </w:p>
        </w:tc>
        <w:tc>
          <w:tcPr>
            <w:tcW w:w="5760" w:type="dxa"/>
            <w:vAlign w:val="bottom"/>
          </w:tcPr>
          <w:p>
            <w:pPr>
              <w:ind w:left="700"/>
              <w:spacing w:after="0"/>
              <w:rPr>
                <w:sz w:val="20"/>
                <w:szCs w:val="20"/>
                <w:color w:val="auto"/>
              </w:rPr>
            </w:pPr>
            <w:r>
              <w:rPr>
                <w:rFonts w:ascii="Arial" w:cs="Arial" w:eastAsia="Arial" w:hAnsi="Arial"/>
                <w:sz w:val="13"/>
                <w:szCs w:val="13"/>
                <w:color w:val="auto"/>
              </w:rPr>
              <w:t>each year, commencing November 7, 2026.</w:t>
            </w:r>
          </w:p>
        </w:tc>
      </w:tr>
      <w:tr>
        <w:trPr>
          <w:trHeight w:val="216"/>
        </w:trPr>
        <w:tc>
          <w:tcPr>
            <w:tcW w:w="2420" w:type="dxa"/>
            <w:vAlign w:val="bottom"/>
          </w:tcPr>
          <w:p>
            <w:pPr>
              <w:ind w:left="120"/>
              <w:spacing w:after="0"/>
              <w:rPr>
                <w:sz w:val="20"/>
                <w:szCs w:val="20"/>
                <w:color w:val="auto"/>
              </w:rPr>
            </w:pPr>
            <w:r>
              <w:rPr>
                <w:rFonts w:ascii="Arial" w:cs="Arial" w:eastAsia="Arial" w:hAnsi="Arial"/>
                <w:sz w:val="13"/>
                <w:szCs w:val="13"/>
                <w:b w:val="1"/>
                <w:bCs w:val="1"/>
                <w:color w:val="auto"/>
              </w:rPr>
              <w:t>Guarantees</w:t>
            </w:r>
          </w:p>
        </w:tc>
        <w:tc>
          <w:tcPr>
            <w:tcW w:w="5760" w:type="dxa"/>
            <w:vAlign w:val="bottom"/>
          </w:tcPr>
          <w:p>
            <w:pPr>
              <w:ind w:left="700"/>
              <w:spacing w:after="0"/>
              <w:rPr>
                <w:sz w:val="20"/>
                <w:szCs w:val="20"/>
                <w:color w:val="auto"/>
              </w:rPr>
            </w:pPr>
            <w:r>
              <w:rPr>
                <w:rFonts w:ascii="Arial" w:cs="Arial" w:eastAsia="Arial" w:hAnsi="Arial"/>
                <w:sz w:val="13"/>
                <w:szCs w:val="13"/>
                <w:color w:val="auto"/>
              </w:rPr>
              <w:t>The Guarantor will fully and unconditionally guarantee the principal of, and any</w:t>
            </w:r>
          </w:p>
        </w:tc>
      </w:tr>
      <w:tr>
        <w:trPr>
          <w:trHeight w:val="150"/>
        </w:trPr>
        <w:tc>
          <w:tcPr>
            <w:tcW w:w="2420" w:type="dxa"/>
            <w:vAlign w:val="bottom"/>
          </w:tcPr>
          <w:p>
            <w:pPr>
              <w:spacing w:after="0"/>
              <w:rPr>
                <w:sz w:val="13"/>
                <w:szCs w:val="13"/>
                <w:color w:val="auto"/>
              </w:rPr>
            </w:pPr>
          </w:p>
        </w:tc>
        <w:tc>
          <w:tcPr>
            <w:tcW w:w="5760" w:type="dxa"/>
            <w:vAlign w:val="bottom"/>
          </w:tcPr>
          <w:p>
            <w:pPr>
              <w:ind w:left="700"/>
              <w:spacing w:after="0"/>
              <w:rPr>
                <w:sz w:val="20"/>
                <w:szCs w:val="20"/>
                <w:color w:val="auto"/>
              </w:rPr>
            </w:pPr>
            <w:r>
              <w:rPr>
                <w:rFonts w:ascii="Arial" w:cs="Arial" w:eastAsia="Arial" w:hAnsi="Arial"/>
                <w:sz w:val="13"/>
                <w:szCs w:val="13"/>
                <w:color w:val="auto"/>
              </w:rPr>
              <w:t>premium and interest on, the Notes and the Company’s obligations under the</w:t>
            </w:r>
          </w:p>
        </w:tc>
      </w:tr>
      <w:tr>
        <w:trPr>
          <w:trHeight w:val="175"/>
        </w:trPr>
        <w:tc>
          <w:tcPr>
            <w:tcW w:w="2420" w:type="dxa"/>
            <w:vAlign w:val="bottom"/>
          </w:tcPr>
          <w:p>
            <w:pPr>
              <w:spacing w:after="0"/>
              <w:rPr>
                <w:sz w:val="15"/>
                <w:szCs w:val="15"/>
                <w:color w:val="auto"/>
              </w:rPr>
            </w:pPr>
          </w:p>
        </w:tc>
        <w:tc>
          <w:tcPr>
            <w:tcW w:w="5760" w:type="dxa"/>
            <w:vAlign w:val="bottom"/>
          </w:tcPr>
          <w:p>
            <w:pPr>
              <w:ind w:left="700"/>
              <w:spacing w:after="0"/>
              <w:rPr>
                <w:sz w:val="20"/>
                <w:szCs w:val="20"/>
                <w:color w:val="auto"/>
              </w:rPr>
            </w:pPr>
            <w:r>
              <w:rPr>
                <w:rFonts w:ascii="Arial" w:cs="Arial" w:eastAsia="Arial" w:hAnsi="Arial"/>
                <w:sz w:val="13"/>
                <w:szCs w:val="13"/>
                <w:color w:val="auto"/>
              </w:rPr>
              <w:t>indenture, as described under “Description of the Notes—Guarantees.”</w:t>
            </w:r>
          </w:p>
        </w:tc>
      </w:tr>
      <w:tr>
        <w:trPr>
          <w:trHeight w:val="241"/>
        </w:trPr>
        <w:tc>
          <w:tcPr>
            <w:tcW w:w="2420" w:type="dxa"/>
            <w:vAlign w:val="bottom"/>
          </w:tcPr>
          <w:p>
            <w:pPr>
              <w:spacing w:after="0"/>
              <w:rPr>
                <w:sz w:val="20"/>
                <w:szCs w:val="20"/>
                <w:color w:val="auto"/>
              </w:rPr>
            </w:pPr>
          </w:p>
        </w:tc>
        <w:tc>
          <w:tcPr>
            <w:tcW w:w="5760" w:type="dxa"/>
            <w:vAlign w:val="bottom"/>
          </w:tcPr>
          <w:p>
            <w:pPr>
              <w:ind w:left="700"/>
              <w:spacing w:after="0"/>
              <w:rPr>
                <w:sz w:val="20"/>
                <w:szCs w:val="20"/>
                <w:color w:val="auto"/>
              </w:rPr>
            </w:pPr>
            <w:r>
              <w:rPr>
                <w:rFonts w:ascii="Arial" w:cs="Arial" w:eastAsia="Arial" w:hAnsi="Arial"/>
                <w:sz w:val="13"/>
                <w:szCs w:val="13"/>
                <w:color w:val="auto"/>
              </w:rPr>
              <w:t>The Notes will not be guaranteed by any of the Guarantor’s subsidiaries.</w:t>
            </w:r>
          </w:p>
        </w:tc>
      </w:tr>
      <w:tr>
        <w:trPr>
          <w:trHeight w:val="249"/>
        </w:trPr>
        <w:tc>
          <w:tcPr>
            <w:tcW w:w="2420" w:type="dxa"/>
            <w:vAlign w:val="bottom"/>
          </w:tcPr>
          <w:p>
            <w:pPr>
              <w:ind w:left="120"/>
              <w:spacing w:after="0"/>
              <w:rPr>
                <w:sz w:val="20"/>
                <w:szCs w:val="20"/>
                <w:color w:val="auto"/>
              </w:rPr>
            </w:pPr>
            <w:r>
              <w:rPr>
                <w:rFonts w:ascii="Arial" w:cs="Arial" w:eastAsia="Arial" w:hAnsi="Arial"/>
                <w:sz w:val="13"/>
                <w:szCs w:val="13"/>
                <w:b w:val="1"/>
                <w:bCs w:val="1"/>
                <w:color w:val="auto"/>
              </w:rPr>
              <w:t>Minimum Denominations</w:t>
            </w:r>
          </w:p>
        </w:tc>
        <w:tc>
          <w:tcPr>
            <w:tcW w:w="5760" w:type="dxa"/>
            <w:vAlign w:val="bottom"/>
          </w:tcPr>
          <w:p>
            <w:pPr>
              <w:ind w:left="700"/>
              <w:spacing w:after="0"/>
              <w:rPr>
                <w:sz w:val="20"/>
                <w:szCs w:val="20"/>
                <w:color w:val="auto"/>
              </w:rPr>
            </w:pPr>
            <w:r>
              <w:rPr>
                <w:rFonts w:ascii="Arial" w:cs="Arial" w:eastAsia="Arial" w:hAnsi="Arial"/>
                <w:sz w:val="13"/>
                <w:szCs w:val="13"/>
                <w:color w:val="auto"/>
              </w:rPr>
              <w:t>US$2,000 and integral multiples of US$1,000 in excess thereof.</w:t>
            </w:r>
          </w:p>
        </w:tc>
      </w:tr>
      <w:tr>
        <w:trPr>
          <w:trHeight w:val="218"/>
        </w:trPr>
        <w:tc>
          <w:tcPr>
            <w:tcW w:w="2420" w:type="dxa"/>
            <w:vAlign w:val="bottom"/>
          </w:tcPr>
          <w:p>
            <w:pPr>
              <w:ind w:left="120"/>
              <w:spacing w:after="0"/>
              <w:rPr>
                <w:sz w:val="20"/>
                <w:szCs w:val="20"/>
                <w:color w:val="auto"/>
              </w:rPr>
            </w:pPr>
            <w:r>
              <w:rPr>
                <w:rFonts w:ascii="Arial" w:cs="Arial" w:eastAsia="Arial" w:hAnsi="Arial"/>
                <w:sz w:val="13"/>
                <w:szCs w:val="13"/>
                <w:b w:val="1"/>
                <w:bCs w:val="1"/>
                <w:color w:val="auto"/>
              </w:rPr>
              <w:t>Optional Redemption</w:t>
            </w:r>
          </w:p>
        </w:tc>
        <w:tc>
          <w:tcPr>
            <w:tcW w:w="5760" w:type="dxa"/>
            <w:vAlign w:val="bottom"/>
          </w:tcPr>
          <w:p>
            <w:pPr>
              <w:ind w:left="700"/>
              <w:spacing w:after="0"/>
              <w:rPr>
                <w:sz w:val="20"/>
                <w:szCs w:val="20"/>
                <w:color w:val="auto"/>
              </w:rPr>
            </w:pPr>
            <w:r>
              <w:rPr>
                <w:rFonts w:ascii="Arial" w:cs="Arial" w:eastAsia="Arial" w:hAnsi="Arial"/>
                <w:sz w:val="13"/>
                <w:szCs w:val="13"/>
                <w:color w:val="auto"/>
              </w:rPr>
              <w:t>At any time prior to April 7, 2031 (one month prior to the maturity date of the 2031</w:t>
            </w:r>
          </w:p>
        </w:tc>
      </w:tr>
      <w:tr>
        <w:trPr>
          <w:trHeight w:val="150"/>
        </w:trPr>
        <w:tc>
          <w:tcPr>
            <w:tcW w:w="2420" w:type="dxa"/>
            <w:vAlign w:val="bottom"/>
          </w:tcPr>
          <w:p>
            <w:pPr>
              <w:spacing w:after="0"/>
              <w:rPr>
                <w:sz w:val="13"/>
                <w:szCs w:val="13"/>
                <w:color w:val="auto"/>
              </w:rPr>
            </w:pPr>
          </w:p>
        </w:tc>
        <w:tc>
          <w:tcPr>
            <w:tcW w:w="5760" w:type="dxa"/>
            <w:vAlign w:val="bottom"/>
          </w:tcPr>
          <w:p>
            <w:pPr>
              <w:ind w:left="700"/>
              <w:spacing w:after="0"/>
              <w:rPr>
                <w:sz w:val="20"/>
                <w:szCs w:val="20"/>
                <w:color w:val="auto"/>
              </w:rPr>
            </w:pPr>
            <w:r>
              <w:rPr>
                <w:rFonts w:ascii="Arial" w:cs="Arial" w:eastAsia="Arial" w:hAnsi="Arial"/>
                <w:sz w:val="13"/>
                <w:szCs w:val="13"/>
                <w:color w:val="auto"/>
              </w:rPr>
              <w:t>Notes), in the case of the 2031 Notes, to March 7, 2033 (two months prior to the</w:t>
            </w:r>
          </w:p>
        </w:tc>
      </w:tr>
      <w:tr>
        <w:trPr>
          <w:trHeight w:val="150"/>
        </w:trPr>
        <w:tc>
          <w:tcPr>
            <w:tcW w:w="2420" w:type="dxa"/>
            <w:vAlign w:val="bottom"/>
          </w:tcPr>
          <w:p>
            <w:pPr>
              <w:spacing w:after="0"/>
              <w:rPr>
                <w:sz w:val="13"/>
                <w:szCs w:val="13"/>
                <w:color w:val="auto"/>
              </w:rPr>
            </w:pPr>
          </w:p>
        </w:tc>
        <w:tc>
          <w:tcPr>
            <w:tcW w:w="5760" w:type="dxa"/>
            <w:vAlign w:val="bottom"/>
          </w:tcPr>
          <w:p>
            <w:pPr>
              <w:ind w:left="700"/>
              <w:spacing w:after="0"/>
              <w:rPr>
                <w:sz w:val="20"/>
                <w:szCs w:val="20"/>
                <w:color w:val="auto"/>
              </w:rPr>
            </w:pPr>
            <w:r>
              <w:rPr>
                <w:rFonts w:ascii="Arial" w:cs="Arial" w:eastAsia="Arial" w:hAnsi="Arial"/>
                <w:sz w:val="13"/>
                <w:szCs w:val="13"/>
                <w:color w:val="auto"/>
              </w:rPr>
              <w:t>maturity date of the 2033 Notes), in the case of the 2033 Notes, and to February 7,</w:t>
            </w:r>
          </w:p>
        </w:tc>
      </w:tr>
      <w:tr>
        <w:trPr>
          <w:trHeight w:val="150"/>
        </w:trPr>
        <w:tc>
          <w:tcPr>
            <w:tcW w:w="2420" w:type="dxa"/>
            <w:vAlign w:val="bottom"/>
          </w:tcPr>
          <w:p>
            <w:pPr>
              <w:spacing w:after="0"/>
              <w:rPr>
                <w:sz w:val="13"/>
                <w:szCs w:val="13"/>
                <w:color w:val="auto"/>
              </w:rPr>
            </w:pPr>
          </w:p>
        </w:tc>
        <w:tc>
          <w:tcPr>
            <w:tcW w:w="5760" w:type="dxa"/>
            <w:vAlign w:val="bottom"/>
          </w:tcPr>
          <w:p>
            <w:pPr>
              <w:ind w:left="700"/>
              <w:spacing w:after="0"/>
              <w:rPr>
                <w:sz w:val="20"/>
                <w:szCs w:val="20"/>
                <w:color w:val="auto"/>
              </w:rPr>
            </w:pPr>
            <w:r>
              <w:rPr>
                <w:rFonts w:ascii="Arial" w:cs="Arial" w:eastAsia="Arial" w:hAnsi="Arial"/>
                <w:sz w:val="13"/>
                <w:szCs w:val="13"/>
                <w:color w:val="auto"/>
              </w:rPr>
              <w:t>2036 (three months prior to the maturity date of the 2036 Notes), in the case of the</w:t>
            </w:r>
          </w:p>
        </w:tc>
      </w:tr>
      <w:tr>
        <w:trPr>
          <w:trHeight w:val="151"/>
        </w:trPr>
        <w:tc>
          <w:tcPr>
            <w:tcW w:w="2420" w:type="dxa"/>
            <w:vAlign w:val="bottom"/>
          </w:tcPr>
          <w:p>
            <w:pPr>
              <w:spacing w:after="0"/>
              <w:rPr>
                <w:sz w:val="13"/>
                <w:szCs w:val="13"/>
                <w:color w:val="auto"/>
              </w:rPr>
            </w:pPr>
          </w:p>
        </w:tc>
        <w:tc>
          <w:tcPr>
            <w:tcW w:w="5760" w:type="dxa"/>
            <w:vAlign w:val="bottom"/>
          </w:tcPr>
          <w:p>
            <w:pPr>
              <w:ind w:left="700"/>
              <w:spacing w:after="0"/>
              <w:rPr>
                <w:sz w:val="20"/>
                <w:szCs w:val="20"/>
                <w:color w:val="auto"/>
              </w:rPr>
            </w:pPr>
            <w:r>
              <w:rPr>
                <w:rFonts w:ascii="Arial" w:cs="Arial" w:eastAsia="Arial" w:hAnsi="Arial"/>
                <w:sz w:val="13"/>
                <w:szCs w:val="13"/>
                <w:color w:val="auto"/>
              </w:rPr>
              <w:t>2036 Notes, we may redeem some or all of the Notes of the applicable series at</w:t>
            </w:r>
          </w:p>
        </w:tc>
      </w:tr>
      <w:tr>
        <w:trPr>
          <w:trHeight w:val="150"/>
        </w:trPr>
        <w:tc>
          <w:tcPr>
            <w:tcW w:w="2420" w:type="dxa"/>
            <w:vAlign w:val="bottom"/>
          </w:tcPr>
          <w:p>
            <w:pPr>
              <w:spacing w:after="0"/>
              <w:rPr>
                <w:sz w:val="13"/>
                <w:szCs w:val="13"/>
                <w:color w:val="auto"/>
              </w:rPr>
            </w:pPr>
          </w:p>
        </w:tc>
        <w:tc>
          <w:tcPr>
            <w:tcW w:w="5760" w:type="dxa"/>
            <w:vAlign w:val="bottom"/>
          </w:tcPr>
          <w:p>
            <w:pPr>
              <w:ind w:left="700"/>
              <w:spacing w:after="0"/>
              <w:rPr>
                <w:sz w:val="20"/>
                <w:szCs w:val="20"/>
                <w:color w:val="auto"/>
              </w:rPr>
            </w:pPr>
            <w:r>
              <w:rPr>
                <w:rFonts w:ascii="Arial" w:cs="Arial" w:eastAsia="Arial" w:hAnsi="Arial"/>
                <w:sz w:val="13"/>
                <w:szCs w:val="13"/>
                <w:color w:val="auto"/>
              </w:rPr>
              <w:t>the applicable “make whole” redemption price described in “Description of the</w:t>
            </w:r>
          </w:p>
        </w:tc>
      </w:tr>
      <w:tr>
        <w:trPr>
          <w:trHeight w:val="150"/>
        </w:trPr>
        <w:tc>
          <w:tcPr>
            <w:tcW w:w="2420" w:type="dxa"/>
            <w:vAlign w:val="bottom"/>
          </w:tcPr>
          <w:p>
            <w:pPr>
              <w:spacing w:after="0"/>
              <w:rPr>
                <w:sz w:val="13"/>
                <w:szCs w:val="13"/>
                <w:color w:val="auto"/>
              </w:rPr>
            </w:pPr>
          </w:p>
        </w:tc>
        <w:tc>
          <w:tcPr>
            <w:tcW w:w="5760" w:type="dxa"/>
            <w:vAlign w:val="bottom"/>
          </w:tcPr>
          <w:p>
            <w:pPr>
              <w:ind w:left="700"/>
              <w:spacing w:after="0"/>
              <w:rPr>
                <w:sz w:val="20"/>
                <w:szCs w:val="20"/>
                <w:color w:val="auto"/>
              </w:rPr>
            </w:pPr>
            <w:r>
              <w:rPr>
                <w:rFonts w:ascii="Arial" w:cs="Arial" w:eastAsia="Arial" w:hAnsi="Arial"/>
                <w:sz w:val="13"/>
                <w:szCs w:val="13"/>
                <w:color w:val="auto"/>
              </w:rPr>
              <w:t>Notes—Optional Redemption,” plus accrued and unpaid interest, if any, to, but not</w:t>
            </w:r>
          </w:p>
        </w:tc>
      </w:tr>
      <w:tr>
        <w:trPr>
          <w:trHeight w:val="175"/>
        </w:trPr>
        <w:tc>
          <w:tcPr>
            <w:tcW w:w="2420" w:type="dxa"/>
            <w:vAlign w:val="bottom"/>
          </w:tcPr>
          <w:p>
            <w:pPr>
              <w:spacing w:after="0"/>
              <w:rPr>
                <w:sz w:val="15"/>
                <w:szCs w:val="15"/>
                <w:color w:val="auto"/>
              </w:rPr>
            </w:pPr>
          </w:p>
        </w:tc>
        <w:tc>
          <w:tcPr>
            <w:tcW w:w="5760" w:type="dxa"/>
            <w:vAlign w:val="bottom"/>
          </w:tcPr>
          <w:p>
            <w:pPr>
              <w:ind w:left="700"/>
              <w:spacing w:after="0"/>
              <w:rPr>
                <w:sz w:val="20"/>
                <w:szCs w:val="20"/>
                <w:color w:val="auto"/>
              </w:rPr>
            </w:pPr>
            <w:r>
              <w:rPr>
                <w:rFonts w:ascii="Arial" w:cs="Arial" w:eastAsia="Arial" w:hAnsi="Arial"/>
                <w:sz w:val="13"/>
                <w:szCs w:val="13"/>
                <w:color w:val="auto"/>
              </w:rPr>
              <w:t>including, the redemption date.</w:t>
            </w:r>
          </w:p>
        </w:tc>
      </w:tr>
      <w:tr>
        <w:trPr>
          <w:trHeight w:val="216"/>
        </w:trPr>
        <w:tc>
          <w:tcPr>
            <w:tcW w:w="2420" w:type="dxa"/>
            <w:vAlign w:val="bottom"/>
          </w:tcPr>
          <w:p>
            <w:pPr>
              <w:spacing w:after="0"/>
              <w:rPr>
                <w:sz w:val="18"/>
                <w:szCs w:val="18"/>
                <w:color w:val="auto"/>
              </w:rPr>
            </w:pPr>
          </w:p>
        </w:tc>
        <w:tc>
          <w:tcPr>
            <w:tcW w:w="5760" w:type="dxa"/>
            <w:vAlign w:val="bottom"/>
          </w:tcPr>
          <w:p>
            <w:pPr>
              <w:ind w:left="700"/>
              <w:spacing w:after="0"/>
              <w:rPr>
                <w:sz w:val="20"/>
                <w:szCs w:val="20"/>
                <w:color w:val="auto"/>
              </w:rPr>
            </w:pPr>
            <w:r>
              <w:rPr>
                <w:rFonts w:ascii="Arial" w:cs="Arial" w:eastAsia="Arial" w:hAnsi="Arial"/>
                <w:sz w:val="13"/>
                <w:szCs w:val="13"/>
                <w:color w:val="auto"/>
              </w:rPr>
              <w:t>At any time on or after April 7, 2031, in the case of the 2031 Notes, March 7, 2033,</w:t>
            </w:r>
          </w:p>
        </w:tc>
      </w:tr>
      <w:tr>
        <w:trPr>
          <w:trHeight w:val="150"/>
        </w:trPr>
        <w:tc>
          <w:tcPr>
            <w:tcW w:w="2420" w:type="dxa"/>
            <w:vAlign w:val="bottom"/>
          </w:tcPr>
          <w:p>
            <w:pPr>
              <w:spacing w:after="0"/>
              <w:rPr>
                <w:sz w:val="13"/>
                <w:szCs w:val="13"/>
                <w:color w:val="auto"/>
              </w:rPr>
            </w:pPr>
          </w:p>
        </w:tc>
        <w:tc>
          <w:tcPr>
            <w:tcW w:w="5760" w:type="dxa"/>
            <w:vAlign w:val="bottom"/>
          </w:tcPr>
          <w:p>
            <w:pPr>
              <w:ind w:left="700"/>
              <w:spacing w:after="0"/>
              <w:rPr>
                <w:sz w:val="20"/>
                <w:szCs w:val="20"/>
                <w:color w:val="auto"/>
              </w:rPr>
            </w:pPr>
            <w:r>
              <w:rPr>
                <w:rFonts w:ascii="Arial" w:cs="Arial" w:eastAsia="Arial" w:hAnsi="Arial"/>
                <w:sz w:val="13"/>
                <w:szCs w:val="13"/>
                <w:color w:val="auto"/>
              </w:rPr>
              <w:t>in the case of the 2033 Notes, and February 7, 2036, in the case of the 2036</w:t>
            </w:r>
          </w:p>
        </w:tc>
      </w:tr>
      <w:tr>
        <w:trPr>
          <w:trHeight w:val="175"/>
        </w:trPr>
        <w:tc>
          <w:tcPr>
            <w:tcW w:w="2420" w:type="dxa"/>
            <w:vAlign w:val="bottom"/>
          </w:tcPr>
          <w:p>
            <w:pPr>
              <w:spacing w:after="0"/>
              <w:rPr>
                <w:sz w:val="15"/>
                <w:szCs w:val="15"/>
                <w:color w:val="auto"/>
              </w:rPr>
            </w:pPr>
          </w:p>
        </w:tc>
        <w:tc>
          <w:tcPr>
            <w:tcW w:w="5760" w:type="dxa"/>
            <w:vAlign w:val="bottom"/>
          </w:tcPr>
          <w:p>
            <w:pPr>
              <w:ind w:left="700"/>
              <w:spacing w:after="0"/>
              <w:rPr>
                <w:sz w:val="20"/>
                <w:szCs w:val="20"/>
                <w:color w:val="auto"/>
              </w:rPr>
            </w:pPr>
            <w:r>
              <w:rPr>
                <w:rFonts w:ascii="Arial" w:cs="Arial" w:eastAsia="Arial" w:hAnsi="Arial"/>
                <w:sz w:val="13"/>
                <w:szCs w:val="13"/>
                <w:color w:val="auto"/>
              </w:rPr>
              <w:t>Notes, we may redeem some or all of the Notes of the applicable series at a</w:t>
            </w:r>
          </w:p>
        </w:tc>
      </w:tr>
      <w:tr>
        <w:trPr>
          <w:trHeight w:val="104"/>
        </w:trPr>
        <w:tc>
          <w:tcPr>
            <w:tcW w:w="2420" w:type="dxa"/>
            <w:vAlign w:val="bottom"/>
            <w:tcBorders>
              <w:bottom w:val="single" w:sz="8" w:color="auto"/>
            </w:tcBorders>
          </w:tcPr>
          <w:p>
            <w:pPr>
              <w:spacing w:after="0"/>
              <w:rPr>
                <w:sz w:val="9"/>
                <w:szCs w:val="9"/>
                <w:color w:val="auto"/>
              </w:rPr>
            </w:pPr>
          </w:p>
        </w:tc>
        <w:tc>
          <w:tcPr>
            <w:tcW w:w="5760" w:type="dxa"/>
            <w:vAlign w:val="bottom"/>
            <w:tcBorders>
              <w:bottom w:val="single" w:sz="8" w:color="auto"/>
            </w:tcBorders>
          </w:tcPr>
          <w:p>
            <w:pPr>
              <w:spacing w:after="0"/>
              <w:rPr>
                <w:sz w:val="9"/>
                <w:szCs w:val="9"/>
                <w:color w:val="auto"/>
              </w:rPr>
            </w:pPr>
          </w:p>
        </w:tc>
      </w:tr>
      <w:tr>
        <w:trPr>
          <w:trHeight w:val="268"/>
        </w:trPr>
        <w:tc>
          <w:tcPr>
            <w:tcW w:w="2420" w:type="dxa"/>
            <w:vAlign w:val="bottom"/>
          </w:tcPr>
          <w:p>
            <w:pPr>
              <w:spacing w:after="0"/>
              <w:rPr>
                <w:sz w:val="23"/>
                <w:szCs w:val="23"/>
                <w:color w:val="auto"/>
              </w:rPr>
            </w:pPr>
          </w:p>
        </w:tc>
        <w:tc>
          <w:tcPr>
            <w:tcW w:w="5760" w:type="dxa"/>
            <w:vAlign w:val="bottom"/>
          </w:tcPr>
          <w:p>
            <w:pPr>
              <w:ind w:left="1560"/>
              <w:spacing w:after="0"/>
              <w:rPr>
                <w:sz w:val="20"/>
                <w:szCs w:val="20"/>
                <w:color w:val="auto"/>
              </w:rPr>
            </w:pPr>
            <w:r>
              <w:rPr>
                <w:rFonts w:ascii="Arial" w:cs="Arial" w:eastAsia="Arial" w:hAnsi="Arial"/>
                <w:sz w:val="13"/>
                <w:szCs w:val="13"/>
                <w:color w:val="auto"/>
              </w:rPr>
              <w:t>S-3</w:t>
            </w:r>
          </w:p>
        </w:tc>
      </w:tr>
    </w:tbl>
    <w:p>
      <w:pPr>
        <w:sectPr>
          <w:pgSz w:w="11900" w:h="16838" w:orient="portrait"/>
          <w:cols w:equalWidth="0" w:num="1">
            <w:col w:w="9019"/>
          </w:cols>
          <w:pgMar w:left="1440" w:top="376" w:right="1440"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5980" cy="31750"/>
                    </a:xfrm>
                    <a:prstGeom prst="rect">
                      <a:avLst/>
                    </a:prstGeom>
                    <a:noFill/>
                  </pic:spPr>
                </pic:pic>
              </a:graphicData>
            </a:graphic>
          </wp:anchor>
        </w:drawing>
      </w:r>
    </w:p>
    <w:tbl>
      <w:tblPr>
        <w:tblLayout w:type="fixed"/>
        <w:tblInd w:w="430" w:type="dxa"/>
        <w:tblCellMar>
          <w:top w:w="0" w:type="dxa"/>
          <w:left w:w="0" w:type="dxa"/>
          <w:bottom w:w="0" w:type="dxa"/>
          <w:right w:w="0" w:type="dxa"/>
        </w:tblCellMar>
      </w:tblPr>
      <w:tr>
        <w:trPr>
          <w:trHeight w:val="283"/>
        </w:trPr>
        <w:tc>
          <w:tcPr>
            <w:tcW w:w="2640" w:type="dxa"/>
            <w:vAlign w:val="bottom"/>
            <w:tcBorders>
              <w:top w:val="single" w:sz="8" w:color="auto"/>
              <w:left w:val="single" w:sz="8" w:color="auto"/>
            </w:tcBorders>
          </w:tcPr>
          <w:p>
            <w:pPr>
              <w:spacing w:after="0"/>
              <w:rPr>
                <w:sz w:val="24"/>
                <w:szCs w:val="24"/>
                <w:color w:val="auto"/>
              </w:rPr>
            </w:pPr>
          </w:p>
        </w:tc>
        <w:tc>
          <w:tcPr>
            <w:tcW w:w="554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3"/>
                <w:szCs w:val="13"/>
                <w:color w:val="auto"/>
              </w:rPr>
              <w:t>redemption price equal to 100% of the principal amount of such Notes to be</w:t>
            </w:r>
          </w:p>
        </w:tc>
      </w:tr>
      <w:tr>
        <w:trPr>
          <w:trHeight w:val="150"/>
        </w:trPr>
        <w:tc>
          <w:tcPr>
            <w:tcW w:w="2640" w:type="dxa"/>
            <w:vAlign w:val="bottom"/>
            <w:tcBorders>
              <w:left w:val="single" w:sz="8" w:color="auto"/>
            </w:tcBorders>
          </w:tcPr>
          <w:p>
            <w:pPr>
              <w:spacing w:after="0"/>
              <w:rPr>
                <w:sz w:val="13"/>
                <w:szCs w:val="13"/>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redeemed, plus accrued and unpaid interest, if any, to, but not including, the</w:t>
            </w:r>
          </w:p>
        </w:tc>
      </w:tr>
      <w:tr>
        <w:trPr>
          <w:trHeight w:val="175"/>
        </w:trPr>
        <w:tc>
          <w:tcPr>
            <w:tcW w:w="2640" w:type="dxa"/>
            <w:vAlign w:val="bottom"/>
            <w:tcBorders>
              <w:left w:val="single" w:sz="8" w:color="auto"/>
            </w:tcBorders>
          </w:tcPr>
          <w:p>
            <w:pPr>
              <w:spacing w:after="0"/>
              <w:rPr>
                <w:sz w:val="15"/>
                <w:szCs w:val="15"/>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redemption date. See “Description of the Notes—Optional Redemption.”</w:t>
            </w:r>
          </w:p>
        </w:tc>
      </w:tr>
      <w:tr>
        <w:trPr>
          <w:trHeight w:val="226"/>
        </w:trPr>
        <w:tc>
          <w:tcPr>
            <w:tcW w:w="2640" w:type="dxa"/>
            <w:vAlign w:val="bottom"/>
            <w:tcBorders>
              <w:left w:val="single" w:sz="8" w:color="auto"/>
            </w:tcBorders>
          </w:tcPr>
          <w:p>
            <w:pPr>
              <w:ind w:left="120"/>
              <w:spacing w:after="0"/>
              <w:rPr>
                <w:sz w:val="20"/>
                <w:szCs w:val="20"/>
                <w:color w:val="auto"/>
              </w:rPr>
            </w:pPr>
            <w:r>
              <w:rPr>
                <w:rFonts w:ascii="Arial" w:cs="Arial" w:eastAsia="Arial" w:hAnsi="Arial"/>
                <w:sz w:val="13"/>
                <w:szCs w:val="13"/>
                <w:b w:val="1"/>
                <w:bCs w:val="1"/>
                <w:color w:val="auto"/>
              </w:rPr>
              <w:t>Optional Tax Redemption</w:t>
            </w: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In the event that, as a result of certain tax law changes, the Company (or the</w:t>
            </w:r>
          </w:p>
        </w:tc>
      </w:tr>
      <w:tr>
        <w:trPr>
          <w:trHeight w:val="150"/>
        </w:trPr>
        <w:tc>
          <w:tcPr>
            <w:tcW w:w="2640" w:type="dxa"/>
            <w:vAlign w:val="bottom"/>
            <w:tcBorders>
              <w:left w:val="single" w:sz="8" w:color="auto"/>
            </w:tcBorders>
          </w:tcPr>
          <w:p>
            <w:pPr>
              <w:spacing w:after="0"/>
              <w:rPr>
                <w:sz w:val="13"/>
                <w:szCs w:val="13"/>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Guarantor) becomes obligated to pay Additional Amounts as described under</w:t>
            </w:r>
          </w:p>
        </w:tc>
      </w:tr>
      <w:tr>
        <w:trPr>
          <w:trHeight w:val="150"/>
        </w:trPr>
        <w:tc>
          <w:tcPr>
            <w:tcW w:w="2640" w:type="dxa"/>
            <w:vAlign w:val="bottom"/>
            <w:tcBorders>
              <w:left w:val="single" w:sz="8" w:color="auto"/>
            </w:tcBorders>
          </w:tcPr>
          <w:p>
            <w:pPr>
              <w:spacing w:after="0"/>
              <w:rPr>
                <w:sz w:val="13"/>
                <w:szCs w:val="13"/>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“Description of the Notes—Additional Amounts,” the Company (or the Guarantor)</w:t>
            </w:r>
          </w:p>
        </w:tc>
      </w:tr>
      <w:tr>
        <w:trPr>
          <w:trHeight w:val="150"/>
        </w:trPr>
        <w:tc>
          <w:tcPr>
            <w:tcW w:w="2640" w:type="dxa"/>
            <w:vAlign w:val="bottom"/>
            <w:tcBorders>
              <w:left w:val="single" w:sz="8" w:color="auto"/>
            </w:tcBorders>
          </w:tcPr>
          <w:p>
            <w:pPr>
              <w:spacing w:after="0"/>
              <w:rPr>
                <w:sz w:val="13"/>
                <w:szCs w:val="13"/>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may redeem all of the Notes of a series prior to maturity at a redemption price</w:t>
            </w:r>
          </w:p>
        </w:tc>
      </w:tr>
      <w:tr>
        <w:trPr>
          <w:trHeight w:val="151"/>
        </w:trPr>
        <w:tc>
          <w:tcPr>
            <w:tcW w:w="2640" w:type="dxa"/>
            <w:vAlign w:val="bottom"/>
            <w:tcBorders>
              <w:left w:val="single" w:sz="8" w:color="auto"/>
            </w:tcBorders>
          </w:tcPr>
          <w:p>
            <w:pPr>
              <w:spacing w:after="0"/>
              <w:rPr>
                <w:sz w:val="13"/>
                <w:szCs w:val="13"/>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equal to 100% of their principal amount plus accrued interest to, but not including,</w:t>
            </w:r>
          </w:p>
        </w:tc>
      </w:tr>
      <w:tr>
        <w:trPr>
          <w:trHeight w:val="150"/>
        </w:trPr>
        <w:tc>
          <w:tcPr>
            <w:tcW w:w="2640" w:type="dxa"/>
            <w:vAlign w:val="bottom"/>
            <w:tcBorders>
              <w:left w:val="single" w:sz="8" w:color="auto"/>
            </w:tcBorders>
          </w:tcPr>
          <w:p>
            <w:pPr>
              <w:spacing w:after="0"/>
              <w:rPr>
                <w:sz w:val="13"/>
                <w:szCs w:val="13"/>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the date of redemption as described under “Description of the Notes—Redemption</w:t>
            </w:r>
          </w:p>
        </w:tc>
      </w:tr>
      <w:tr>
        <w:trPr>
          <w:trHeight w:val="175"/>
        </w:trPr>
        <w:tc>
          <w:tcPr>
            <w:tcW w:w="2640" w:type="dxa"/>
            <w:vAlign w:val="bottom"/>
            <w:tcBorders>
              <w:left w:val="single" w:sz="8" w:color="auto"/>
            </w:tcBorders>
          </w:tcPr>
          <w:p>
            <w:pPr>
              <w:spacing w:after="0"/>
              <w:rPr>
                <w:sz w:val="15"/>
                <w:szCs w:val="15"/>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Upon Changes in Tax Law.”</w:t>
            </w:r>
          </w:p>
        </w:tc>
      </w:tr>
      <w:tr>
        <w:trPr>
          <w:trHeight w:val="216"/>
        </w:trPr>
        <w:tc>
          <w:tcPr>
            <w:tcW w:w="2640" w:type="dxa"/>
            <w:vAlign w:val="bottom"/>
            <w:tcBorders>
              <w:left w:val="single" w:sz="8" w:color="auto"/>
            </w:tcBorders>
          </w:tcPr>
          <w:p>
            <w:pPr>
              <w:ind w:left="120"/>
              <w:spacing w:after="0"/>
              <w:rPr>
                <w:sz w:val="20"/>
                <w:szCs w:val="20"/>
                <w:color w:val="auto"/>
              </w:rPr>
            </w:pPr>
            <w:r>
              <w:rPr>
                <w:rFonts w:ascii="Arial" w:cs="Arial" w:eastAsia="Arial" w:hAnsi="Arial"/>
                <w:sz w:val="13"/>
                <w:szCs w:val="13"/>
                <w:b w:val="1"/>
                <w:bCs w:val="1"/>
                <w:color w:val="auto"/>
              </w:rPr>
              <w:t>Payment of Additional Amounts</w:t>
            </w: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Any payments made by the Company, or the Guarantor under the Guarantees, will</w:t>
            </w:r>
          </w:p>
        </w:tc>
      </w:tr>
      <w:tr>
        <w:trPr>
          <w:trHeight w:val="150"/>
        </w:trPr>
        <w:tc>
          <w:tcPr>
            <w:tcW w:w="2640" w:type="dxa"/>
            <w:vAlign w:val="bottom"/>
            <w:tcBorders>
              <w:left w:val="single" w:sz="8" w:color="auto"/>
            </w:tcBorders>
          </w:tcPr>
          <w:p>
            <w:pPr>
              <w:spacing w:after="0"/>
              <w:rPr>
                <w:sz w:val="13"/>
                <w:szCs w:val="13"/>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be made without withholding or deduction for taxes imposed by any jurisdiction in</w:t>
            </w:r>
          </w:p>
        </w:tc>
      </w:tr>
      <w:tr>
        <w:trPr>
          <w:trHeight w:val="150"/>
        </w:trPr>
        <w:tc>
          <w:tcPr>
            <w:tcW w:w="2640" w:type="dxa"/>
            <w:vAlign w:val="bottom"/>
            <w:tcBorders>
              <w:left w:val="single" w:sz="8" w:color="auto"/>
            </w:tcBorders>
          </w:tcPr>
          <w:p>
            <w:pPr>
              <w:spacing w:after="0"/>
              <w:rPr>
                <w:sz w:val="13"/>
                <w:szCs w:val="13"/>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which the Company or the Guarantor is incorporated, organized or resident for tax</w:t>
            </w:r>
          </w:p>
        </w:tc>
      </w:tr>
      <w:tr>
        <w:trPr>
          <w:trHeight w:val="150"/>
        </w:trPr>
        <w:tc>
          <w:tcPr>
            <w:tcW w:w="2640" w:type="dxa"/>
            <w:vAlign w:val="bottom"/>
            <w:tcBorders>
              <w:left w:val="single" w:sz="8" w:color="auto"/>
            </w:tcBorders>
          </w:tcPr>
          <w:p>
            <w:pPr>
              <w:spacing w:after="0"/>
              <w:rPr>
                <w:sz w:val="13"/>
                <w:szCs w:val="13"/>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purposes or through which a payment is made on the Notes on their behalf, except</w:t>
            </w:r>
          </w:p>
        </w:tc>
      </w:tr>
      <w:tr>
        <w:trPr>
          <w:trHeight w:val="151"/>
        </w:trPr>
        <w:tc>
          <w:tcPr>
            <w:tcW w:w="2640" w:type="dxa"/>
            <w:vAlign w:val="bottom"/>
            <w:tcBorders>
              <w:left w:val="single" w:sz="8" w:color="auto"/>
            </w:tcBorders>
          </w:tcPr>
          <w:p>
            <w:pPr>
              <w:spacing w:after="0"/>
              <w:rPr>
                <w:sz w:val="13"/>
                <w:szCs w:val="13"/>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as required by law. If any such withholding or deduction is required with respect to</w:t>
            </w:r>
          </w:p>
        </w:tc>
      </w:tr>
      <w:tr>
        <w:trPr>
          <w:trHeight w:val="150"/>
        </w:trPr>
        <w:tc>
          <w:tcPr>
            <w:tcW w:w="2640" w:type="dxa"/>
            <w:vAlign w:val="bottom"/>
            <w:tcBorders>
              <w:left w:val="single" w:sz="8" w:color="auto"/>
            </w:tcBorders>
          </w:tcPr>
          <w:p>
            <w:pPr>
              <w:spacing w:after="0"/>
              <w:rPr>
                <w:sz w:val="13"/>
                <w:szCs w:val="13"/>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Notes of a series, the Company (or the Guarantor, if applicable) will pay, subject to</w:t>
            </w:r>
          </w:p>
        </w:tc>
      </w:tr>
      <w:tr>
        <w:trPr>
          <w:trHeight w:val="150"/>
        </w:trPr>
        <w:tc>
          <w:tcPr>
            <w:tcW w:w="2640" w:type="dxa"/>
            <w:vAlign w:val="bottom"/>
            <w:tcBorders>
              <w:left w:val="single" w:sz="8" w:color="auto"/>
            </w:tcBorders>
          </w:tcPr>
          <w:p>
            <w:pPr>
              <w:spacing w:after="0"/>
              <w:rPr>
                <w:sz w:val="13"/>
                <w:szCs w:val="13"/>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certain exceptions, Additional Amounts necessary so that the net amount received</w:t>
            </w:r>
          </w:p>
        </w:tc>
      </w:tr>
      <w:tr>
        <w:trPr>
          <w:trHeight w:val="150"/>
        </w:trPr>
        <w:tc>
          <w:tcPr>
            <w:tcW w:w="2640" w:type="dxa"/>
            <w:vAlign w:val="bottom"/>
            <w:tcBorders>
              <w:left w:val="single" w:sz="8" w:color="auto"/>
            </w:tcBorders>
          </w:tcPr>
          <w:p>
            <w:pPr>
              <w:spacing w:after="0"/>
              <w:rPr>
                <w:sz w:val="13"/>
                <w:szCs w:val="13"/>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by the beneficial owners of such Notes after the withholding is not less than the</w:t>
            </w:r>
          </w:p>
        </w:tc>
      </w:tr>
      <w:tr>
        <w:trPr>
          <w:trHeight w:val="175"/>
        </w:trPr>
        <w:tc>
          <w:tcPr>
            <w:tcW w:w="2640" w:type="dxa"/>
            <w:vAlign w:val="bottom"/>
            <w:tcBorders>
              <w:left w:val="single" w:sz="8" w:color="auto"/>
            </w:tcBorders>
          </w:tcPr>
          <w:p>
            <w:pPr>
              <w:spacing w:after="0"/>
              <w:rPr>
                <w:sz w:val="15"/>
                <w:szCs w:val="15"/>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amount that they would have received in the absence of the withholding.</w:t>
            </w:r>
          </w:p>
        </w:tc>
      </w:tr>
      <w:tr>
        <w:trPr>
          <w:trHeight w:val="216"/>
        </w:trPr>
        <w:tc>
          <w:tcPr>
            <w:tcW w:w="2640" w:type="dxa"/>
            <w:vAlign w:val="bottom"/>
            <w:tcBorders>
              <w:left w:val="single" w:sz="8" w:color="auto"/>
            </w:tcBorders>
          </w:tcPr>
          <w:p>
            <w:pPr>
              <w:spacing w:after="0"/>
              <w:rPr>
                <w:sz w:val="18"/>
                <w:szCs w:val="18"/>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For more information on Additional Amounts and the situations in which the</w:t>
            </w:r>
          </w:p>
        </w:tc>
      </w:tr>
      <w:tr>
        <w:trPr>
          <w:trHeight w:val="151"/>
        </w:trPr>
        <w:tc>
          <w:tcPr>
            <w:tcW w:w="2640" w:type="dxa"/>
            <w:vAlign w:val="bottom"/>
            <w:tcBorders>
              <w:left w:val="single" w:sz="8" w:color="auto"/>
            </w:tcBorders>
          </w:tcPr>
          <w:p>
            <w:pPr>
              <w:spacing w:after="0"/>
              <w:rPr>
                <w:sz w:val="13"/>
                <w:szCs w:val="13"/>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Company may be required to pay Additional Amounts, see “Description of the</w:t>
            </w:r>
          </w:p>
        </w:tc>
      </w:tr>
      <w:tr>
        <w:trPr>
          <w:trHeight w:val="175"/>
        </w:trPr>
        <w:tc>
          <w:tcPr>
            <w:tcW w:w="2640" w:type="dxa"/>
            <w:vAlign w:val="bottom"/>
            <w:tcBorders>
              <w:left w:val="single" w:sz="8" w:color="auto"/>
            </w:tcBorders>
          </w:tcPr>
          <w:p>
            <w:pPr>
              <w:spacing w:after="0"/>
              <w:rPr>
                <w:sz w:val="15"/>
                <w:szCs w:val="15"/>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Notes—Additional Amounts.”</w:t>
            </w:r>
          </w:p>
        </w:tc>
      </w:tr>
      <w:tr>
        <w:trPr>
          <w:trHeight w:val="216"/>
        </w:trPr>
        <w:tc>
          <w:tcPr>
            <w:tcW w:w="2640" w:type="dxa"/>
            <w:vAlign w:val="bottom"/>
            <w:tcBorders>
              <w:left w:val="single" w:sz="8" w:color="auto"/>
            </w:tcBorders>
          </w:tcPr>
          <w:p>
            <w:pPr>
              <w:ind w:left="120"/>
              <w:spacing w:after="0"/>
              <w:rPr>
                <w:sz w:val="20"/>
                <w:szCs w:val="20"/>
                <w:color w:val="auto"/>
              </w:rPr>
            </w:pPr>
            <w:r>
              <w:rPr>
                <w:rFonts w:ascii="Arial" w:cs="Arial" w:eastAsia="Arial" w:hAnsi="Arial"/>
                <w:sz w:val="13"/>
                <w:szCs w:val="13"/>
                <w:b w:val="1"/>
                <w:bCs w:val="1"/>
                <w:color w:val="auto"/>
              </w:rPr>
              <w:t>Ranking</w:t>
            </w: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The Notes will rank equally and ratably with all other unsecured and</w:t>
            </w:r>
          </w:p>
        </w:tc>
      </w:tr>
      <w:tr>
        <w:trPr>
          <w:trHeight w:val="175"/>
        </w:trPr>
        <w:tc>
          <w:tcPr>
            <w:tcW w:w="2640" w:type="dxa"/>
            <w:vAlign w:val="bottom"/>
            <w:tcBorders>
              <w:left w:val="single" w:sz="8" w:color="auto"/>
            </w:tcBorders>
          </w:tcPr>
          <w:p>
            <w:pPr>
              <w:spacing w:after="0"/>
              <w:rPr>
                <w:sz w:val="15"/>
                <w:szCs w:val="15"/>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unsubordinated indebtedness of the Company.</w:t>
            </w:r>
          </w:p>
        </w:tc>
      </w:tr>
      <w:tr>
        <w:trPr>
          <w:trHeight w:val="216"/>
        </w:trPr>
        <w:tc>
          <w:tcPr>
            <w:tcW w:w="2640" w:type="dxa"/>
            <w:vAlign w:val="bottom"/>
            <w:tcBorders>
              <w:left w:val="single" w:sz="8" w:color="auto"/>
            </w:tcBorders>
          </w:tcPr>
          <w:p>
            <w:pPr>
              <w:spacing w:after="0"/>
              <w:rPr>
                <w:sz w:val="18"/>
                <w:szCs w:val="18"/>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The Guarantees will rank equally and ratably with all other unsecured and</w:t>
            </w:r>
          </w:p>
        </w:tc>
      </w:tr>
      <w:tr>
        <w:trPr>
          <w:trHeight w:val="175"/>
        </w:trPr>
        <w:tc>
          <w:tcPr>
            <w:tcW w:w="2640" w:type="dxa"/>
            <w:vAlign w:val="bottom"/>
            <w:tcBorders>
              <w:left w:val="single" w:sz="8" w:color="auto"/>
            </w:tcBorders>
          </w:tcPr>
          <w:p>
            <w:pPr>
              <w:spacing w:after="0"/>
              <w:rPr>
                <w:sz w:val="15"/>
                <w:szCs w:val="15"/>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unsubordinated indebtedness of the Guarantor.</w:t>
            </w:r>
          </w:p>
        </w:tc>
      </w:tr>
      <w:tr>
        <w:trPr>
          <w:trHeight w:val="241"/>
        </w:trPr>
        <w:tc>
          <w:tcPr>
            <w:tcW w:w="2640" w:type="dxa"/>
            <w:vAlign w:val="bottom"/>
            <w:tcBorders>
              <w:left w:val="single" w:sz="8" w:color="auto"/>
            </w:tcBorders>
          </w:tcPr>
          <w:p>
            <w:pPr>
              <w:spacing w:after="0"/>
              <w:rPr>
                <w:sz w:val="20"/>
                <w:szCs w:val="20"/>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See “Description of the Notes—Ranking of the Notes and Guarantees.”</w:t>
            </w:r>
          </w:p>
        </w:tc>
      </w:tr>
      <w:tr>
        <w:trPr>
          <w:trHeight w:val="216"/>
        </w:trPr>
        <w:tc>
          <w:tcPr>
            <w:tcW w:w="2640" w:type="dxa"/>
            <w:vAlign w:val="bottom"/>
            <w:tcBorders>
              <w:left w:val="single" w:sz="8" w:color="auto"/>
            </w:tcBorders>
          </w:tcPr>
          <w:p>
            <w:pPr>
              <w:ind w:left="120"/>
              <w:spacing w:after="0"/>
              <w:rPr>
                <w:sz w:val="20"/>
                <w:szCs w:val="20"/>
                <w:color w:val="auto"/>
              </w:rPr>
            </w:pPr>
            <w:r>
              <w:rPr>
                <w:rFonts w:ascii="Arial" w:cs="Arial" w:eastAsia="Arial" w:hAnsi="Arial"/>
                <w:sz w:val="13"/>
                <w:szCs w:val="13"/>
                <w:b w:val="1"/>
                <w:bCs w:val="1"/>
                <w:color w:val="auto"/>
              </w:rPr>
              <w:t>Certain Covenants</w:t>
            </w: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The Company will issue the Notes under an indenture with The Bank of New York</w:t>
            </w:r>
          </w:p>
        </w:tc>
      </w:tr>
      <w:tr>
        <w:trPr>
          <w:trHeight w:val="150"/>
        </w:trPr>
        <w:tc>
          <w:tcPr>
            <w:tcW w:w="2640" w:type="dxa"/>
            <w:vAlign w:val="bottom"/>
            <w:tcBorders>
              <w:left w:val="single" w:sz="8" w:color="auto"/>
            </w:tcBorders>
          </w:tcPr>
          <w:p>
            <w:pPr>
              <w:spacing w:after="0"/>
              <w:rPr>
                <w:sz w:val="13"/>
                <w:szCs w:val="13"/>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Mellon, as trustee, as supplemented and amended by one or more supplemental</w:t>
            </w:r>
          </w:p>
        </w:tc>
      </w:tr>
      <w:tr>
        <w:trPr>
          <w:trHeight w:val="151"/>
        </w:trPr>
        <w:tc>
          <w:tcPr>
            <w:tcW w:w="2640" w:type="dxa"/>
            <w:vAlign w:val="bottom"/>
            <w:tcBorders>
              <w:left w:val="single" w:sz="8" w:color="auto"/>
            </w:tcBorders>
          </w:tcPr>
          <w:p>
            <w:pPr>
              <w:spacing w:after="0"/>
              <w:rPr>
                <w:sz w:val="13"/>
                <w:szCs w:val="13"/>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indentures (as supplemented and amended, the “Indenture”). The Indenture will,</w:t>
            </w:r>
          </w:p>
        </w:tc>
      </w:tr>
      <w:tr>
        <w:trPr>
          <w:trHeight w:val="150"/>
        </w:trPr>
        <w:tc>
          <w:tcPr>
            <w:tcW w:w="2640" w:type="dxa"/>
            <w:vAlign w:val="bottom"/>
            <w:tcBorders>
              <w:left w:val="single" w:sz="8" w:color="auto"/>
            </w:tcBorders>
          </w:tcPr>
          <w:p>
            <w:pPr>
              <w:spacing w:after="0"/>
              <w:rPr>
                <w:sz w:val="13"/>
                <w:szCs w:val="13"/>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among other things, restrict the ability of the Guarantor, the Company and the</w:t>
            </w:r>
          </w:p>
        </w:tc>
      </w:tr>
      <w:tr>
        <w:trPr>
          <w:trHeight w:val="175"/>
        </w:trPr>
        <w:tc>
          <w:tcPr>
            <w:tcW w:w="2640" w:type="dxa"/>
            <w:vAlign w:val="bottom"/>
            <w:tcBorders>
              <w:left w:val="single" w:sz="8" w:color="auto"/>
            </w:tcBorders>
          </w:tcPr>
          <w:p>
            <w:pPr>
              <w:spacing w:after="0"/>
              <w:rPr>
                <w:sz w:val="15"/>
                <w:szCs w:val="15"/>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Guarantor’s other subsidiaries to:</w:t>
            </w:r>
          </w:p>
        </w:tc>
      </w:tr>
      <w:tr>
        <w:trPr>
          <w:trHeight w:val="241"/>
        </w:trPr>
        <w:tc>
          <w:tcPr>
            <w:tcW w:w="2640" w:type="dxa"/>
            <w:vAlign w:val="bottom"/>
            <w:tcBorders>
              <w:left w:val="single" w:sz="8" w:color="auto"/>
            </w:tcBorders>
          </w:tcPr>
          <w:p>
            <w:pPr>
              <w:spacing w:after="0"/>
              <w:rPr>
                <w:sz w:val="20"/>
                <w:szCs w:val="20"/>
                <w:color w:val="auto"/>
              </w:rPr>
            </w:pPr>
          </w:p>
        </w:tc>
        <w:tc>
          <w:tcPr>
            <w:tcW w:w="5540" w:type="dxa"/>
            <w:vAlign w:val="bottom"/>
            <w:tcBorders>
              <w:right w:val="single" w:sz="8" w:color="auto"/>
            </w:tcBorders>
          </w:tcPr>
          <w:p>
            <w:pPr>
              <w:ind w:left="640"/>
              <w:spacing w:after="0"/>
              <w:rPr>
                <w:sz w:val="20"/>
                <w:szCs w:val="20"/>
                <w:color w:val="auto"/>
              </w:rPr>
            </w:pPr>
            <w:r>
              <w:rPr>
                <w:rFonts w:ascii="Arial" w:cs="Arial" w:eastAsia="Arial" w:hAnsi="Arial"/>
                <w:sz w:val="13"/>
                <w:szCs w:val="13"/>
                <w:color w:val="auto"/>
              </w:rPr>
              <w:t>•   incur indebtedness secured by liens on specified restricted properties; and</w:t>
            </w:r>
          </w:p>
        </w:tc>
      </w:tr>
      <w:tr>
        <w:trPr>
          <w:trHeight w:val="241"/>
        </w:trPr>
        <w:tc>
          <w:tcPr>
            <w:tcW w:w="2640" w:type="dxa"/>
            <w:vAlign w:val="bottom"/>
            <w:tcBorders>
              <w:left w:val="single" w:sz="8" w:color="auto"/>
            </w:tcBorders>
          </w:tcPr>
          <w:p>
            <w:pPr>
              <w:spacing w:after="0"/>
              <w:rPr>
                <w:sz w:val="20"/>
                <w:szCs w:val="20"/>
                <w:color w:val="auto"/>
              </w:rPr>
            </w:pPr>
          </w:p>
        </w:tc>
        <w:tc>
          <w:tcPr>
            <w:tcW w:w="5540" w:type="dxa"/>
            <w:vAlign w:val="bottom"/>
            <w:tcBorders>
              <w:right w:val="single" w:sz="8" w:color="auto"/>
            </w:tcBorders>
          </w:tcPr>
          <w:p>
            <w:pPr>
              <w:ind w:left="640"/>
              <w:spacing w:after="0"/>
              <w:rPr>
                <w:sz w:val="20"/>
                <w:szCs w:val="20"/>
                <w:color w:val="auto"/>
              </w:rPr>
            </w:pPr>
            <w:r>
              <w:rPr>
                <w:rFonts w:ascii="Arial" w:cs="Arial" w:eastAsia="Arial" w:hAnsi="Arial"/>
                <w:sz w:val="13"/>
                <w:szCs w:val="13"/>
                <w:color w:val="auto"/>
              </w:rPr>
              <w:t>•   consolidate or merge under specific circumstances.</w:t>
            </w:r>
          </w:p>
        </w:tc>
      </w:tr>
      <w:tr>
        <w:trPr>
          <w:trHeight w:val="241"/>
        </w:trPr>
        <w:tc>
          <w:tcPr>
            <w:tcW w:w="2640" w:type="dxa"/>
            <w:vAlign w:val="bottom"/>
            <w:tcBorders>
              <w:left w:val="single" w:sz="8" w:color="auto"/>
            </w:tcBorders>
          </w:tcPr>
          <w:p>
            <w:pPr>
              <w:spacing w:after="0"/>
              <w:rPr>
                <w:sz w:val="20"/>
                <w:szCs w:val="20"/>
                <w:color w:val="auto"/>
              </w:rPr>
            </w:pPr>
          </w:p>
        </w:tc>
        <w:tc>
          <w:tcPr>
            <w:tcW w:w="554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For more details, see “Description of the Notes—Certain Covenants.”</w:t>
            </w:r>
          </w:p>
        </w:tc>
      </w:tr>
      <w:tr>
        <w:trPr>
          <w:trHeight w:val="104"/>
        </w:trPr>
        <w:tc>
          <w:tcPr>
            <w:tcW w:w="2640" w:type="dxa"/>
            <w:vAlign w:val="bottom"/>
            <w:tcBorders>
              <w:left w:val="single" w:sz="8" w:color="auto"/>
              <w:bottom w:val="single" w:sz="8" w:color="auto"/>
            </w:tcBorders>
          </w:tcPr>
          <w:p>
            <w:pPr>
              <w:spacing w:after="0"/>
              <w:rPr>
                <w:sz w:val="9"/>
                <w:szCs w:val="9"/>
                <w:color w:val="auto"/>
              </w:rPr>
            </w:pPr>
          </w:p>
        </w:tc>
        <w:tc>
          <w:tcPr>
            <w:tcW w:w="5540" w:type="dxa"/>
            <w:vAlign w:val="bottom"/>
            <w:tcBorders>
              <w:bottom w:val="single" w:sz="8" w:color="auto"/>
              <w:right w:val="single" w:sz="8" w:color="auto"/>
            </w:tcBorders>
          </w:tcPr>
          <w:p>
            <w:pPr>
              <w:spacing w:after="0"/>
              <w:rPr>
                <w:sz w:val="9"/>
                <w:szCs w:val="9"/>
                <w:color w:val="auto"/>
              </w:rPr>
            </w:pPr>
          </w:p>
        </w:tc>
      </w:tr>
      <w:tr>
        <w:trPr>
          <w:trHeight w:val="268"/>
        </w:trPr>
        <w:tc>
          <w:tcPr>
            <w:tcW w:w="2640" w:type="dxa"/>
            <w:vAlign w:val="bottom"/>
          </w:tcPr>
          <w:p>
            <w:pPr>
              <w:spacing w:after="0"/>
              <w:rPr>
                <w:sz w:val="23"/>
                <w:szCs w:val="23"/>
                <w:color w:val="auto"/>
              </w:rPr>
            </w:pPr>
          </w:p>
        </w:tc>
        <w:tc>
          <w:tcPr>
            <w:tcW w:w="5540" w:type="dxa"/>
            <w:vAlign w:val="bottom"/>
          </w:tcPr>
          <w:p>
            <w:pPr>
              <w:ind w:left="1340"/>
              <w:spacing w:after="0"/>
              <w:rPr>
                <w:sz w:val="20"/>
                <w:szCs w:val="20"/>
                <w:color w:val="auto"/>
              </w:rPr>
            </w:pPr>
            <w:r>
              <w:rPr>
                <w:rFonts w:ascii="Arial" w:cs="Arial" w:eastAsia="Arial" w:hAnsi="Arial"/>
                <w:sz w:val="13"/>
                <w:szCs w:val="13"/>
                <w:color w:val="auto"/>
              </w:rPr>
              <w:t>S-4</w:t>
            </w:r>
          </w:p>
        </w:tc>
      </w:tr>
    </w:tbl>
    <w:p>
      <w:pPr>
        <w:sectPr>
          <w:pgSz w:w="11900" w:h="16838" w:orient="portrait"/>
          <w:cols w:equalWidth="0" w:num="1">
            <w:col w:w="9019"/>
          </w:cols>
          <w:pgMar w:left="1440" w:top="225" w:right="1440"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5980" cy="31750"/>
                    </a:xfrm>
                    <a:prstGeom prst="rect">
                      <a:avLst/>
                    </a:prstGeom>
                    <a:noFill/>
                  </pic:spPr>
                </pic:pic>
              </a:graphicData>
            </a:graphic>
          </wp:anchor>
        </w:drawing>
      </w:r>
    </w:p>
    <w:tbl>
      <w:tblPr>
        <w:tblLayout w:type="fixed"/>
        <w:tblInd w:w="430" w:type="dxa"/>
        <w:tblCellMar>
          <w:top w:w="0" w:type="dxa"/>
          <w:left w:w="0" w:type="dxa"/>
          <w:bottom w:w="0" w:type="dxa"/>
          <w:right w:w="0" w:type="dxa"/>
        </w:tblCellMar>
      </w:tblPr>
      <w:tr>
        <w:trPr>
          <w:trHeight w:val="283"/>
        </w:trPr>
        <w:tc>
          <w:tcPr>
            <w:tcW w:w="292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3"/>
                <w:szCs w:val="13"/>
                <w:b w:val="1"/>
                <w:bCs w:val="1"/>
                <w:color w:val="auto"/>
              </w:rPr>
              <w:t>Use of Proceeds</w:t>
            </w:r>
          </w:p>
        </w:tc>
        <w:tc>
          <w:tcPr>
            <w:tcW w:w="526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We intend to use the net proceeds from this offering for general corporate</w:t>
            </w:r>
          </w:p>
        </w:tc>
      </w:tr>
      <w:tr>
        <w:trPr>
          <w:trHeight w:val="150"/>
        </w:trPr>
        <w:tc>
          <w:tcPr>
            <w:tcW w:w="2920" w:type="dxa"/>
            <w:vAlign w:val="bottom"/>
            <w:tcBorders>
              <w:left w:val="single" w:sz="8" w:color="auto"/>
            </w:tcBorders>
          </w:tcPr>
          <w:p>
            <w:pPr>
              <w:spacing w:after="0"/>
              <w:rPr>
                <w:sz w:val="13"/>
                <w:szCs w:val="13"/>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purposes, including to repay our near-term debt maturities including our 1.375%</w:t>
            </w:r>
          </w:p>
        </w:tc>
      </w:tr>
      <w:tr>
        <w:trPr>
          <w:trHeight w:val="175"/>
        </w:trPr>
        <w:tc>
          <w:tcPr>
            <w:tcW w:w="2920" w:type="dxa"/>
            <w:vAlign w:val="bottom"/>
            <w:tcBorders>
              <w:left w:val="single" w:sz="8" w:color="auto"/>
            </w:tcBorders>
          </w:tcPr>
          <w:p>
            <w:pPr>
              <w:spacing w:after="0"/>
              <w:rPr>
                <w:sz w:val="15"/>
                <w:szCs w:val="15"/>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Guaranteed Notes due 2026. See “Use of Proceeds.”</w:t>
            </w:r>
          </w:p>
        </w:tc>
      </w:tr>
      <w:tr>
        <w:trPr>
          <w:trHeight w:val="216"/>
        </w:trPr>
        <w:tc>
          <w:tcPr>
            <w:tcW w:w="2920" w:type="dxa"/>
            <w:vAlign w:val="bottom"/>
            <w:tcBorders>
              <w:left w:val="single" w:sz="8" w:color="auto"/>
            </w:tcBorders>
          </w:tcPr>
          <w:p>
            <w:pPr>
              <w:ind w:left="120"/>
              <w:spacing w:after="0"/>
              <w:rPr>
                <w:sz w:val="20"/>
                <w:szCs w:val="20"/>
                <w:color w:val="auto"/>
              </w:rPr>
            </w:pPr>
            <w:r>
              <w:rPr>
                <w:rFonts w:ascii="Arial" w:cs="Arial" w:eastAsia="Arial" w:hAnsi="Arial"/>
                <w:sz w:val="13"/>
                <w:szCs w:val="13"/>
                <w:b w:val="1"/>
                <w:bCs w:val="1"/>
                <w:color w:val="auto"/>
              </w:rPr>
              <w:t>Conflicts of Interest</w:t>
            </w: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Certain of the underwriters and/or their affiliates may hold a portion of our 1.375%</w:t>
            </w:r>
          </w:p>
        </w:tc>
      </w:tr>
      <w:tr>
        <w:trPr>
          <w:trHeight w:val="151"/>
        </w:trPr>
        <w:tc>
          <w:tcPr>
            <w:tcW w:w="2920" w:type="dxa"/>
            <w:vAlign w:val="bottom"/>
            <w:tcBorders>
              <w:left w:val="single" w:sz="8" w:color="auto"/>
            </w:tcBorders>
          </w:tcPr>
          <w:p>
            <w:pPr>
              <w:spacing w:after="0"/>
              <w:rPr>
                <w:sz w:val="13"/>
                <w:szCs w:val="13"/>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Guaranteed Notes due 2026 that are being repaid or otherwise retired and may</w:t>
            </w:r>
          </w:p>
        </w:tc>
      </w:tr>
      <w:tr>
        <w:trPr>
          <w:trHeight w:val="150"/>
        </w:trPr>
        <w:tc>
          <w:tcPr>
            <w:tcW w:w="2920" w:type="dxa"/>
            <w:vAlign w:val="bottom"/>
            <w:tcBorders>
              <w:left w:val="single" w:sz="8" w:color="auto"/>
            </w:tcBorders>
          </w:tcPr>
          <w:p>
            <w:pPr>
              <w:spacing w:after="0"/>
              <w:rPr>
                <w:sz w:val="13"/>
                <w:szCs w:val="13"/>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receive a portion of the net proceeds of this offering. In such event, it is possible</w:t>
            </w:r>
          </w:p>
        </w:tc>
      </w:tr>
      <w:tr>
        <w:trPr>
          <w:trHeight w:val="150"/>
        </w:trPr>
        <w:tc>
          <w:tcPr>
            <w:tcW w:w="2920" w:type="dxa"/>
            <w:vAlign w:val="bottom"/>
            <w:tcBorders>
              <w:left w:val="single" w:sz="8" w:color="auto"/>
            </w:tcBorders>
          </w:tcPr>
          <w:p>
            <w:pPr>
              <w:spacing w:after="0"/>
              <w:rPr>
                <w:sz w:val="13"/>
                <w:szCs w:val="13"/>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that one or more of the underwriters or their affiliates may receive more than 5% of</w:t>
            </w:r>
          </w:p>
        </w:tc>
      </w:tr>
      <w:tr>
        <w:trPr>
          <w:trHeight w:val="150"/>
        </w:trPr>
        <w:tc>
          <w:tcPr>
            <w:tcW w:w="2920" w:type="dxa"/>
            <w:vAlign w:val="bottom"/>
            <w:tcBorders>
              <w:left w:val="single" w:sz="8" w:color="auto"/>
            </w:tcBorders>
          </w:tcPr>
          <w:p>
            <w:pPr>
              <w:spacing w:after="0"/>
              <w:rPr>
                <w:sz w:val="13"/>
                <w:szCs w:val="13"/>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the net proceeds of this offering, not including underwriting compensation, thus</w:t>
            </w:r>
          </w:p>
        </w:tc>
      </w:tr>
      <w:tr>
        <w:trPr>
          <w:trHeight w:val="150"/>
        </w:trPr>
        <w:tc>
          <w:tcPr>
            <w:tcW w:w="2920" w:type="dxa"/>
            <w:vAlign w:val="bottom"/>
            <w:tcBorders>
              <w:left w:val="single" w:sz="8" w:color="auto"/>
            </w:tcBorders>
          </w:tcPr>
          <w:p>
            <w:pPr>
              <w:spacing w:after="0"/>
              <w:rPr>
                <w:sz w:val="13"/>
                <w:szCs w:val="13"/>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creating a conflict of interest within the meaning of Rule 5121 (Public Offerings of</w:t>
            </w:r>
          </w:p>
        </w:tc>
      </w:tr>
      <w:tr>
        <w:trPr>
          <w:trHeight w:val="151"/>
        </w:trPr>
        <w:tc>
          <w:tcPr>
            <w:tcW w:w="2920" w:type="dxa"/>
            <w:vAlign w:val="bottom"/>
            <w:tcBorders>
              <w:left w:val="single" w:sz="8" w:color="auto"/>
            </w:tcBorders>
          </w:tcPr>
          <w:p>
            <w:pPr>
              <w:spacing w:after="0"/>
              <w:rPr>
                <w:sz w:val="13"/>
                <w:szCs w:val="13"/>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Securities with Conflicts of Interest) of the Financial Industry Regulatory Authority,</w:t>
            </w:r>
          </w:p>
        </w:tc>
      </w:tr>
      <w:tr>
        <w:trPr>
          <w:trHeight w:val="150"/>
        </w:trPr>
        <w:tc>
          <w:tcPr>
            <w:tcW w:w="2920" w:type="dxa"/>
            <w:vAlign w:val="bottom"/>
            <w:tcBorders>
              <w:left w:val="single" w:sz="8" w:color="auto"/>
            </w:tcBorders>
          </w:tcPr>
          <w:p>
            <w:pPr>
              <w:spacing w:after="0"/>
              <w:rPr>
                <w:sz w:val="13"/>
                <w:szCs w:val="13"/>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Inc. (“FINRA Rule 5121”). Accordingly, this offering is being made in compliance</w:t>
            </w:r>
          </w:p>
        </w:tc>
      </w:tr>
      <w:tr>
        <w:trPr>
          <w:trHeight w:val="150"/>
        </w:trPr>
        <w:tc>
          <w:tcPr>
            <w:tcW w:w="2920" w:type="dxa"/>
            <w:vAlign w:val="bottom"/>
            <w:tcBorders>
              <w:left w:val="single" w:sz="8" w:color="auto"/>
            </w:tcBorders>
          </w:tcPr>
          <w:p>
            <w:pPr>
              <w:spacing w:after="0"/>
              <w:rPr>
                <w:sz w:val="13"/>
                <w:szCs w:val="13"/>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with the requirements of FINRA Rule 5121. The appointment of a “qualified</w:t>
            </w:r>
          </w:p>
        </w:tc>
      </w:tr>
      <w:tr>
        <w:trPr>
          <w:trHeight w:val="150"/>
        </w:trPr>
        <w:tc>
          <w:tcPr>
            <w:tcW w:w="2920" w:type="dxa"/>
            <w:vAlign w:val="bottom"/>
            <w:tcBorders>
              <w:left w:val="single" w:sz="8" w:color="auto"/>
            </w:tcBorders>
          </w:tcPr>
          <w:p>
            <w:pPr>
              <w:spacing w:after="0"/>
              <w:rPr>
                <w:sz w:val="13"/>
                <w:szCs w:val="13"/>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independent underwriter” is not necessary in connection with this offering as the</w:t>
            </w:r>
          </w:p>
        </w:tc>
      </w:tr>
      <w:tr>
        <w:trPr>
          <w:trHeight w:val="151"/>
        </w:trPr>
        <w:tc>
          <w:tcPr>
            <w:tcW w:w="2920" w:type="dxa"/>
            <w:vAlign w:val="bottom"/>
            <w:tcBorders>
              <w:left w:val="single" w:sz="8" w:color="auto"/>
            </w:tcBorders>
          </w:tcPr>
          <w:p>
            <w:pPr>
              <w:spacing w:after="0"/>
              <w:rPr>
                <w:sz w:val="13"/>
                <w:szCs w:val="13"/>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notes are investment grade rated securities. See “Underwriting (Conflicts of</w:t>
            </w:r>
          </w:p>
        </w:tc>
      </w:tr>
      <w:tr>
        <w:trPr>
          <w:trHeight w:val="175"/>
        </w:trPr>
        <w:tc>
          <w:tcPr>
            <w:tcW w:w="2920" w:type="dxa"/>
            <w:vAlign w:val="bottom"/>
            <w:tcBorders>
              <w:left w:val="single" w:sz="8" w:color="auto"/>
            </w:tcBorders>
          </w:tcPr>
          <w:p>
            <w:pPr>
              <w:spacing w:after="0"/>
              <w:rPr>
                <w:sz w:val="15"/>
                <w:szCs w:val="15"/>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Interest)—Conflicts of Interest.”</w:t>
            </w:r>
          </w:p>
        </w:tc>
      </w:tr>
      <w:tr>
        <w:trPr>
          <w:trHeight w:val="216"/>
        </w:trPr>
        <w:tc>
          <w:tcPr>
            <w:tcW w:w="2920" w:type="dxa"/>
            <w:vAlign w:val="bottom"/>
            <w:tcBorders>
              <w:left w:val="single" w:sz="8" w:color="auto"/>
            </w:tcBorders>
          </w:tcPr>
          <w:p>
            <w:pPr>
              <w:ind w:left="120"/>
              <w:spacing w:after="0"/>
              <w:rPr>
                <w:sz w:val="20"/>
                <w:szCs w:val="20"/>
                <w:color w:val="auto"/>
              </w:rPr>
            </w:pPr>
            <w:r>
              <w:rPr>
                <w:rFonts w:ascii="Arial" w:cs="Arial" w:eastAsia="Arial" w:hAnsi="Arial"/>
                <w:sz w:val="13"/>
                <w:szCs w:val="13"/>
                <w:b w:val="1"/>
                <w:bCs w:val="1"/>
                <w:color w:val="auto"/>
              </w:rPr>
              <w:t>Absence of a Public Market for the Notes</w:t>
            </w: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The Notes are new securities and there is currently no existing market for the</w:t>
            </w:r>
          </w:p>
        </w:tc>
      </w:tr>
      <w:tr>
        <w:trPr>
          <w:trHeight w:val="175"/>
        </w:trPr>
        <w:tc>
          <w:tcPr>
            <w:tcW w:w="2920" w:type="dxa"/>
            <w:vAlign w:val="bottom"/>
            <w:tcBorders>
              <w:left w:val="single" w:sz="8" w:color="auto"/>
            </w:tcBorders>
          </w:tcPr>
          <w:p>
            <w:pPr>
              <w:spacing w:after="0"/>
              <w:rPr>
                <w:sz w:val="15"/>
                <w:szCs w:val="15"/>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Notes.</w:t>
            </w:r>
          </w:p>
        </w:tc>
      </w:tr>
      <w:tr>
        <w:trPr>
          <w:trHeight w:val="216"/>
        </w:trPr>
        <w:tc>
          <w:tcPr>
            <w:tcW w:w="2920" w:type="dxa"/>
            <w:vAlign w:val="bottom"/>
            <w:tcBorders>
              <w:left w:val="single" w:sz="8" w:color="auto"/>
            </w:tcBorders>
          </w:tcPr>
          <w:p>
            <w:pPr>
              <w:spacing w:after="0"/>
              <w:rPr>
                <w:sz w:val="18"/>
                <w:szCs w:val="18"/>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Accordingly, there can be no assurances as to the development or liquidity of any</w:t>
            </w:r>
          </w:p>
        </w:tc>
      </w:tr>
      <w:tr>
        <w:trPr>
          <w:trHeight w:val="175"/>
        </w:trPr>
        <w:tc>
          <w:tcPr>
            <w:tcW w:w="2920" w:type="dxa"/>
            <w:vAlign w:val="bottom"/>
            <w:tcBorders>
              <w:left w:val="single" w:sz="8" w:color="auto"/>
            </w:tcBorders>
          </w:tcPr>
          <w:p>
            <w:pPr>
              <w:spacing w:after="0"/>
              <w:rPr>
                <w:sz w:val="15"/>
                <w:szCs w:val="15"/>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market for the Notes.</w:t>
            </w:r>
          </w:p>
        </w:tc>
      </w:tr>
      <w:tr>
        <w:trPr>
          <w:trHeight w:val="216"/>
        </w:trPr>
        <w:tc>
          <w:tcPr>
            <w:tcW w:w="2920" w:type="dxa"/>
            <w:vAlign w:val="bottom"/>
            <w:tcBorders>
              <w:left w:val="single" w:sz="8" w:color="auto"/>
            </w:tcBorders>
          </w:tcPr>
          <w:p>
            <w:pPr>
              <w:ind w:left="120"/>
              <w:spacing w:after="0"/>
              <w:rPr>
                <w:sz w:val="20"/>
                <w:szCs w:val="20"/>
                <w:color w:val="auto"/>
              </w:rPr>
            </w:pPr>
            <w:r>
              <w:rPr>
                <w:rFonts w:ascii="Arial" w:cs="Arial" w:eastAsia="Arial" w:hAnsi="Arial"/>
                <w:sz w:val="13"/>
                <w:szCs w:val="13"/>
                <w:b w:val="1"/>
                <w:bCs w:val="1"/>
                <w:color w:val="auto"/>
              </w:rPr>
              <w:t>Further Issuances</w:t>
            </w: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The Company may, from time to time, without notice to or the consent of the</w:t>
            </w:r>
          </w:p>
        </w:tc>
      </w:tr>
      <w:tr>
        <w:trPr>
          <w:trHeight w:val="150"/>
        </w:trPr>
        <w:tc>
          <w:tcPr>
            <w:tcW w:w="2920" w:type="dxa"/>
            <w:vAlign w:val="bottom"/>
            <w:tcBorders>
              <w:left w:val="single" w:sz="8" w:color="auto"/>
            </w:tcBorders>
          </w:tcPr>
          <w:p>
            <w:pPr>
              <w:spacing w:after="0"/>
              <w:rPr>
                <w:sz w:val="13"/>
                <w:szCs w:val="13"/>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registered holders of the Notes of a series, create and issue additional Notes of</w:t>
            </w:r>
          </w:p>
        </w:tc>
      </w:tr>
      <w:tr>
        <w:trPr>
          <w:trHeight w:val="150"/>
        </w:trPr>
        <w:tc>
          <w:tcPr>
            <w:tcW w:w="2920" w:type="dxa"/>
            <w:vAlign w:val="bottom"/>
            <w:tcBorders>
              <w:left w:val="single" w:sz="8" w:color="auto"/>
            </w:tcBorders>
          </w:tcPr>
          <w:p>
            <w:pPr>
              <w:spacing w:after="0"/>
              <w:rPr>
                <w:sz w:val="13"/>
                <w:szCs w:val="13"/>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such series having the same terms as, and ranking equally and ratably with, any of</w:t>
            </w:r>
          </w:p>
        </w:tc>
      </w:tr>
      <w:tr>
        <w:trPr>
          <w:trHeight w:val="150"/>
        </w:trPr>
        <w:tc>
          <w:tcPr>
            <w:tcW w:w="2920" w:type="dxa"/>
            <w:vAlign w:val="bottom"/>
            <w:tcBorders>
              <w:left w:val="single" w:sz="8" w:color="auto"/>
            </w:tcBorders>
          </w:tcPr>
          <w:p>
            <w:pPr>
              <w:spacing w:after="0"/>
              <w:rPr>
                <w:sz w:val="13"/>
                <w:szCs w:val="13"/>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the outstanding Notes of such series in all respects; provided, however, that a</w:t>
            </w:r>
          </w:p>
        </w:tc>
      </w:tr>
      <w:tr>
        <w:trPr>
          <w:trHeight w:val="150"/>
        </w:trPr>
        <w:tc>
          <w:tcPr>
            <w:tcW w:w="2920" w:type="dxa"/>
            <w:vAlign w:val="bottom"/>
            <w:tcBorders>
              <w:left w:val="single" w:sz="8" w:color="auto"/>
            </w:tcBorders>
          </w:tcPr>
          <w:p>
            <w:pPr>
              <w:spacing w:after="0"/>
              <w:rPr>
                <w:sz w:val="13"/>
                <w:szCs w:val="13"/>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separate CUSIP or ISIN will be issued for the additional Notes of a series, unless</w:t>
            </w:r>
          </w:p>
        </w:tc>
      </w:tr>
      <w:tr>
        <w:trPr>
          <w:trHeight w:val="151"/>
        </w:trPr>
        <w:tc>
          <w:tcPr>
            <w:tcW w:w="2920" w:type="dxa"/>
            <w:vAlign w:val="bottom"/>
            <w:tcBorders>
              <w:left w:val="single" w:sz="8" w:color="auto"/>
            </w:tcBorders>
          </w:tcPr>
          <w:p>
            <w:pPr>
              <w:spacing w:after="0"/>
              <w:rPr>
                <w:sz w:val="13"/>
                <w:szCs w:val="13"/>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the Notes of such series and the additional Notes are fungible for U.S. federal</w:t>
            </w:r>
          </w:p>
        </w:tc>
      </w:tr>
      <w:tr>
        <w:trPr>
          <w:trHeight w:val="150"/>
        </w:trPr>
        <w:tc>
          <w:tcPr>
            <w:tcW w:w="2920" w:type="dxa"/>
            <w:vAlign w:val="bottom"/>
            <w:tcBorders>
              <w:left w:val="single" w:sz="8" w:color="auto"/>
            </w:tcBorders>
          </w:tcPr>
          <w:p>
            <w:pPr>
              <w:spacing w:after="0"/>
              <w:rPr>
                <w:sz w:val="13"/>
                <w:szCs w:val="13"/>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income tax purposes. Such additional Notes will also be fully and unconditionally</w:t>
            </w:r>
          </w:p>
        </w:tc>
      </w:tr>
      <w:tr>
        <w:trPr>
          <w:trHeight w:val="150"/>
        </w:trPr>
        <w:tc>
          <w:tcPr>
            <w:tcW w:w="2920" w:type="dxa"/>
            <w:vAlign w:val="bottom"/>
            <w:tcBorders>
              <w:left w:val="single" w:sz="8" w:color="auto"/>
            </w:tcBorders>
          </w:tcPr>
          <w:p>
            <w:pPr>
              <w:spacing w:after="0"/>
              <w:rPr>
                <w:sz w:val="13"/>
                <w:szCs w:val="13"/>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guaranteed by the Guarantor (on the same terms and with the same ranking as the</w:t>
            </w:r>
          </w:p>
        </w:tc>
      </w:tr>
      <w:tr>
        <w:trPr>
          <w:trHeight w:val="150"/>
        </w:trPr>
        <w:tc>
          <w:tcPr>
            <w:tcW w:w="2920" w:type="dxa"/>
            <w:vAlign w:val="bottom"/>
            <w:tcBorders>
              <w:left w:val="single" w:sz="8" w:color="auto"/>
            </w:tcBorders>
          </w:tcPr>
          <w:p>
            <w:pPr>
              <w:spacing w:after="0"/>
              <w:rPr>
                <w:sz w:val="13"/>
                <w:szCs w:val="13"/>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Guarantee for such series of Notes). See “Description of the Notes—Further</w:t>
            </w:r>
          </w:p>
        </w:tc>
      </w:tr>
      <w:tr>
        <w:trPr>
          <w:trHeight w:val="175"/>
        </w:trPr>
        <w:tc>
          <w:tcPr>
            <w:tcW w:w="2920" w:type="dxa"/>
            <w:vAlign w:val="bottom"/>
            <w:tcBorders>
              <w:left w:val="single" w:sz="8" w:color="auto"/>
            </w:tcBorders>
          </w:tcPr>
          <w:p>
            <w:pPr>
              <w:spacing w:after="0"/>
              <w:rPr>
                <w:sz w:val="15"/>
                <w:szCs w:val="15"/>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Issuances.”</w:t>
            </w:r>
          </w:p>
        </w:tc>
      </w:tr>
      <w:tr>
        <w:trPr>
          <w:trHeight w:val="216"/>
        </w:trPr>
        <w:tc>
          <w:tcPr>
            <w:tcW w:w="2920" w:type="dxa"/>
            <w:vAlign w:val="bottom"/>
            <w:tcBorders>
              <w:left w:val="single" w:sz="8" w:color="auto"/>
            </w:tcBorders>
          </w:tcPr>
          <w:p>
            <w:pPr>
              <w:ind w:left="120"/>
              <w:spacing w:after="0"/>
              <w:rPr>
                <w:sz w:val="20"/>
                <w:szCs w:val="20"/>
                <w:color w:val="auto"/>
              </w:rPr>
            </w:pPr>
            <w:r>
              <w:rPr>
                <w:rFonts w:ascii="Arial" w:cs="Arial" w:eastAsia="Arial" w:hAnsi="Arial"/>
                <w:sz w:val="13"/>
                <w:szCs w:val="13"/>
                <w:b w:val="1"/>
                <w:bCs w:val="1"/>
                <w:color w:val="auto"/>
              </w:rPr>
              <w:t>Assumption by a Subsidiary</w:t>
            </w: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Any subsidiary of the Guarantor may, at its option, assume the obligations of the</w:t>
            </w:r>
          </w:p>
        </w:tc>
      </w:tr>
      <w:tr>
        <w:trPr>
          <w:trHeight w:val="151"/>
        </w:trPr>
        <w:tc>
          <w:tcPr>
            <w:tcW w:w="2920" w:type="dxa"/>
            <w:vAlign w:val="bottom"/>
            <w:tcBorders>
              <w:left w:val="single" w:sz="8" w:color="auto"/>
            </w:tcBorders>
          </w:tcPr>
          <w:p>
            <w:pPr>
              <w:spacing w:after="0"/>
              <w:rPr>
                <w:sz w:val="13"/>
                <w:szCs w:val="13"/>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Company as the issuer of the Notes and the Company will be released from its</w:t>
            </w:r>
          </w:p>
        </w:tc>
      </w:tr>
      <w:tr>
        <w:trPr>
          <w:trHeight w:val="150"/>
        </w:trPr>
        <w:tc>
          <w:tcPr>
            <w:tcW w:w="2920" w:type="dxa"/>
            <w:vAlign w:val="bottom"/>
            <w:tcBorders>
              <w:left w:val="single" w:sz="8" w:color="auto"/>
            </w:tcBorders>
          </w:tcPr>
          <w:p>
            <w:pPr>
              <w:spacing w:after="0"/>
              <w:rPr>
                <w:sz w:val="13"/>
                <w:szCs w:val="13"/>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liability as obligor under the Notes. See “Description of the Notes—Assumption by</w:t>
            </w:r>
          </w:p>
        </w:tc>
      </w:tr>
      <w:tr>
        <w:trPr>
          <w:trHeight w:val="150"/>
        </w:trPr>
        <w:tc>
          <w:tcPr>
            <w:tcW w:w="2920" w:type="dxa"/>
            <w:vAlign w:val="bottom"/>
            <w:tcBorders>
              <w:left w:val="single" w:sz="8" w:color="auto"/>
            </w:tcBorders>
          </w:tcPr>
          <w:p>
            <w:pPr>
              <w:spacing w:after="0"/>
              <w:rPr>
                <w:sz w:val="13"/>
                <w:szCs w:val="13"/>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a Subsidiary.” For a description of U.S. federal income tax considerations related</w:t>
            </w:r>
          </w:p>
        </w:tc>
      </w:tr>
      <w:tr>
        <w:trPr>
          <w:trHeight w:val="175"/>
        </w:trPr>
        <w:tc>
          <w:tcPr>
            <w:tcW w:w="2920" w:type="dxa"/>
            <w:vAlign w:val="bottom"/>
            <w:tcBorders>
              <w:left w:val="single" w:sz="8" w:color="auto"/>
            </w:tcBorders>
          </w:tcPr>
          <w:p>
            <w:pPr>
              <w:spacing w:after="0"/>
              <w:rPr>
                <w:sz w:val="15"/>
                <w:szCs w:val="15"/>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to these provisions, see “U.S. Federal Income Tax Considerations.”</w:t>
            </w:r>
          </w:p>
        </w:tc>
      </w:tr>
      <w:tr>
        <w:trPr>
          <w:trHeight w:val="216"/>
        </w:trPr>
        <w:tc>
          <w:tcPr>
            <w:tcW w:w="2920" w:type="dxa"/>
            <w:vAlign w:val="bottom"/>
            <w:tcBorders>
              <w:left w:val="single" w:sz="8" w:color="auto"/>
            </w:tcBorders>
          </w:tcPr>
          <w:p>
            <w:pPr>
              <w:ind w:left="120"/>
              <w:spacing w:after="0"/>
              <w:rPr>
                <w:sz w:val="20"/>
                <w:szCs w:val="20"/>
                <w:color w:val="auto"/>
              </w:rPr>
            </w:pPr>
            <w:r>
              <w:rPr>
                <w:rFonts w:ascii="Arial" w:cs="Arial" w:eastAsia="Arial" w:hAnsi="Arial"/>
                <w:sz w:val="13"/>
                <w:szCs w:val="13"/>
                <w:b w:val="1"/>
                <w:bCs w:val="1"/>
                <w:color w:val="auto"/>
              </w:rPr>
              <w:t>Governing Law</w:t>
            </w: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The Indenture, including the Guarantees contained therein, and the Notes will be</w:t>
            </w:r>
          </w:p>
        </w:tc>
      </w:tr>
      <w:tr>
        <w:trPr>
          <w:trHeight w:val="150"/>
        </w:trPr>
        <w:tc>
          <w:tcPr>
            <w:tcW w:w="2920" w:type="dxa"/>
            <w:vAlign w:val="bottom"/>
            <w:tcBorders>
              <w:left w:val="single" w:sz="8" w:color="auto"/>
            </w:tcBorders>
          </w:tcPr>
          <w:p>
            <w:pPr>
              <w:spacing w:after="0"/>
              <w:rPr>
                <w:sz w:val="13"/>
                <w:szCs w:val="13"/>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governed by, and construed in accordance with, the laws of the State of New York.</w:t>
            </w:r>
          </w:p>
        </w:tc>
      </w:tr>
      <w:tr>
        <w:trPr>
          <w:trHeight w:val="175"/>
        </w:trPr>
        <w:tc>
          <w:tcPr>
            <w:tcW w:w="2920" w:type="dxa"/>
            <w:vAlign w:val="bottom"/>
            <w:tcBorders>
              <w:left w:val="single" w:sz="8" w:color="auto"/>
            </w:tcBorders>
          </w:tcPr>
          <w:p>
            <w:pPr>
              <w:spacing w:after="0"/>
              <w:rPr>
                <w:sz w:val="15"/>
                <w:szCs w:val="15"/>
                <w:color w:val="auto"/>
              </w:rPr>
            </w:pP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The application of the</w:t>
            </w:r>
          </w:p>
        </w:tc>
      </w:tr>
      <w:tr>
        <w:trPr>
          <w:trHeight w:val="104"/>
        </w:trPr>
        <w:tc>
          <w:tcPr>
            <w:tcW w:w="2920" w:type="dxa"/>
            <w:vAlign w:val="bottom"/>
            <w:tcBorders>
              <w:left w:val="single" w:sz="8" w:color="auto"/>
              <w:bottom w:val="single" w:sz="8" w:color="auto"/>
            </w:tcBorders>
          </w:tcPr>
          <w:p>
            <w:pPr>
              <w:spacing w:after="0"/>
              <w:rPr>
                <w:sz w:val="9"/>
                <w:szCs w:val="9"/>
                <w:color w:val="auto"/>
              </w:rPr>
            </w:pPr>
          </w:p>
        </w:tc>
        <w:tc>
          <w:tcPr>
            <w:tcW w:w="5260" w:type="dxa"/>
            <w:vAlign w:val="bottom"/>
            <w:tcBorders>
              <w:bottom w:val="single" w:sz="8" w:color="auto"/>
              <w:right w:val="single" w:sz="8" w:color="auto"/>
            </w:tcBorders>
          </w:tcPr>
          <w:p>
            <w:pPr>
              <w:spacing w:after="0"/>
              <w:rPr>
                <w:sz w:val="9"/>
                <w:szCs w:val="9"/>
                <w:color w:val="auto"/>
              </w:rPr>
            </w:pPr>
          </w:p>
        </w:tc>
      </w:tr>
      <w:tr>
        <w:trPr>
          <w:trHeight w:val="268"/>
        </w:trPr>
        <w:tc>
          <w:tcPr>
            <w:tcW w:w="2920" w:type="dxa"/>
            <w:vAlign w:val="bottom"/>
          </w:tcPr>
          <w:p>
            <w:pPr>
              <w:spacing w:after="0"/>
              <w:rPr>
                <w:sz w:val="23"/>
                <w:szCs w:val="23"/>
                <w:color w:val="auto"/>
              </w:rPr>
            </w:pPr>
          </w:p>
        </w:tc>
        <w:tc>
          <w:tcPr>
            <w:tcW w:w="5260" w:type="dxa"/>
            <w:vAlign w:val="bottom"/>
          </w:tcPr>
          <w:p>
            <w:pPr>
              <w:ind w:left="1060"/>
              <w:spacing w:after="0"/>
              <w:rPr>
                <w:sz w:val="20"/>
                <w:szCs w:val="20"/>
                <w:color w:val="auto"/>
              </w:rPr>
            </w:pPr>
            <w:r>
              <w:rPr>
                <w:rFonts w:ascii="Arial" w:cs="Arial" w:eastAsia="Arial" w:hAnsi="Arial"/>
                <w:sz w:val="13"/>
                <w:szCs w:val="13"/>
                <w:color w:val="auto"/>
              </w:rPr>
              <w:t>S-5</w:t>
            </w:r>
          </w:p>
        </w:tc>
      </w:tr>
    </w:tbl>
    <w:p>
      <w:pPr>
        <w:sectPr>
          <w:pgSz w:w="11900" w:h="16838" w:orient="portrait"/>
          <w:cols w:equalWidth="0" w:num="1">
            <w:col w:w="9019"/>
          </w:cols>
          <w:pgMar w:left="1440" w:top="225" w:right="1440" w:bottom="1440" w:gutter="0" w:footer="0" w:header="0"/>
        </w:sectPr>
      </w:pPr>
    </w:p>
    <w:bookmarkStart w:id="10" w:name="page11"/>
    <w:bookmarkEnd w:id="10"/>
    <w:p>
      <w:pPr>
        <w:ind w:left="3540" w:right="919"/>
        <w:spacing w:after="0" w:line="26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793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5980" cy="793115"/>
                    </a:xfrm>
                    <a:prstGeom prst="rect">
                      <a:avLst/>
                    </a:prstGeom>
                    <a:noFill/>
                  </pic:spPr>
                </pic:pic>
              </a:graphicData>
            </a:graphic>
          </wp:anchor>
        </w:drawing>
        <w:t>provisions of articles 470-1 to 470-19 (inclusive) of the Luxembourg law of 10 August 1915 on commercial companies, as amended, is hereby expressly excluded.</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 xml:space="preserve">Trustee, Registrar, Paying Agent and Transfer  </w:t>
      </w:r>
      <w:r>
        <w:rPr>
          <w:rFonts w:ascii="Arial" w:cs="Arial" w:eastAsia="Arial" w:hAnsi="Arial"/>
          <w:sz w:val="13"/>
          <w:szCs w:val="13"/>
          <w:color w:val="auto"/>
        </w:rPr>
        <w:t>The Bank of New York Mellon.</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3"/>
          <w:szCs w:val="13"/>
          <w:b w:val="1"/>
          <w:bCs w:val="1"/>
          <w:color w:val="auto"/>
        </w:rPr>
        <w:t>Agent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S-6</w:t>
      </w:r>
    </w:p>
    <w:p>
      <w:pPr>
        <w:sectPr>
          <w:pgSz w:w="11900" w:h="16838" w:orient="portrait"/>
          <w:cols w:equalWidth="0" w:num="1">
            <w:col w:w="9019"/>
          </w:cols>
          <w:pgMar w:left="1440" w:top="378" w:right="144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5980" cy="31750"/>
                    </a:xfrm>
                    <a:prstGeom prst="rect">
                      <a:avLst/>
                    </a:prstGeom>
                    <a:noFill/>
                  </pic:spPr>
                </pic:pic>
              </a:graphicData>
            </a:graphic>
          </wp:anchor>
        </w:drawing>
        <w:t>RISK FACTORS</w:t>
      </w:r>
    </w:p>
    <w:p>
      <w:pPr>
        <w:spacing w:after="0" w:line="164" w:lineRule="exact"/>
        <w:rPr>
          <w:sz w:val="20"/>
          <w:szCs w:val="20"/>
          <w:color w:val="auto"/>
        </w:rPr>
      </w:pPr>
    </w:p>
    <w:p>
      <w:pPr>
        <w:ind w:left="420" w:right="459" w:firstLine="327"/>
        <w:spacing w:after="0" w:line="247" w:lineRule="auto"/>
        <w:rPr>
          <w:sz w:val="20"/>
          <w:szCs w:val="20"/>
          <w:color w:val="auto"/>
        </w:rPr>
      </w:pPr>
      <w:r>
        <w:rPr>
          <w:rFonts w:ascii="Arial" w:cs="Arial" w:eastAsia="Arial" w:hAnsi="Arial"/>
          <w:sz w:val="13"/>
          <w:szCs w:val="13"/>
          <w:i w:val="1"/>
          <w:iCs w:val="1"/>
          <w:color w:val="auto"/>
        </w:rPr>
        <w:t>You should carefully consider the risks described below and in the documents incorporated by reference in this prospectus supplement and the accompanying prospectus, including the “Management’s Discussion and Analysis of Financial Condition and Results of Operations” and “Risk Factors” sections of the Guarantor’s Annual Report on Form 10-K for the fiscal year ended December 31, 2025 and the Guarantor’s Quarterly Report on Form 10-Q for the fiscal quarter ended March 31, 2026, before making a decision to invest in the Notes. If any of the matters included in the “Risk Factors” sections were to occur, the SLB Group’s business, properties, assets, financial condition, results of operations, cash flows or prospects could be materially adversely affected. Additional risks and uncertainties not currently known to the SLB Group or that the SLB Group currently deems immaterial may also adversely affect the SLB Group’s business, reputation, financial condition, results of operations, cash flows and prospects.</w:t>
      </w:r>
    </w:p>
    <w:p>
      <w:pPr>
        <w:spacing w:after="0" w:line="212" w:lineRule="exact"/>
        <w:rPr>
          <w:sz w:val="20"/>
          <w:szCs w:val="20"/>
          <w:color w:val="auto"/>
        </w:rPr>
      </w:pPr>
    </w:p>
    <w:p>
      <w:pPr>
        <w:ind w:left="420" w:right="439"/>
        <w:spacing w:after="0" w:line="298" w:lineRule="auto"/>
        <w:rPr>
          <w:sz w:val="20"/>
          <w:szCs w:val="20"/>
          <w:color w:val="auto"/>
        </w:rPr>
      </w:pPr>
      <w:r>
        <w:rPr>
          <w:rFonts w:ascii="Arial" w:cs="Arial" w:eastAsia="Arial" w:hAnsi="Arial"/>
          <w:sz w:val="13"/>
          <w:szCs w:val="13"/>
          <w:b w:val="1"/>
          <w:bCs w:val="1"/>
          <w:color w:val="auto"/>
        </w:rPr>
        <w:t>The Company’s and the Guarantor’s ability to service their debt depends on the SLB Group’s future performance, which may not generate the cash required to service their debt.</w:t>
      </w:r>
    </w:p>
    <w:p>
      <w:pPr>
        <w:spacing w:after="0" w:line="12" w:lineRule="exact"/>
        <w:rPr>
          <w:sz w:val="20"/>
          <w:szCs w:val="20"/>
          <w:color w:val="auto"/>
        </w:rPr>
      </w:pPr>
    </w:p>
    <w:p>
      <w:pPr>
        <w:ind w:left="420" w:right="479" w:firstLine="327"/>
        <w:spacing w:after="0" w:line="246" w:lineRule="auto"/>
        <w:rPr>
          <w:sz w:val="20"/>
          <w:szCs w:val="20"/>
          <w:color w:val="auto"/>
        </w:rPr>
      </w:pPr>
      <w:r>
        <w:rPr>
          <w:rFonts w:ascii="Arial" w:cs="Arial" w:eastAsia="Arial" w:hAnsi="Arial"/>
          <w:sz w:val="13"/>
          <w:szCs w:val="13"/>
          <w:color w:val="auto"/>
        </w:rPr>
        <w:t>The Company’s ability to make scheduled payments on the Notes depends on the SLB Group’s future operating and financial performance and ability to generate cash. This will be affected by the SLB Group’s ability to successfully implement its business strategy, as well as by general economic, financial, competitive, regulatory, technical and other factors beyond its control. If the SLB Group cannot generate sufficient cash to meet its debt service obligations or fund its other business needs, the Company or the Guarantor may, among other things, need to refinance all or a portion of its obligations, including the Notes or the Guarantees, obtain additional financing, delay planned acquisitions or capital expenditures, or sell assets. No assurance can be given that the Company or the Guarantor will be able to generate sufficient cash through any of the foregoing. If the Company and the Guarantor are not able to refinance any of their debt, obtain additional financing or sell assets on commercially reasonable terms or at all, they may not be able to satisfy their obligations with respect to their debt, including the Notes and the Guarantees.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The Notes and the Guarantees will be effectively subordinated to any secured indebtedness of the Company and the Guarantor.</w:t>
      </w:r>
    </w:p>
    <w:p>
      <w:pPr>
        <w:spacing w:after="0" w:line="83" w:lineRule="exact"/>
        <w:rPr>
          <w:sz w:val="20"/>
          <w:szCs w:val="20"/>
          <w:color w:val="auto"/>
        </w:rPr>
      </w:pPr>
    </w:p>
    <w:p>
      <w:pPr>
        <w:ind w:left="420" w:right="499" w:firstLine="327"/>
        <w:spacing w:after="0" w:line="246" w:lineRule="auto"/>
        <w:rPr>
          <w:sz w:val="20"/>
          <w:szCs w:val="20"/>
          <w:color w:val="auto"/>
        </w:rPr>
      </w:pPr>
      <w:r>
        <w:rPr>
          <w:rFonts w:ascii="Arial" w:cs="Arial" w:eastAsia="Arial" w:hAnsi="Arial"/>
          <w:sz w:val="13"/>
          <w:szCs w:val="13"/>
          <w:color w:val="auto"/>
        </w:rPr>
        <w:t xml:space="preserve">The Notes will be unsecured and unsubordinated obligations of the Company and will rank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in right of payment with all other existing and future unsecured and unsubordinated indebtedness of the Company and senior in right of payment to all subordinated indebtedness of the Company, if any. The Guarantees will be the unsecured and unsubordinated obligation of the Guarantor and will rank </w:t>
      </w:r>
      <w:r>
        <w:rPr>
          <w:rFonts w:ascii="Arial" w:cs="Arial" w:eastAsia="Arial" w:hAnsi="Arial"/>
          <w:sz w:val="13"/>
          <w:szCs w:val="13"/>
          <w:i w:val="1"/>
          <w:iCs w:val="1"/>
          <w:color w:val="auto"/>
        </w:rPr>
        <w:t xml:space="preserve">pari passu </w:t>
      </w:r>
      <w:r>
        <w:rPr>
          <w:rFonts w:ascii="Arial" w:cs="Arial" w:eastAsia="Arial" w:hAnsi="Arial"/>
          <w:sz w:val="13"/>
          <w:szCs w:val="13"/>
          <w:color w:val="auto"/>
        </w:rPr>
        <w:t>in right of payment to all other existing and future unsecured and unsubordinated indebtedness of the Guarantor, and senior in</w:t>
      </w:r>
      <w:r>
        <w:rPr>
          <w:rFonts w:ascii="Arial" w:cs="Arial" w:eastAsia="Arial" w:hAnsi="Arial"/>
          <w:sz w:val="13"/>
          <w:szCs w:val="13"/>
          <w:i w:val="1"/>
          <w:iCs w:val="1"/>
          <w:color w:val="auto"/>
        </w:rPr>
        <w:t xml:space="preserve"> </w:t>
      </w:r>
      <w:r>
        <w:rPr>
          <w:rFonts w:ascii="Arial" w:cs="Arial" w:eastAsia="Arial" w:hAnsi="Arial"/>
          <w:sz w:val="13"/>
          <w:szCs w:val="13"/>
          <w:color w:val="auto"/>
        </w:rPr>
        <w:t>right of payment to all subordinated indebtedness of the Guarantor, if any. However, the Notes and the Guarantees will be effectively subordinated to any secured obligations of the Company and the Guarantor to the extent of the assets serving as security therefor. In bankruptcy, the holder of a security interest with respect to any assets of the Company or the Guarantor would be entitled to have the proceeds of such assets applied to the payment of such holder’s claim before the remaining proceeds, if any, are applied to the claims of the holders of the Notes.</w:t>
      </w:r>
    </w:p>
    <w:p>
      <w:pPr>
        <w:spacing w:after="0" w:line="214" w:lineRule="exact"/>
        <w:rPr>
          <w:sz w:val="20"/>
          <w:szCs w:val="20"/>
          <w:color w:val="auto"/>
        </w:rPr>
      </w:pPr>
    </w:p>
    <w:p>
      <w:pPr>
        <w:ind w:left="420" w:right="479"/>
        <w:spacing w:after="0" w:line="298" w:lineRule="auto"/>
        <w:rPr>
          <w:sz w:val="20"/>
          <w:szCs w:val="20"/>
          <w:color w:val="auto"/>
        </w:rPr>
      </w:pPr>
      <w:r>
        <w:rPr>
          <w:rFonts w:ascii="Arial" w:cs="Arial" w:eastAsia="Arial" w:hAnsi="Arial"/>
          <w:sz w:val="13"/>
          <w:szCs w:val="13"/>
          <w:b w:val="1"/>
          <w:bCs w:val="1"/>
          <w:color w:val="auto"/>
        </w:rPr>
        <w:t>The Guarantees and the Notes will be structurally subordinated to the obligations of the Guarantor’s subsidiaries other than the Company</w:t>
      </w:r>
      <w:r>
        <w:rPr>
          <w:rFonts w:ascii="Arial" w:cs="Arial" w:eastAsia="Arial" w:hAnsi="Arial"/>
          <w:sz w:val="13"/>
          <w:szCs w:val="13"/>
          <w:color w:val="auto"/>
        </w:rPr>
        <w:t>.</w:t>
      </w:r>
    </w:p>
    <w:p>
      <w:pPr>
        <w:spacing w:after="0" w:line="12" w:lineRule="exact"/>
        <w:rPr>
          <w:sz w:val="20"/>
          <w:szCs w:val="20"/>
          <w:color w:val="auto"/>
        </w:rPr>
      </w:pPr>
    </w:p>
    <w:p>
      <w:pPr>
        <w:jc w:val="both"/>
        <w:ind w:left="420" w:right="919" w:firstLine="327"/>
        <w:spacing w:after="0" w:line="262" w:lineRule="auto"/>
        <w:rPr>
          <w:sz w:val="20"/>
          <w:szCs w:val="20"/>
          <w:color w:val="auto"/>
        </w:rPr>
      </w:pPr>
      <w:r>
        <w:rPr>
          <w:rFonts w:ascii="Arial" w:cs="Arial" w:eastAsia="Arial" w:hAnsi="Arial"/>
          <w:sz w:val="13"/>
          <w:szCs w:val="13"/>
          <w:color w:val="auto"/>
        </w:rPr>
        <w:t>The Guarantor currently conducts its operations through its subsidiaries. The Company currently has no subsidiaries, and its principal activities are debt issuance and intercompany group financing. Accordingly, the Guarantor’s ability to meet its obligations, including payment of principal and interest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S-7</w:t>
      </w:r>
    </w:p>
    <w:p>
      <w:pPr>
        <w:sectPr>
          <w:pgSz w:w="11900" w:h="16838" w:orient="portrait"/>
          <w:cols w:equalWidth="0" w:num="1">
            <w:col w:w="9019"/>
          </w:cols>
          <w:pgMar w:left="1440" w:top="235" w:right="1440" w:bottom="1440" w:gutter="0" w:footer="0" w:header="0"/>
        </w:sectPr>
      </w:pPr>
    </w:p>
    <w:bookmarkStart w:id="12" w:name="page13"/>
    <w:bookmarkEnd w:id="12"/>
    <w:p>
      <w:pPr>
        <w:ind w:left="420" w:right="559"/>
        <w:spacing w:after="0" w:line="24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5980" cy="31750"/>
                    </a:xfrm>
                    <a:prstGeom prst="rect">
                      <a:avLst/>
                    </a:prstGeom>
                    <a:noFill/>
                  </pic:spPr>
                </pic:pic>
              </a:graphicData>
            </a:graphic>
          </wp:anchor>
        </w:drawing>
        <w:t>(including any Additional Amounts), on the Guarantees, depends on earnings and cash flows of its subsidiaries and the ability of its subsidiaries to pay dividends or advance or repay funds to it. In addition, any of the Guarantor’s rights (including the rights of the holders of the Notes) to participate in the assets of any of its subsidiaries (other than the Company) upon any liquidation or reorganization of any such subsidiary will be subject to the prior claims of that subsidiary’s creditors (except to the extent that the Guarantor may itself be a creditor of that subsidiary), including that subsidiary’s trade creditors and the Guarantor’s creditors who have obtained guarantees from such subsidiaries.</w:t>
      </w:r>
    </w:p>
    <w:p>
      <w:pPr>
        <w:spacing w:after="0" w:line="133" w:lineRule="exact"/>
        <w:rPr>
          <w:sz w:val="20"/>
          <w:szCs w:val="20"/>
          <w:color w:val="auto"/>
        </w:rPr>
      </w:pPr>
    </w:p>
    <w:p>
      <w:pPr>
        <w:ind w:left="420" w:right="499" w:firstLine="327"/>
        <w:spacing w:after="0" w:line="251" w:lineRule="auto"/>
        <w:rPr>
          <w:sz w:val="20"/>
          <w:szCs w:val="20"/>
          <w:color w:val="auto"/>
        </w:rPr>
      </w:pPr>
      <w:r>
        <w:rPr>
          <w:rFonts w:ascii="Arial" w:cs="Arial" w:eastAsia="Arial" w:hAnsi="Arial"/>
          <w:sz w:val="13"/>
          <w:szCs w:val="13"/>
          <w:color w:val="auto"/>
        </w:rPr>
        <w:t>As a result, the Guarantees will be structurally subordinated to the obligations and liabilities of all of the Guarantor’s subsidiaries (other than the Company’s obligations and liabilities with respect to the Notes). As of March 31, 2026, the Guarantor had accounts payable and accrued liabilities of approximately US$11.1 billion. In addition, the Indenture governing the Notes will permit the Guarantor’s subsidiaries, including the Company, to incur additional indebtedness, including an unlimited amount of unsecured indebtedness and will not contain any limitation on the amount of other liabilities, such as trade payables, that may be incurred by its subsidiaries.</w:t>
      </w:r>
    </w:p>
    <w:p>
      <w:pPr>
        <w:spacing w:after="0" w:line="210" w:lineRule="exact"/>
        <w:rPr>
          <w:sz w:val="20"/>
          <w:szCs w:val="20"/>
          <w:color w:val="auto"/>
        </w:rPr>
      </w:pPr>
    </w:p>
    <w:p>
      <w:pPr>
        <w:ind w:left="420" w:right="599"/>
        <w:spacing w:after="0" w:line="298" w:lineRule="auto"/>
        <w:rPr>
          <w:sz w:val="20"/>
          <w:szCs w:val="20"/>
          <w:color w:val="auto"/>
        </w:rPr>
      </w:pPr>
      <w:r>
        <w:rPr>
          <w:rFonts w:ascii="Arial" w:cs="Arial" w:eastAsia="Arial" w:hAnsi="Arial"/>
          <w:sz w:val="13"/>
          <w:szCs w:val="13"/>
          <w:b w:val="1"/>
          <w:bCs w:val="1"/>
          <w:color w:val="auto"/>
        </w:rPr>
        <w:t>There is currently no trading market for any series of the Notes and an active trading market for the Notes may not develop, in which case you may not be able to resell the Notes.</w:t>
      </w:r>
    </w:p>
    <w:p>
      <w:pPr>
        <w:spacing w:after="0" w:line="12" w:lineRule="exact"/>
        <w:rPr>
          <w:sz w:val="20"/>
          <w:szCs w:val="20"/>
          <w:color w:val="auto"/>
        </w:rPr>
      </w:pPr>
    </w:p>
    <w:p>
      <w:pPr>
        <w:ind w:left="420" w:right="459" w:firstLine="327"/>
        <w:spacing w:after="0" w:line="246" w:lineRule="auto"/>
        <w:rPr>
          <w:sz w:val="20"/>
          <w:szCs w:val="20"/>
          <w:color w:val="auto"/>
        </w:rPr>
      </w:pPr>
      <w:r>
        <w:rPr>
          <w:rFonts w:ascii="Arial" w:cs="Arial" w:eastAsia="Arial" w:hAnsi="Arial"/>
          <w:sz w:val="13"/>
          <w:szCs w:val="13"/>
          <w:color w:val="auto"/>
        </w:rPr>
        <w:t>There is no existing trading market for any series of the Notes and we do not intend to list them on any securities exchange or automated quotation system. As a result, an active or liquid trading market for the Notes may not develop, or if one does develop, it may not be sustained. Future liquidity will depend on, among other things, the number of holders of any series of the Notes, the Company’s and the Guarantor’s financial performance, the market for similar securities and the interest of securities dealers in making a market in the Notes. In addition, changes in the overall market for investment grade securities and changes in the Company’s or the Guarantor’s financial performance or in the markets where we operate may adversely affect the liquidity of the trading market in the Notes and the market price quoted for the Notes. The conditions of the financial markets and prevailing interest rates have fluctuated in the past and are likely to fluctuate in the future. The market, if any, for the Notes may be subject to disruptions that may cause substantial volatility in their prices. Any disruptions may have an adverse effect on the holders of the Notes.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You may be unable to recover in civil proceedings for U.S. securities laws violations</w:t>
      </w:r>
      <w:r>
        <w:rPr>
          <w:rFonts w:ascii="Arial" w:cs="Arial" w:eastAsia="Arial" w:hAnsi="Arial"/>
          <w:sz w:val="13"/>
          <w:szCs w:val="13"/>
          <w:color w:val="auto"/>
        </w:rPr>
        <w:t>.</w:t>
      </w:r>
    </w:p>
    <w:p>
      <w:pPr>
        <w:spacing w:after="0" w:line="83" w:lineRule="exact"/>
        <w:rPr>
          <w:sz w:val="20"/>
          <w:szCs w:val="20"/>
          <w:color w:val="auto"/>
        </w:rPr>
      </w:pPr>
    </w:p>
    <w:p>
      <w:pPr>
        <w:ind w:left="420" w:right="599" w:firstLine="327"/>
        <w:spacing w:after="0" w:line="249" w:lineRule="auto"/>
        <w:rPr>
          <w:sz w:val="20"/>
          <w:szCs w:val="20"/>
          <w:color w:val="auto"/>
        </w:rPr>
      </w:pPr>
      <w:r>
        <w:rPr>
          <w:rFonts w:ascii="Arial" w:cs="Arial" w:eastAsia="Arial" w:hAnsi="Arial"/>
          <w:sz w:val="13"/>
          <w:szCs w:val="13"/>
          <w:color w:val="auto"/>
        </w:rPr>
        <w:t>The Company is organized under the laws of Luxembourg and does not have any assets in the United States. It is anticipated that some or all of the directors of the Company will be nonresidents of the United States and that all or a majority of their assets will be located outside the United States. As a result, it may not be possible for investors to effect service of process within the United States upon the Company or its directors, or to enforce any judgments obtained in U.S. courts predicated upon civil liability provisions of the U.S. securities laws. In addition, the Company cannot assure you that civil liabilities predicated upon the federal securities laws of the United States will be enforceable in Luxembourg.</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S-8</w:t>
      </w:r>
    </w:p>
    <w:p>
      <w:pPr>
        <w:sectPr>
          <w:pgSz w:w="11900" w:h="16838" w:orient="portrait"/>
          <w:cols w:equalWidth="0" w:num="1">
            <w:col w:w="9019"/>
          </w:cols>
          <w:pgMar w:left="1440" w:top="237"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5980" cy="31750"/>
                    </a:xfrm>
                    <a:prstGeom prst="rect">
                      <a:avLst/>
                    </a:prstGeom>
                    <a:noFill/>
                  </pic:spPr>
                </pic:pic>
              </a:graphicData>
            </a:graphic>
          </wp:anchor>
        </w:drawing>
        <w:t>USE OF PROCEEDS</w:t>
      </w:r>
    </w:p>
    <w:p>
      <w:pPr>
        <w:spacing w:after="0" w:line="164" w:lineRule="exact"/>
        <w:rPr>
          <w:sz w:val="20"/>
          <w:szCs w:val="20"/>
          <w:color w:val="auto"/>
        </w:rPr>
      </w:pPr>
    </w:p>
    <w:p>
      <w:pPr>
        <w:ind w:left="420" w:right="519" w:firstLine="327"/>
        <w:spacing w:after="0" w:line="255" w:lineRule="auto"/>
        <w:rPr>
          <w:sz w:val="20"/>
          <w:szCs w:val="20"/>
          <w:color w:val="auto"/>
        </w:rPr>
      </w:pPr>
      <w:r>
        <w:rPr>
          <w:rFonts w:ascii="Arial" w:cs="Arial" w:eastAsia="Arial" w:hAnsi="Arial"/>
          <w:sz w:val="13"/>
          <w:szCs w:val="13"/>
          <w:color w:val="auto"/>
        </w:rPr>
        <w:t>We estimate that the net proceeds (after deducting the underwriting discount and the estimated expenses of the offering payable by us) from the sale of the Notes will be approximately US$1,984,590,000. We intend to use the net proceeds from this offering for general corporate purposes, including to repay our near-term debt maturities including our 1.375% Guaranteed Notes due 2026. We intend to invest the new proceeds prior to repaying the 1.375% Guaranteed Notes due 2026.</w:t>
      </w:r>
    </w:p>
    <w:p>
      <w:pPr>
        <w:spacing w:after="0" w:line="127" w:lineRule="exact"/>
        <w:rPr>
          <w:sz w:val="20"/>
          <w:szCs w:val="20"/>
          <w:color w:val="auto"/>
        </w:rPr>
      </w:pPr>
    </w:p>
    <w:p>
      <w:pPr>
        <w:ind w:left="420" w:right="479" w:firstLine="327"/>
        <w:spacing w:after="0" w:line="262" w:lineRule="auto"/>
        <w:rPr>
          <w:sz w:val="20"/>
          <w:szCs w:val="20"/>
          <w:color w:val="auto"/>
        </w:rPr>
      </w:pPr>
      <w:r>
        <w:rPr>
          <w:rFonts w:ascii="Arial" w:cs="Arial" w:eastAsia="Arial" w:hAnsi="Arial"/>
          <w:sz w:val="13"/>
          <w:szCs w:val="13"/>
          <w:color w:val="auto"/>
        </w:rPr>
        <w:t>Certain of the underwriters and/or their affiliates may hold a portion of our 1.375% Guaranteed Notes due 2026 that are being repaid or otherwise retired and may receive a portion of the net proceeds of this offering. See “Underwriting (Conflicts of Interest)—Conflicts of Interest.”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S-9</w:t>
      </w:r>
    </w:p>
    <w:p>
      <w:pPr>
        <w:sectPr>
          <w:pgSz w:w="11900" w:h="16838" w:orient="portrait"/>
          <w:cols w:equalWidth="0" w:num="1">
            <w:col w:w="9019"/>
          </w:cols>
          <w:pgMar w:left="1440" w:top="235" w:right="1440"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5980" cy="31750"/>
                    </a:xfrm>
                    <a:prstGeom prst="rect">
                      <a:avLst/>
                    </a:prstGeom>
                    <a:noFill/>
                  </pic:spPr>
                </pic:pic>
              </a:graphicData>
            </a:graphic>
          </wp:anchor>
        </w:drawing>
        <w:t>DESCRIPTION OF THE NOTES</w:t>
      </w:r>
    </w:p>
    <w:p>
      <w:pPr>
        <w:spacing w:after="0" w:line="164" w:lineRule="exact"/>
        <w:rPr>
          <w:sz w:val="20"/>
          <w:szCs w:val="20"/>
          <w:color w:val="auto"/>
        </w:rPr>
      </w:pPr>
    </w:p>
    <w:p>
      <w:pPr>
        <w:ind w:left="420" w:right="519" w:firstLine="327"/>
        <w:spacing w:after="0" w:line="246" w:lineRule="auto"/>
        <w:rPr>
          <w:sz w:val="20"/>
          <w:szCs w:val="20"/>
          <w:color w:val="auto"/>
        </w:rPr>
      </w:pPr>
      <w:r>
        <w:rPr>
          <w:rFonts w:ascii="Arial" w:cs="Arial" w:eastAsia="Arial" w:hAnsi="Arial"/>
          <w:sz w:val="13"/>
          <w:szCs w:val="13"/>
          <w:color w:val="auto"/>
        </w:rPr>
        <w:t>Schlumberger Investment S.A. (the “Company”) is offering US$500,000,000 principal amount of its 4.550% Senior Notes due 2031 (the “2031 Notes”), US$500,000,000 principal amount of its 4.800% Senior Notes due 2033 (the “2033 Notes”) and US$1,000,000,000 principal amount of its 5.150% Senior Notes due 2036 (the “2036 Notes” and, together with the 2031 Notes and the 2033 Notes, the “Notes”). The Notes are to be issued under an indenture, dated December 3, 2013, as amended by the second supplemental indenture, dated June 26, 2020, the fourth supplemental indenture, dated May 29, 2024, and a supplemental indenture to be dated as of the closing date of this offering (as amended and supplemented from time to time, the “Indenture”), among the Company, SLB Limited, as guarantor (the “Guarantor”), and The Bank of New York Mellon, as trustee (the “Trustee”). When we refer to the Indenture, we are referring to such indenture, as so amended and supplemented, unless the context requires otherwise. The Guarantor will fully and unconditionally guarantee the Notes under a guarantee contained in the Indenture (the “Guarantees”). The terms of the Notes include those stated in the Indenture. Copies of the Indenture are available as set forth under “Where You Can Find More Information.”</w:t>
      </w:r>
    </w:p>
    <w:p>
      <w:pPr>
        <w:spacing w:after="0" w:line="133" w:lineRule="exact"/>
        <w:rPr>
          <w:sz w:val="20"/>
          <w:szCs w:val="20"/>
          <w:color w:val="auto"/>
        </w:rPr>
      </w:pPr>
    </w:p>
    <w:p>
      <w:pPr>
        <w:ind w:left="420" w:right="439" w:firstLine="327"/>
        <w:spacing w:after="0" w:line="262" w:lineRule="auto"/>
        <w:rPr>
          <w:sz w:val="20"/>
          <w:szCs w:val="20"/>
          <w:color w:val="auto"/>
        </w:rPr>
      </w:pPr>
      <w:r>
        <w:rPr>
          <w:rFonts w:ascii="Arial" w:cs="Arial" w:eastAsia="Arial" w:hAnsi="Arial"/>
          <w:sz w:val="13"/>
          <w:szCs w:val="13"/>
          <w:color w:val="auto"/>
        </w:rPr>
        <w:t>The Indenture does not limit the amount of debt that may be issued thereunder. The Company may issue debt securities from time to time under the Indenture in separate series (each, a “series”), each up to the aggregate principal amount authorized by the Company for such series. The Notes will constitute three series of debt securities under the Indenture.</w:t>
      </w:r>
    </w:p>
    <w:p>
      <w:pPr>
        <w:spacing w:after="0" w:line="122" w:lineRule="exact"/>
        <w:rPr>
          <w:sz w:val="20"/>
          <w:szCs w:val="20"/>
          <w:color w:val="auto"/>
        </w:rPr>
      </w:pPr>
    </w:p>
    <w:p>
      <w:pPr>
        <w:ind w:left="420" w:right="499" w:firstLine="327"/>
        <w:spacing w:after="0" w:line="262" w:lineRule="auto"/>
        <w:rPr>
          <w:sz w:val="20"/>
          <w:szCs w:val="20"/>
          <w:color w:val="auto"/>
        </w:rPr>
      </w:pPr>
      <w:r>
        <w:rPr>
          <w:rFonts w:ascii="Arial" w:cs="Arial" w:eastAsia="Arial" w:hAnsi="Arial"/>
          <w:sz w:val="13"/>
          <w:szCs w:val="13"/>
          <w:color w:val="auto"/>
        </w:rPr>
        <w:t>As used in this “Description of the Notes,” the terms “we,” “us” and “our” and similar expressions refer to the Company; and the term “Guarantor” refers to our parent company, the Guarantor, and not to any of its subsidiaries, in each case unless otherwise stated or the context otherwise requires.</w:t>
      </w:r>
    </w:p>
    <w:p>
      <w:pPr>
        <w:spacing w:after="0" w:line="122" w:lineRule="exact"/>
        <w:rPr>
          <w:sz w:val="20"/>
          <w:szCs w:val="20"/>
          <w:color w:val="auto"/>
        </w:rPr>
      </w:pPr>
    </w:p>
    <w:p>
      <w:pPr>
        <w:jc w:val="both"/>
        <w:ind w:left="420" w:right="459" w:firstLine="327"/>
        <w:spacing w:after="0" w:line="262" w:lineRule="auto"/>
        <w:rPr>
          <w:sz w:val="20"/>
          <w:szCs w:val="20"/>
          <w:color w:val="auto"/>
        </w:rPr>
      </w:pPr>
      <w:r>
        <w:rPr>
          <w:rFonts w:ascii="Arial" w:cs="Arial" w:eastAsia="Arial" w:hAnsi="Arial"/>
          <w:sz w:val="13"/>
          <w:szCs w:val="13"/>
          <w:color w:val="auto"/>
        </w:rPr>
        <w:t>The following description is a summary of the material provisions of the Indenture. It does not restate the Indenture in its entirety. We urge you to read the Indenture because it, and not this description, defines your rights as holders of the Notes. Certain defined terms used in this description but not defined below have the meanings assigned to them in the Indenture.</w:t>
      </w:r>
    </w:p>
    <w:p>
      <w:pPr>
        <w:spacing w:after="0" w:line="122" w:lineRule="exact"/>
        <w:rPr>
          <w:sz w:val="20"/>
          <w:szCs w:val="20"/>
          <w:color w:val="auto"/>
        </w:rPr>
      </w:pPr>
    </w:p>
    <w:p>
      <w:pPr>
        <w:ind w:left="420" w:right="579" w:firstLine="327"/>
        <w:spacing w:after="0" w:line="282" w:lineRule="auto"/>
        <w:rPr>
          <w:sz w:val="20"/>
          <w:szCs w:val="20"/>
          <w:color w:val="auto"/>
        </w:rPr>
      </w:pPr>
      <w:r>
        <w:rPr>
          <w:rFonts w:ascii="Arial" w:cs="Arial" w:eastAsia="Arial" w:hAnsi="Arial"/>
          <w:sz w:val="13"/>
          <w:szCs w:val="13"/>
          <w:color w:val="auto"/>
        </w:rPr>
        <w:t>The registered holder of a Note will be treated as the owner of it for all purposes. Only registered holders will have rights under the Indenture.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General Terms of the 2031 Notes</w:t>
      </w:r>
    </w:p>
    <w:p>
      <w:pPr>
        <w:spacing w:after="0" w:line="83" w:lineRule="exact"/>
        <w:rPr>
          <w:sz w:val="20"/>
          <w:szCs w:val="20"/>
          <w:color w:val="auto"/>
        </w:rPr>
      </w:pPr>
    </w:p>
    <w:p>
      <w:pPr>
        <w:ind w:left="420" w:right="439" w:firstLine="327"/>
        <w:spacing w:after="0" w:line="248" w:lineRule="auto"/>
        <w:rPr>
          <w:sz w:val="20"/>
          <w:szCs w:val="20"/>
          <w:color w:val="auto"/>
        </w:rPr>
      </w:pPr>
      <w:r>
        <w:rPr>
          <w:rFonts w:ascii="Arial" w:cs="Arial" w:eastAsia="Arial" w:hAnsi="Arial"/>
          <w:sz w:val="13"/>
          <w:szCs w:val="13"/>
          <w:color w:val="auto"/>
        </w:rPr>
        <w:t>The 2031 Notes are initially issuable in an aggregate principal amount of US$500,000,000 and will mature on May 7, 2031. Interest on the 2031 Notes will be payable in U.S. dollars at the office of the Paying Agent in the Borough of Manhattan, the City of New York, New York, or, at the Company’s option, by check mailed to the address of the registered holder or, with respect to any global 2031 Note or upon application by the holder of a definitive, non-global 2031 Note to the specified office of any Paying Agent not less than 15 days before the due date of any payment, by wire transfer to a U.S. dollar account. Interest will be calculated on the basis of a 360-day year consisting of twelve 30-day months. At final maturity, 100% of the principal amount of the 2031 Notes then maturing will be due and payable, plus accrued and unpaid interest to the applicable maturity date.</w:t>
      </w:r>
    </w:p>
    <w:p>
      <w:pPr>
        <w:spacing w:after="0" w:line="133" w:lineRule="exact"/>
        <w:rPr>
          <w:sz w:val="20"/>
          <w:szCs w:val="20"/>
          <w:color w:val="auto"/>
        </w:rPr>
      </w:pPr>
    </w:p>
    <w:p>
      <w:pPr>
        <w:ind w:left="420" w:right="479" w:firstLine="327"/>
        <w:spacing w:after="0" w:line="255" w:lineRule="auto"/>
        <w:rPr>
          <w:sz w:val="20"/>
          <w:szCs w:val="20"/>
          <w:color w:val="auto"/>
        </w:rPr>
      </w:pPr>
      <w:r>
        <w:rPr>
          <w:rFonts w:ascii="Arial" w:cs="Arial" w:eastAsia="Arial" w:hAnsi="Arial"/>
          <w:sz w:val="13"/>
          <w:szCs w:val="13"/>
          <w:color w:val="auto"/>
        </w:rPr>
        <w:t>The Company may create and issue additional 2031 Notes under the Indenture with the same terms as the 2031 Notes offered hereby (other than the date of issuance and in certain circumstances the initial interest payment date). The 2031 Notes issued by the Company and any additional 2031 Notes subsequently issued by the Company under the Indenture will be treated as a single class for all purposes under the Indenture, including, without limitation, waivers, amendments and redemptions. See “—Further Issuances.”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S-10</w:t>
      </w:r>
    </w:p>
    <w:p>
      <w:pPr>
        <w:sectPr>
          <w:pgSz w:w="11900" w:h="16838" w:orient="portrait"/>
          <w:cols w:equalWidth="0" w:num="1">
            <w:col w:w="9019"/>
          </w:cols>
          <w:pgMar w:left="1440" w:top="235" w:right="1440" w:bottom="1440" w:gutter="0" w:footer="0" w:header="0"/>
        </w:sectPr>
      </w:pPr>
    </w:p>
    <w:bookmarkStart w:id="15" w:name="page16"/>
    <w:bookmarkEnd w:id="15"/>
    <w:p>
      <w:pPr>
        <w:ind w:left="420" w:right="819" w:firstLine="327"/>
        <w:spacing w:after="0" w:line="28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The 2031 Notes will be issued only in registered form without interest coupons, in minimum denominations of US$2,000 and in integral multiples of US$1,000 in excess thereof.</w:t>
      </w:r>
    </w:p>
    <w:p>
      <w:pPr>
        <w:spacing w:after="0" w:line="110" w:lineRule="exact"/>
        <w:rPr>
          <w:sz w:val="20"/>
          <w:szCs w:val="20"/>
          <w:color w:val="auto"/>
        </w:rPr>
      </w:pPr>
    </w:p>
    <w:p>
      <w:pPr>
        <w:ind w:left="420" w:right="439" w:firstLine="327"/>
        <w:spacing w:after="0" w:line="255" w:lineRule="auto"/>
        <w:rPr>
          <w:sz w:val="20"/>
          <w:szCs w:val="20"/>
          <w:color w:val="auto"/>
        </w:rPr>
      </w:pPr>
      <w:r>
        <w:rPr>
          <w:rFonts w:ascii="Arial" w:cs="Arial" w:eastAsia="Arial" w:hAnsi="Arial"/>
          <w:sz w:val="13"/>
          <w:szCs w:val="13"/>
          <w:color w:val="auto"/>
        </w:rPr>
        <w:t>The 2031 Notes will bear interest at 4.550% per annum. Interest on the 2031 Notes will accrue from May 7, 2026 and will be payable by the Company on May 7 and November 7 of each year, beginning on November 7, 2026 to the person in whose name such 2031 Note is registered, subject to certain exceptions as provided in the Indenture, at the close of business on the April 22 and October 23 immediately preceding such interest payment date (whether or not a business day).</w:t>
      </w:r>
    </w:p>
    <w:p>
      <w:pPr>
        <w:spacing w:after="0" w:line="127" w:lineRule="exact"/>
        <w:rPr>
          <w:sz w:val="20"/>
          <w:szCs w:val="20"/>
          <w:color w:val="auto"/>
        </w:rPr>
      </w:pPr>
    </w:p>
    <w:p>
      <w:pPr>
        <w:ind w:left="740"/>
        <w:spacing w:after="0"/>
        <w:rPr>
          <w:sz w:val="20"/>
          <w:szCs w:val="20"/>
          <w:color w:val="auto"/>
        </w:rPr>
      </w:pPr>
      <w:r>
        <w:rPr>
          <w:rFonts w:ascii="Arial" w:cs="Arial" w:eastAsia="Arial" w:hAnsi="Arial"/>
          <w:sz w:val="13"/>
          <w:szCs w:val="13"/>
          <w:color w:val="auto"/>
        </w:rPr>
        <w:t>The 2031 Notes are not subject to any mandatory redemption or any sinking fund provision.</w:t>
      </w:r>
    </w:p>
    <w:p>
      <w:pPr>
        <w:spacing w:after="0" w:line="240"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General Terms of the 2033 Notes</w:t>
      </w:r>
    </w:p>
    <w:p>
      <w:pPr>
        <w:spacing w:after="0" w:line="83" w:lineRule="exact"/>
        <w:rPr>
          <w:sz w:val="20"/>
          <w:szCs w:val="20"/>
          <w:color w:val="auto"/>
        </w:rPr>
      </w:pPr>
    </w:p>
    <w:p>
      <w:pPr>
        <w:ind w:left="420" w:right="439" w:firstLine="327"/>
        <w:spacing w:after="0" w:line="248" w:lineRule="auto"/>
        <w:rPr>
          <w:sz w:val="20"/>
          <w:szCs w:val="20"/>
          <w:color w:val="auto"/>
        </w:rPr>
      </w:pPr>
      <w:r>
        <w:rPr>
          <w:rFonts w:ascii="Arial" w:cs="Arial" w:eastAsia="Arial" w:hAnsi="Arial"/>
          <w:sz w:val="13"/>
          <w:szCs w:val="13"/>
          <w:color w:val="auto"/>
        </w:rPr>
        <w:t>The 2033 Notes are initially issuable in an aggregate principal amount of US$500,000,000 and will mature on May 7, 2033. Interest on the 2033 Notes will be payable in U.S. dollars at the office of the Paying Agent in the Borough of Manhattan, the City of New York, New York, or, at the Company’s option, by check mailed to the address of the registered holder or, with respect to any global 2033 Note or upon application by the holder of a definitive, non-global 2033 Note to the specified office of any Paying Agent not less than 15 days before the due date of any payment, by wire transfer to a U.S. dollar account. Interest will be calculated on the basis of a 360-day year consisting of twelve 30-day months. At final maturity, 100% of the principal amount of the 2033 Notes then maturing will be due and payable, plus accrued and unpaid interest to the applicable maturity date.</w:t>
      </w:r>
    </w:p>
    <w:p>
      <w:pPr>
        <w:spacing w:after="0" w:line="133" w:lineRule="exact"/>
        <w:rPr>
          <w:sz w:val="20"/>
          <w:szCs w:val="20"/>
          <w:color w:val="auto"/>
        </w:rPr>
      </w:pPr>
    </w:p>
    <w:p>
      <w:pPr>
        <w:ind w:left="420" w:right="479" w:firstLine="327"/>
        <w:spacing w:after="0" w:line="255" w:lineRule="auto"/>
        <w:rPr>
          <w:sz w:val="20"/>
          <w:szCs w:val="20"/>
          <w:color w:val="auto"/>
        </w:rPr>
      </w:pPr>
      <w:r>
        <w:rPr>
          <w:rFonts w:ascii="Arial" w:cs="Arial" w:eastAsia="Arial" w:hAnsi="Arial"/>
          <w:sz w:val="13"/>
          <w:szCs w:val="13"/>
          <w:color w:val="auto"/>
        </w:rPr>
        <w:t>The Company may create and issue additional 2033 Notes under the Indenture with the same terms as the 2033 Notes offered hereby (other than the date of issuance and in certain circumstances the initial interest payment date). The 2033 Notes issued by the Company and any additional 2033 Notes subsequently issued by the Company under the Indenture will be treated as a single class for all purposes under the Indenture, including, without limitation, waivers, amendments and redemptions. See “—Further Issuances.”</w:t>
      </w:r>
    </w:p>
    <w:p>
      <w:pPr>
        <w:spacing w:after="0" w:line="127" w:lineRule="exact"/>
        <w:rPr>
          <w:sz w:val="20"/>
          <w:szCs w:val="20"/>
          <w:color w:val="auto"/>
        </w:rPr>
      </w:pPr>
    </w:p>
    <w:p>
      <w:pPr>
        <w:ind w:left="420" w:right="819" w:firstLine="327"/>
        <w:spacing w:after="0" w:line="282" w:lineRule="auto"/>
        <w:rPr>
          <w:sz w:val="20"/>
          <w:szCs w:val="20"/>
          <w:color w:val="auto"/>
        </w:rPr>
      </w:pPr>
      <w:r>
        <w:rPr>
          <w:rFonts w:ascii="Arial" w:cs="Arial" w:eastAsia="Arial" w:hAnsi="Arial"/>
          <w:sz w:val="13"/>
          <w:szCs w:val="13"/>
          <w:color w:val="auto"/>
        </w:rPr>
        <w:t>The 2033 Notes will be issued only in registered form without interest coupons, in minimum denominations of US$2,000 and in integral multiples of US$1,000 in excess thereof.</w:t>
      </w:r>
    </w:p>
    <w:p>
      <w:pPr>
        <w:spacing w:after="0" w:line="110" w:lineRule="exact"/>
        <w:rPr>
          <w:sz w:val="20"/>
          <w:szCs w:val="20"/>
          <w:color w:val="auto"/>
        </w:rPr>
      </w:pPr>
    </w:p>
    <w:p>
      <w:pPr>
        <w:ind w:left="420" w:right="439" w:firstLine="327"/>
        <w:spacing w:after="0" w:line="255" w:lineRule="auto"/>
        <w:rPr>
          <w:sz w:val="20"/>
          <w:szCs w:val="20"/>
          <w:color w:val="auto"/>
        </w:rPr>
      </w:pPr>
      <w:r>
        <w:rPr>
          <w:rFonts w:ascii="Arial" w:cs="Arial" w:eastAsia="Arial" w:hAnsi="Arial"/>
          <w:sz w:val="13"/>
          <w:szCs w:val="13"/>
          <w:color w:val="auto"/>
        </w:rPr>
        <w:t>The 2033 Notes will bear interest at 4.800% per annum. Interest on the 2033 Notes will accrue from May 7, 2026 and will be payable by the Company on May 7 and November 7 of each year, beginning on November 7, 2026 to the person in whose name such 2033 Note is registered, subject to certain exceptions as provided in the Indenture, at the close of business on the April 22 and October 23 immediately preceding such interest payment date (whether or not a business day).</w:t>
      </w:r>
    </w:p>
    <w:p>
      <w:pPr>
        <w:spacing w:after="0" w:line="127" w:lineRule="exact"/>
        <w:rPr>
          <w:sz w:val="20"/>
          <w:szCs w:val="20"/>
          <w:color w:val="auto"/>
        </w:rPr>
      </w:pPr>
    </w:p>
    <w:p>
      <w:pPr>
        <w:ind w:left="740"/>
        <w:spacing w:after="0"/>
        <w:rPr>
          <w:sz w:val="20"/>
          <w:szCs w:val="20"/>
          <w:color w:val="auto"/>
        </w:rPr>
      </w:pPr>
      <w:r>
        <w:rPr>
          <w:rFonts w:ascii="Arial" w:cs="Arial" w:eastAsia="Arial" w:hAnsi="Arial"/>
          <w:sz w:val="13"/>
          <w:szCs w:val="13"/>
          <w:color w:val="auto"/>
        </w:rPr>
        <w:t>The 2033 Notes are not subject to any mandatory redemption or any sinking fund provision.</w:t>
      </w:r>
    </w:p>
    <w:p>
      <w:pPr>
        <w:spacing w:after="0" w:line="240"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General Terms of the 2036 Notes</w:t>
      </w:r>
    </w:p>
    <w:p>
      <w:pPr>
        <w:spacing w:after="0" w:line="83" w:lineRule="exact"/>
        <w:rPr>
          <w:sz w:val="20"/>
          <w:szCs w:val="20"/>
          <w:color w:val="auto"/>
        </w:rPr>
      </w:pPr>
    </w:p>
    <w:p>
      <w:pPr>
        <w:ind w:left="420" w:right="439" w:firstLine="327"/>
        <w:spacing w:after="0" w:line="248" w:lineRule="auto"/>
        <w:rPr>
          <w:sz w:val="20"/>
          <w:szCs w:val="20"/>
          <w:color w:val="auto"/>
        </w:rPr>
      </w:pPr>
      <w:r>
        <w:rPr>
          <w:rFonts w:ascii="Arial" w:cs="Arial" w:eastAsia="Arial" w:hAnsi="Arial"/>
          <w:sz w:val="13"/>
          <w:szCs w:val="13"/>
          <w:color w:val="auto"/>
        </w:rPr>
        <w:t>The 2036 Notes are initially issuable in an aggregate principal amount of US$1,000,000,000 and will mature on May 7, 2036. Interest on the 2036 Notes will be payable in U.S. dollars at the office of the Paying Agent in the Borough of Manhattan, the City of New York, New York, or, at the Company’s option, by check mailed to the address of the registered holder or, with respect to any global 2036 Note or upon application by the holder of a definitive, non-global 2036 Note to the specified office of any Paying Agent not less than 15 days before the due date of any payment, by wire transfer to a U.S. dollar account. Interest will be calculated on the basis of a 360-day year consisting of twelve 30-day months. At final maturity, 100% of the principal amount of the 2036 Notes then maturing will be due and payable, plus accrued and unpaid interest to the applicable maturity date.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S-11</w:t>
      </w:r>
    </w:p>
    <w:p>
      <w:pPr>
        <w:sectPr>
          <w:pgSz w:w="11900" w:h="16838" w:orient="portrait"/>
          <w:cols w:equalWidth="0" w:num="1">
            <w:col w:w="9019"/>
          </w:cols>
          <w:pgMar w:left="1440" w:top="237" w:right="1440" w:bottom="1440" w:gutter="0" w:footer="0" w:header="0"/>
        </w:sectPr>
      </w:pPr>
    </w:p>
    <w:bookmarkStart w:id="16" w:name="page17"/>
    <w:bookmarkEnd w:id="16"/>
    <w:p>
      <w:pPr>
        <w:ind w:left="420" w:right="479" w:firstLine="327"/>
        <w:spacing w:after="0" w:line="25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The Company may create and issue additional 2036 Notes under the Indenture with the same terms as the 2036 Notes offered hereby (other than the date of issuance and in certain circumstances the initial interest payment date). The 2036 Notes issued by the Company and any additional 2036 Notes subsequently issued by the Company under the Indenture will be treated as a single class for all purposes under the Indenture, including, without limitation, waivers, amendments and redemptions. See “—Further Issuances.”</w:t>
      </w:r>
    </w:p>
    <w:p>
      <w:pPr>
        <w:spacing w:after="0" w:line="127" w:lineRule="exact"/>
        <w:rPr>
          <w:sz w:val="20"/>
          <w:szCs w:val="20"/>
          <w:color w:val="auto"/>
        </w:rPr>
      </w:pPr>
    </w:p>
    <w:p>
      <w:pPr>
        <w:ind w:left="420" w:right="819" w:firstLine="327"/>
        <w:spacing w:after="0" w:line="282" w:lineRule="auto"/>
        <w:rPr>
          <w:sz w:val="20"/>
          <w:szCs w:val="20"/>
          <w:color w:val="auto"/>
        </w:rPr>
      </w:pPr>
      <w:r>
        <w:rPr>
          <w:rFonts w:ascii="Arial" w:cs="Arial" w:eastAsia="Arial" w:hAnsi="Arial"/>
          <w:sz w:val="13"/>
          <w:szCs w:val="13"/>
          <w:color w:val="auto"/>
        </w:rPr>
        <w:t>The 2036 Notes will be issued only in registered form without interest coupons, in minimum denominations of US$2,000 and in integral multiples of US$1,000 in excess thereof.</w:t>
      </w:r>
    </w:p>
    <w:p>
      <w:pPr>
        <w:spacing w:after="0" w:line="110" w:lineRule="exact"/>
        <w:rPr>
          <w:sz w:val="20"/>
          <w:szCs w:val="20"/>
          <w:color w:val="auto"/>
        </w:rPr>
      </w:pPr>
    </w:p>
    <w:p>
      <w:pPr>
        <w:ind w:left="420" w:right="439" w:firstLine="327"/>
        <w:spacing w:after="0" w:line="255" w:lineRule="auto"/>
        <w:rPr>
          <w:sz w:val="20"/>
          <w:szCs w:val="20"/>
          <w:color w:val="auto"/>
        </w:rPr>
      </w:pPr>
      <w:r>
        <w:rPr>
          <w:rFonts w:ascii="Arial" w:cs="Arial" w:eastAsia="Arial" w:hAnsi="Arial"/>
          <w:sz w:val="13"/>
          <w:szCs w:val="13"/>
          <w:color w:val="auto"/>
        </w:rPr>
        <w:t>The 2036 Notes will bear interest at 5.150% per annum. Interest on the 2036 Notes will accrue from May 7, 2026 and will be payable by the Company on May 7 and November 7 of each year, beginning on November 7, 2026 to the person in whose name such 2036 Note is registered, subject to certain exceptions as provided in the Indenture, at the close of business on the April 22 and October 23 immediately preceding such interest payment date (whether or not a business day).</w:t>
      </w:r>
    </w:p>
    <w:p>
      <w:pPr>
        <w:spacing w:after="0" w:line="127" w:lineRule="exact"/>
        <w:rPr>
          <w:sz w:val="20"/>
          <w:szCs w:val="20"/>
          <w:color w:val="auto"/>
        </w:rPr>
      </w:pPr>
    </w:p>
    <w:p>
      <w:pPr>
        <w:ind w:left="740"/>
        <w:spacing w:after="0"/>
        <w:rPr>
          <w:sz w:val="20"/>
          <w:szCs w:val="20"/>
          <w:color w:val="auto"/>
        </w:rPr>
      </w:pPr>
      <w:r>
        <w:rPr>
          <w:rFonts w:ascii="Arial" w:cs="Arial" w:eastAsia="Arial" w:hAnsi="Arial"/>
          <w:sz w:val="13"/>
          <w:szCs w:val="13"/>
          <w:color w:val="auto"/>
        </w:rPr>
        <w:t>The 2036 Notes are not subject to any mandatory redemption or any sinking fund provision.</w:t>
      </w:r>
    </w:p>
    <w:p>
      <w:pPr>
        <w:spacing w:after="0" w:line="240"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Guarantees</w:t>
      </w:r>
    </w:p>
    <w:p>
      <w:pPr>
        <w:spacing w:after="0" w:line="83" w:lineRule="exact"/>
        <w:rPr>
          <w:sz w:val="20"/>
          <w:szCs w:val="20"/>
          <w:color w:val="auto"/>
        </w:rPr>
      </w:pPr>
    </w:p>
    <w:p>
      <w:pPr>
        <w:ind w:left="420" w:right="559" w:firstLine="327"/>
        <w:spacing w:after="0" w:line="255" w:lineRule="auto"/>
        <w:rPr>
          <w:sz w:val="20"/>
          <w:szCs w:val="20"/>
          <w:color w:val="auto"/>
        </w:rPr>
      </w:pPr>
      <w:r>
        <w:rPr>
          <w:rFonts w:ascii="Arial" w:cs="Arial" w:eastAsia="Arial" w:hAnsi="Arial"/>
          <w:sz w:val="13"/>
          <w:szCs w:val="13"/>
          <w:color w:val="auto"/>
        </w:rPr>
        <w:t>The Guarantor will fully and unconditionally guarantee the due and punctual payment of the principal of, and any premium and interest on, the Notes, and all other amounts payable under the Indenture when and as they become due and payable, whether at maturity, upon acceleration, by call for redemption, repayment or otherwise in accordance with the terms of the Indenture. The Notes will not be guaranteed by any of the Guarantor’s subsidiaries.</w:t>
      </w:r>
    </w:p>
    <w:p>
      <w:pPr>
        <w:spacing w:after="0" w:line="127" w:lineRule="exact"/>
        <w:rPr>
          <w:sz w:val="20"/>
          <w:szCs w:val="20"/>
          <w:color w:val="auto"/>
        </w:rPr>
      </w:pPr>
    </w:p>
    <w:p>
      <w:pPr>
        <w:ind w:left="740"/>
        <w:spacing w:after="0"/>
        <w:rPr>
          <w:sz w:val="20"/>
          <w:szCs w:val="20"/>
          <w:color w:val="auto"/>
        </w:rPr>
      </w:pPr>
      <w:r>
        <w:rPr>
          <w:rFonts w:ascii="Arial" w:cs="Arial" w:eastAsia="Arial" w:hAnsi="Arial"/>
          <w:sz w:val="13"/>
          <w:szCs w:val="13"/>
          <w:color w:val="auto"/>
        </w:rPr>
        <w:t>The Guarantor will:</w:t>
      </w:r>
    </w:p>
    <w:p>
      <w:pPr>
        <w:spacing w:after="0" w:line="91" w:lineRule="exact"/>
        <w:rPr>
          <w:sz w:val="20"/>
          <w:szCs w:val="20"/>
          <w:color w:val="auto"/>
        </w:rPr>
      </w:pPr>
    </w:p>
    <w:p>
      <w:pPr>
        <w:ind w:left="1140" w:right="719" w:hanging="328"/>
        <w:spacing w:after="0" w:line="262" w:lineRule="auto"/>
        <w:tabs>
          <w:tab w:leader="none" w:pos="1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agree that, if an Event of Default occurs under any of the Notes, its obligations under the Guarantees will be absolute and unconditional and will be enforceable irrespective of any invalidity, irregularity or unenforceability of the Indenture or any supplement thereto; and</w:t>
      </w:r>
    </w:p>
    <w:p>
      <w:pPr>
        <w:spacing w:after="0" w:line="52" w:lineRule="exact"/>
        <w:rPr>
          <w:rFonts w:ascii="Arial" w:cs="Arial" w:eastAsia="Arial" w:hAnsi="Arial"/>
          <w:sz w:val="13"/>
          <w:szCs w:val="13"/>
          <w:color w:val="auto"/>
        </w:rPr>
      </w:pPr>
    </w:p>
    <w:p>
      <w:pPr>
        <w:ind w:left="1140" w:right="559" w:hanging="328"/>
        <w:spacing w:after="0" w:line="282" w:lineRule="auto"/>
        <w:tabs>
          <w:tab w:leader="none" w:pos="1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waive its right to require the Trustee or the holders of any of the Notes to pursue or exhaust their legal or equitable remedies against the Company before exercising their rights under the Guarantees.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Ranking of the Notes and Guarantees</w:t>
      </w:r>
    </w:p>
    <w:p>
      <w:pPr>
        <w:spacing w:after="0" w:line="83" w:lineRule="exact"/>
        <w:rPr>
          <w:sz w:val="20"/>
          <w:szCs w:val="20"/>
          <w:color w:val="auto"/>
        </w:rPr>
      </w:pPr>
    </w:p>
    <w:p>
      <w:pPr>
        <w:ind w:left="740"/>
        <w:spacing w:after="0"/>
        <w:rPr>
          <w:sz w:val="20"/>
          <w:szCs w:val="20"/>
          <w:color w:val="auto"/>
        </w:rPr>
      </w:pPr>
      <w:r>
        <w:rPr>
          <w:rFonts w:ascii="Arial" w:cs="Arial" w:eastAsia="Arial" w:hAnsi="Arial"/>
          <w:sz w:val="13"/>
          <w:szCs w:val="13"/>
          <w:color w:val="auto"/>
        </w:rPr>
        <w:t>The Notes will be:</w:t>
      </w:r>
    </w:p>
    <w:p>
      <w:pPr>
        <w:spacing w:after="0" w:line="91" w:lineRule="exact"/>
        <w:rPr>
          <w:sz w:val="20"/>
          <w:szCs w:val="20"/>
          <w:color w:val="auto"/>
        </w:rPr>
      </w:pPr>
    </w:p>
    <w:p>
      <w:pPr>
        <w:ind w:left="1140" w:right="479" w:hanging="328"/>
        <w:spacing w:after="0" w:line="282" w:lineRule="auto"/>
        <w:tabs>
          <w:tab w:leader="none" w:pos="1140" w:val="left"/>
        </w:tabs>
        <w:numPr>
          <w:ilvl w:val="0"/>
          <w:numId w:val="4"/>
        </w:numPr>
        <w:rPr>
          <w:rFonts w:ascii="Arial" w:cs="Arial" w:eastAsia="Arial" w:hAnsi="Arial"/>
          <w:sz w:val="13"/>
          <w:szCs w:val="13"/>
          <w:color w:val="auto"/>
        </w:rPr>
      </w:pPr>
      <w:r>
        <w:rPr>
          <w:rFonts w:ascii="Arial" w:cs="Arial" w:eastAsia="Arial" w:hAnsi="Arial"/>
          <w:sz w:val="13"/>
          <w:szCs w:val="13"/>
          <w:color w:val="auto"/>
        </w:rPr>
        <w:t>senior unsecured obligations of the Company and will rank equally and ratably with all of the Company’s other unsecured and unsubordinated indebtedness; and</w:t>
      </w:r>
    </w:p>
    <w:p>
      <w:pPr>
        <w:spacing w:after="0" w:line="39" w:lineRule="exact"/>
        <w:rPr>
          <w:rFonts w:ascii="Arial" w:cs="Arial" w:eastAsia="Arial" w:hAnsi="Arial"/>
          <w:sz w:val="13"/>
          <w:szCs w:val="13"/>
          <w:color w:val="auto"/>
        </w:rPr>
      </w:pPr>
    </w:p>
    <w:p>
      <w:pPr>
        <w:ind w:left="1140" w:right="839" w:hanging="328"/>
        <w:spacing w:after="0" w:line="282" w:lineRule="auto"/>
        <w:tabs>
          <w:tab w:leader="none" w:pos="1140" w:val="left"/>
        </w:tabs>
        <w:numPr>
          <w:ilvl w:val="0"/>
          <w:numId w:val="4"/>
        </w:numPr>
        <w:rPr>
          <w:rFonts w:ascii="Arial" w:cs="Arial" w:eastAsia="Arial" w:hAnsi="Arial"/>
          <w:sz w:val="13"/>
          <w:szCs w:val="13"/>
          <w:color w:val="auto"/>
        </w:rPr>
      </w:pPr>
      <w:r>
        <w:rPr>
          <w:rFonts w:ascii="Arial" w:cs="Arial" w:eastAsia="Arial" w:hAnsi="Arial"/>
          <w:sz w:val="13"/>
          <w:szCs w:val="13"/>
          <w:color w:val="auto"/>
        </w:rPr>
        <w:t>guaranteed on a senior unsecured basis by the Guarantor, which Guarantees will rank equally and ratably with all other unsecured and unsubordinated indebtedness of the Guarantor.</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Additional Amounts</w:t>
      </w:r>
    </w:p>
    <w:p>
      <w:pPr>
        <w:spacing w:after="0" w:line="83" w:lineRule="exact"/>
        <w:rPr>
          <w:sz w:val="20"/>
          <w:szCs w:val="20"/>
          <w:color w:val="auto"/>
        </w:rPr>
      </w:pPr>
    </w:p>
    <w:p>
      <w:pPr>
        <w:ind w:left="420" w:right="419" w:firstLine="327"/>
        <w:spacing w:after="0" w:line="251" w:lineRule="auto"/>
        <w:rPr>
          <w:sz w:val="20"/>
          <w:szCs w:val="20"/>
          <w:color w:val="auto"/>
        </w:rPr>
      </w:pPr>
      <w:r>
        <w:rPr>
          <w:rFonts w:ascii="Arial" w:cs="Arial" w:eastAsia="Arial" w:hAnsi="Arial"/>
          <w:sz w:val="13"/>
          <w:szCs w:val="13"/>
          <w:color w:val="auto"/>
        </w:rPr>
        <w:t>All payments made by the Company under or with respect to the Notes, or by the Guarantor with respect to the Guarantees,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S-12</w:t>
      </w:r>
    </w:p>
    <w:p>
      <w:pPr>
        <w:sectPr>
          <w:pgSz w:w="11900" w:h="16838" w:orient="portrait"/>
          <w:cols w:equalWidth="0" w:num="1">
            <w:col w:w="9019"/>
          </w:cols>
          <w:pgMar w:left="1440" w:top="237" w:right="1440" w:bottom="1440" w:gutter="0" w:footer="0" w:header="0"/>
        </w:sectPr>
      </w:pPr>
    </w:p>
    <w:bookmarkStart w:id="17" w:name="page18"/>
    <w:bookmarkEnd w:id="17"/>
    <w:p>
      <w:pPr>
        <w:ind w:left="420" w:right="479"/>
        <w:spacing w:after="0" w:line="24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5980" cy="31750"/>
                    </a:xfrm>
                    <a:prstGeom prst="rect">
                      <a:avLst/>
                    </a:prstGeom>
                    <a:noFill/>
                  </pic:spPr>
                </pic:pic>
              </a:graphicData>
            </a:graphic>
          </wp:anchor>
        </w:drawing>
        <w:t>jurisdiction in which the Company (or a successor), or the Guarantor (or a successor), is then incorporated, organized or resident for tax purposes or any political subdivision thereof or therein or (2) any jurisdiction from or through which payment is made or deemed made by or on behalf of the Company, or the Guarantor (including the jurisdiction of any Paying Agent for the Notes) or any political subdivision thereof or therein (each of clauses (1) and (2), a “Relevant Tax Jurisdiction”) will at any time be required to be made from any payments made or deemed made by or on behalf of the Company under or with respect to the Notes, as applicable, or the Guarantor under or with respect to the Guarantees,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Notes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220" w:lineRule="exact"/>
        <w:rPr>
          <w:sz w:val="20"/>
          <w:szCs w:val="20"/>
          <w:color w:val="auto"/>
        </w:rPr>
      </w:pPr>
    </w:p>
    <w:p>
      <w:pPr>
        <w:ind w:left="1140" w:right="579" w:hanging="409"/>
        <w:spacing w:after="0" w:line="249" w:lineRule="auto"/>
        <w:tabs>
          <w:tab w:leader="none" w:pos="1140" w:val="left"/>
        </w:tabs>
        <w:numPr>
          <w:ilvl w:val="0"/>
          <w:numId w:val="5"/>
        </w:numPr>
        <w:rPr>
          <w:rFonts w:ascii="Arial" w:cs="Arial" w:eastAsia="Arial" w:hAnsi="Arial"/>
          <w:sz w:val="13"/>
          <w:szCs w:val="13"/>
          <w:color w:val="auto"/>
        </w:rPr>
      </w:pPr>
      <w:r>
        <w:rPr>
          <w:rFonts w:ascii="Arial" w:cs="Arial" w:eastAsia="Arial" w:hAnsi="Arial"/>
          <w:sz w:val="13"/>
          <w:szCs w:val="13"/>
          <w:color w:val="auto"/>
        </w:rPr>
        <w:t>any Taxes, to the extent such Taxes would not have been imposed but for the existence of any actual or deemed present or former connection between the holder or the beneficial owner of such Notes or Guarantees, as applicable, and the Relevant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Note, the enforcement of rights under such Note or under the Guarantees or the receipt of any payments in respect of such Note or Guarantees;</w:t>
      </w:r>
    </w:p>
    <w:p>
      <w:pPr>
        <w:spacing w:after="0" w:line="62" w:lineRule="exact"/>
        <w:rPr>
          <w:rFonts w:ascii="Arial" w:cs="Arial" w:eastAsia="Arial" w:hAnsi="Arial"/>
          <w:sz w:val="13"/>
          <w:szCs w:val="13"/>
          <w:color w:val="auto"/>
        </w:rPr>
      </w:pPr>
    </w:p>
    <w:p>
      <w:pPr>
        <w:ind w:left="1140" w:right="499" w:hanging="409"/>
        <w:spacing w:after="0" w:line="255" w:lineRule="auto"/>
        <w:tabs>
          <w:tab w:leader="none" w:pos="1140" w:val="left"/>
        </w:tabs>
        <w:numPr>
          <w:ilvl w:val="0"/>
          <w:numId w:val="5"/>
        </w:numPr>
        <w:rPr>
          <w:rFonts w:ascii="Arial" w:cs="Arial" w:eastAsia="Arial" w:hAnsi="Arial"/>
          <w:sz w:val="13"/>
          <w:szCs w:val="13"/>
          <w:color w:val="auto"/>
        </w:rPr>
      </w:pPr>
      <w:r>
        <w:rPr>
          <w:rFonts w:ascii="Arial" w:cs="Arial" w:eastAsia="Arial" w:hAnsi="Arial"/>
          <w:sz w:val="13"/>
          <w:szCs w:val="13"/>
          <w:color w:val="auto"/>
        </w:rPr>
        <w:t>any Taxes, to the extent such Taxes were imposed as a result of the presentation of such Note for payment (where presentation is required) more than 30 days after the relevant payment is first made available for payment to the holder (except to the extent that the holder would have been entitled to Additional Amounts had the Note been presented on the last day of such 30-day period);</w:t>
      </w:r>
    </w:p>
    <w:p>
      <w:pPr>
        <w:spacing w:after="0" w:line="56" w:lineRule="exact"/>
        <w:rPr>
          <w:rFonts w:ascii="Arial" w:cs="Arial" w:eastAsia="Arial" w:hAnsi="Arial"/>
          <w:sz w:val="13"/>
          <w:szCs w:val="13"/>
          <w:color w:val="auto"/>
        </w:rPr>
      </w:pPr>
    </w:p>
    <w:p>
      <w:pPr>
        <w:ind w:left="1140" w:hanging="409"/>
        <w:spacing w:after="0"/>
        <w:tabs>
          <w:tab w:leader="none" w:pos="1140" w:val="left"/>
        </w:tabs>
        <w:numPr>
          <w:ilvl w:val="0"/>
          <w:numId w:val="5"/>
        </w:numPr>
        <w:rPr>
          <w:rFonts w:ascii="Arial" w:cs="Arial" w:eastAsia="Arial" w:hAnsi="Arial"/>
          <w:sz w:val="13"/>
          <w:szCs w:val="13"/>
          <w:color w:val="auto"/>
        </w:rPr>
      </w:pPr>
      <w:r>
        <w:rPr>
          <w:rFonts w:ascii="Arial" w:cs="Arial" w:eastAsia="Arial" w:hAnsi="Arial"/>
          <w:sz w:val="13"/>
          <w:szCs w:val="13"/>
          <w:color w:val="auto"/>
        </w:rPr>
        <w:t>any estate, inheritance, gift, sales, transfer, personal property or similar Taxes;</w:t>
      </w:r>
    </w:p>
    <w:p>
      <w:pPr>
        <w:spacing w:after="0" w:line="91" w:lineRule="exact"/>
        <w:rPr>
          <w:rFonts w:ascii="Arial" w:cs="Arial" w:eastAsia="Arial" w:hAnsi="Arial"/>
          <w:sz w:val="13"/>
          <w:szCs w:val="13"/>
          <w:color w:val="auto"/>
        </w:rPr>
      </w:pPr>
    </w:p>
    <w:p>
      <w:pPr>
        <w:ind w:left="1140" w:right="699" w:hanging="409"/>
        <w:spacing w:after="0" w:line="255" w:lineRule="auto"/>
        <w:tabs>
          <w:tab w:leader="none" w:pos="1140" w:val="left"/>
        </w:tabs>
        <w:numPr>
          <w:ilvl w:val="0"/>
          <w:numId w:val="5"/>
        </w:numPr>
        <w:rPr>
          <w:rFonts w:ascii="Arial" w:cs="Arial" w:eastAsia="Arial" w:hAnsi="Arial"/>
          <w:sz w:val="13"/>
          <w:szCs w:val="13"/>
          <w:color w:val="auto"/>
        </w:rPr>
      </w:pPr>
      <w:r>
        <w:rPr>
          <w:rFonts w:ascii="Arial" w:cs="Arial" w:eastAsia="Arial" w:hAnsi="Arial"/>
          <w:sz w:val="13"/>
          <w:szCs w:val="13"/>
          <w:color w:val="auto"/>
        </w:rPr>
        <w:t>any Tax imposed on or with respect to any payment by the Company or the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Note;</w:t>
      </w:r>
    </w:p>
    <w:p>
      <w:pPr>
        <w:spacing w:after="0" w:line="56" w:lineRule="exact"/>
        <w:rPr>
          <w:rFonts w:ascii="Arial" w:cs="Arial" w:eastAsia="Arial" w:hAnsi="Arial"/>
          <w:sz w:val="13"/>
          <w:szCs w:val="13"/>
          <w:color w:val="auto"/>
        </w:rPr>
      </w:pPr>
    </w:p>
    <w:p>
      <w:pPr>
        <w:ind w:left="1140" w:right="599" w:hanging="409"/>
        <w:spacing w:after="0" w:line="282" w:lineRule="auto"/>
        <w:tabs>
          <w:tab w:leader="none" w:pos="1140" w:val="left"/>
        </w:tabs>
        <w:numPr>
          <w:ilvl w:val="0"/>
          <w:numId w:val="5"/>
        </w:numPr>
        <w:rPr>
          <w:rFonts w:ascii="Arial" w:cs="Arial" w:eastAsia="Arial" w:hAnsi="Arial"/>
          <w:sz w:val="13"/>
          <w:szCs w:val="13"/>
          <w:color w:val="auto"/>
        </w:rPr>
      </w:pPr>
      <w:r>
        <w:rPr>
          <w:rFonts w:ascii="Arial" w:cs="Arial" w:eastAsia="Arial" w:hAnsi="Arial"/>
          <w:sz w:val="13"/>
          <w:szCs w:val="13"/>
          <w:color w:val="auto"/>
        </w:rPr>
        <w:t>any Taxes withheld, deducted or imposed pursuant to the Luxembourg law of 23 December 2005, as amended from time to time;</w:t>
      </w:r>
    </w:p>
    <w:p>
      <w:pPr>
        <w:spacing w:after="0" w:line="39" w:lineRule="exact"/>
        <w:rPr>
          <w:rFonts w:ascii="Arial" w:cs="Arial" w:eastAsia="Arial" w:hAnsi="Arial"/>
          <w:sz w:val="13"/>
          <w:szCs w:val="13"/>
          <w:color w:val="auto"/>
        </w:rPr>
      </w:pPr>
    </w:p>
    <w:p>
      <w:pPr>
        <w:ind w:left="1140" w:right="819" w:hanging="409"/>
        <w:spacing w:after="0" w:line="282" w:lineRule="auto"/>
        <w:tabs>
          <w:tab w:leader="none" w:pos="1140" w:val="left"/>
        </w:tabs>
        <w:numPr>
          <w:ilvl w:val="0"/>
          <w:numId w:val="5"/>
        </w:numPr>
        <w:rPr>
          <w:rFonts w:ascii="Arial" w:cs="Arial" w:eastAsia="Arial" w:hAnsi="Arial"/>
          <w:sz w:val="13"/>
          <w:szCs w:val="13"/>
          <w:color w:val="auto"/>
        </w:rPr>
      </w:pPr>
      <w:r>
        <w:rPr>
          <w:rFonts w:ascii="Arial" w:cs="Arial" w:eastAsia="Arial" w:hAnsi="Arial"/>
          <w:sz w:val="13"/>
          <w:szCs w:val="13"/>
          <w:color w:val="auto"/>
        </w:rPr>
        <w:t>Taxes imposed on or with respect to a payment made to a holder of such Note who would have been able to avoid such withholding or deduction by presenting such Note (where presentation is required) to another paying agent;</w:t>
      </w:r>
    </w:p>
    <w:p>
      <w:pPr>
        <w:spacing w:after="0" w:line="39" w:lineRule="exact"/>
        <w:rPr>
          <w:rFonts w:ascii="Arial" w:cs="Arial" w:eastAsia="Arial" w:hAnsi="Arial"/>
          <w:sz w:val="13"/>
          <w:szCs w:val="13"/>
          <w:color w:val="auto"/>
        </w:rPr>
      </w:pPr>
    </w:p>
    <w:p>
      <w:pPr>
        <w:ind w:left="1140" w:right="979" w:hanging="409"/>
        <w:spacing w:after="0" w:line="282" w:lineRule="auto"/>
        <w:tabs>
          <w:tab w:leader="none" w:pos="1140" w:val="left"/>
        </w:tabs>
        <w:numPr>
          <w:ilvl w:val="0"/>
          <w:numId w:val="5"/>
        </w:numPr>
        <w:rPr>
          <w:rFonts w:ascii="Arial" w:cs="Arial" w:eastAsia="Arial" w:hAnsi="Arial"/>
          <w:sz w:val="13"/>
          <w:szCs w:val="13"/>
          <w:color w:val="auto"/>
        </w:rPr>
      </w:pPr>
      <w:r>
        <w:rPr>
          <w:rFonts w:ascii="Arial" w:cs="Arial" w:eastAsia="Arial" w:hAnsi="Arial"/>
          <w:sz w:val="13"/>
          <w:szCs w:val="13"/>
          <w:color w:val="auto"/>
        </w:rPr>
        <w:t>any Taxes payable other than by deduction or withholding from payments under, or with respect to, such Notes or the Guarantees;</w:t>
      </w:r>
    </w:p>
    <w:p>
      <w:pPr>
        <w:spacing w:after="0" w:line="39" w:lineRule="exact"/>
        <w:rPr>
          <w:rFonts w:ascii="Arial" w:cs="Arial" w:eastAsia="Arial" w:hAnsi="Arial"/>
          <w:sz w:val="13"/>
          <w:szCs w:val="13"/>
          <w:color w:val="auto"/>
        </w:rPr>
      </w:pPr>
    </w:p>
    <w:p>
      <w:pPr>
        <w:ind w:left="1140" w:right="459" w:hanging="409"/>
        <w:spacing w:after="0" w:line="248" w:lineRule="auto"/>
        <w:tabs>
          <w:tab w:leader="none" w:pos="1140" w:val="left"/>
        </w:tabs>
        <w:numPr>
          <w:ilvl w:val="0"/>
          <w:numId w:val="5"/>
        </w:numPr>
        <w:rPr>
          <w:rFonts w:ascii="Arial" w:cs="Arial" w:eastAsia="Arial" w:hAnsi="Arial"/>
          <w:sz w:val="13"/>
          <w:szCs w:val="13"/>
          <w:color w:val="auto"/>
        </w:rPr>
      </w:pPr>
      <w:r>
        <w:rPr>
          <w:rFonts w:ascii="Arial" w:cs="Arial" w:eastAsia="Arial" w:hAnsi="Arial"/>
          <w:sz w:val="13"/>
          <w:szCs w:val="13"/>
          <w:color w:val="auto"/>
        </w:rPr>
        <w:t>any Taxes to the extent such Taxes are imposed or withheld by reason of the failure of the holder or beneficial owner of such Note to comply with any written request of the Company or the Guarantor to satisfy any certification, identification, information or other reporting requirements, whether required by statute, treaty, regulation or administrative practice of the Relevant Tax Jurisdiction, as a precondition to exemption from, or reduction in the rate of deduction or withholding of, Taxes imposed by the Relevant Tax Jurisdiction (including, without limitation, a certification that the holder or beneficial owner is not resident in such Relevant Tax Jurisdiction), but in each case, only to the extent the holder or beneficial owner is legally entitled to provide such certification or documentation;</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S-13</w:t>
      </w:r>
    </w:p>
    <w:p>
      <w:pPr>
        <w:sectPr>
          <w:pgSz w:w="11900" w:h="16838" w:orient="portrait"/>
          <w:cols w:equalWidth="0" w:num="1">
            <w:col w:w="9019"/>
          </w:cols>
          <w:pgMar w:left="1440" w:top="237" w:right="1440" w:bottom="1440" w:gutter="0" w:footer="0" w:header="0"/>
        </w:sectPr>
      </w:pPr>
    </w:p>
    <w:bookmarkStart w:id="18" w:name="page19"/>
    <w:bookmarkEnd w:id="18"/>
    <w:p>
      <w:pPr>
        <w:ind w:left="1140" w:right="699" w:hanging="409"/>
        <w:spacing w:after="0" w:line="251" w:lineRule="auto"/>
        <w:tabs>
          <w:tab w:leader="none" w:pos="1140" w:val="left"/>
        </w:tabs>
        <w:numPr>
          <w:ilvl w:val="0"/>
          <w:numId w:val="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5980" cy="31750"/>
                    </a:xfrm>
                    <a:prstGeom prst="rect">
                      <a:avLst/>
                    </a:prstGeom>
                    <a:noFill/>
                  </pic:spPr>
                </pic:pic>
              </a:graphicData>
            </a:graphic>
          </wp:anchor>
        </w:drawing>
        <w:t>any Taxes imposed, deducted or withheld pursuant to section 1471(b) of the U.S. Internal Revenue Code of 1986, as amended (the “Code”), or otherwise imposed pursuant to sections 1471 through 1474 of the Code, in each case, as of the date of the original issuance of the Notes (the “Issue Date”) (and any amended or successor version that is substantively comparable), any current or future regulations or agreements thereunder, official interpretations thereof or any law implementing an intergovernmental agreement relating thereto; or</w:t>
      </w:r>
    </w:p>
    <w:p>
      <w:pPr>
        <w:spacing w:after="0" w:line="61" w:lineRule="exact"/>
        <w:rPr>
          <w:rFonts w:ascii="Arial" w:cs="Arial" w:eastAsia="Arial" w:hAnsi="Arial"/>
          <w:sz w:val="13"/>
          <w:szCs w:val="13"/>
          <w:color w:val="auto"/>
        </w:rPr>
      </w:pPr>
    </w:p>
    <w:p>
      <w:pPr>
        <w:ind w:left="1140" w:hanging="409"/>
        <w:spacing w:after="0"/>
        <w:tabs>
          <w:tab w:leader="none" w:pos="1140" w:val="left"/>
        </w:tabs>
        <w:numPr>
          <w:ilvl w:val="0"/>
          <w:numId w:val="6"/>
        </w:numPr>
        <w:rPr>
          <w:rFonts w:ascii="Arial" w:cs="Arial" w:eastAsia="Arial" w:hAnsi="Arial"/>
          <w:sz w:val="13"/>
          <w:szCs w:val="13"/>
          <w:color w:val="auto"/>
        </w:rPr>
      </w:pPr>
      <w:r>
        <w:rPr>
          <w:rFonts w:ascii="Arial" w:cs="Arial" w:eastAsia="Arial" w:hAnsi="Arial"/>
          <w:sz w:val="13"/>
          <w:szCs w:val="13"/>
          <w:color w:val="auto"/>
        </w:rPr>
        <w:t>any combination of items (1) through (9) above.</w:t>
      </w:r>
    </w:p>
    <w:p>
      <w:pPr>
        <w:spacing w:after="0" w:line="162" w:lineRule="exact"/>
        <w:rPr>
          <w:sz w:val="20"/>
          <w:szCs w:val="20"/>
          <w:color w:val="auto"/>
        </w:rPr>
      </w:pPr>
    </w:p>
    <w:p>
      <w:pPr>
        <w:ind w:left="420" w:right="479" w:firstLine="327"/>
        <w:spacing w:after="0" w:line="248" w:lineRule="auto"/>
        <w:rPr>
          <w:sz w:val="20"/>
          <w:szCs w:val="20"/>
          <w:color w:val="auto"/>
        </w:rPr>
      </w:pPr>
      <w:r>
        <w:rPr>
          <w:rFonts w:ascii="Arial" w:cs="Arial" w:eastAsia="Arial" w:hAnsi="Arial"/>
          <w:sz w:val="13"/>
          <w:szCs w:val="13"/>
          <w:color w:val="auto"/>
        </w:rPr>
        <w:t>In addition to the foregoing, the Company and the Guarantor, as the case may be, will also pay and indemnify the beneficial owner for any present or future stamp, issue, registration, court or documentary Taxes, or any other excise or property Taxes, charges or similar levies (including penalties, interest and any other reasonable expenses related thereto) which are levied by a Relevant Tax Jurisdiction on the execution, delivery, issuance, or registration of the Notes, or the Indenture, Guarantees or any other document or instrument referred to therein, except in the case of Luxembourg, any registration duties (</w:t>
      </w:r>
      <w:r>
        <w:rPr>
          <w:rFonts w:ascii="Arial" w:cs="Arial" w:eastAsia="Arial" w:hAnsi="Arial"/>
          <w:sz w:val="13"/>
          <w:szCs w:val="13"/>
          <w:i w:val="1"/>
          <w:iCs w:val="1"/>
          <w:color w:val="auto"/>
        </w:rPr>
        <w:t>droits d’enregistrement</w:t>
      </w:r>
      <w:r>
        <w:rPr>
          <w:rFonts w:ascii="Arial" w:cs="Arial" w:eastAsia="Arial" w:hAnsi="Arial"/>
          <w:sz w:val="13"/>
          <w:szCs w:val="13"/>
          <w:color w:val="auto"/>
        </w:rPr>
        <w:t>) that would become payable upon a voluntary registration made by any party in Luxembourg of the Notes, the Indenture, Guarantees or any other document or instrument referred to therein.</w:t>
      </w:r>
    </w:p>
    <w:p>
      <w:pPr>
        <w:spacing w:after="0" w:line="133" w:lineRule="exact"/>
        <w:rPr>
          <w:sz w:val="20"/>
          <w:szCs w:val="20"/>
          <w:color w:val="auto"/>
        </w:rPr>
      </w:pPr>
    </w:p>
    <w:p>
      <w:pPr>
        <w:ind w:left="420" w:right="459" w:firstLine="327"/>
        <w:spacing w:after="0" w:line="247" w:lineRule="auto"/>
        <w:rPr>
          <w:sz w:val="20"/>
          <w:szCs w:val="20"/>
          <w:color w:val="auto"/>
        </w:rPr>
      </w:pPr>
      <w:r>
        <w:rPr>
          <w:rFonts w:ascii="Arial" w:cs="Arial" w:eastAsia="Arial" w:hAnsi="Arial"/>
          <w:sz w:val="13"/>
          <w:szCs w:val="13"/>
          <w:color w:val="auto"/>
        </w:rPr>
        <w:t>If the Company or the Guarantor, as the case may be, becomes aware that it will be obligated to pay Additional Amounts with respect to any payment under or with respect to the Notes or the Guarantees, the Company or the Guarantor, as the case may be, will deliver to the Trustee on a date that is at least 30 days prior to the date of that payment (unless the obligation to pay Additional Amounts arises fewer than 45 days prior to that payment date, in which case the Company or the Guarantor will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w:t>
      </w:r>
    </w:p>
    <w:p>
      <w:pPr>
        <w:spacing w:after="0" w:line="134" w:lineRule="exact"/>
        <w:rPr>
          <w:sz w:val="20"/>
          <w:szCs w:val="20"/>
          <w:color w:val="auto"/>
        </w:rPr>
      </w:pPr>
    </w:p>
    <w:p>
      <w:pPr>
        <w:ind w:left="420" w:right="579" w:firstLine="327"/>
        <w:spacing w:after="0" w:line="247" w:lineRule="auto"/>
        <w:rPr>
          <w:sz w:val="20"/>
          <w:szCs w:val="20"/>
          <w:color w:val="auto"/>
        </w:rPr>
      </w:pPr>
      <w:r>
        <w:rPr>
          <w:rFonts w:ascii="Arial" w:cs="Arial" w:eastAsia="Arial" w:hAnsi="Arial"/>
          <w:sz w:val="13"/>
          <w:szCs w:val="13"/>
          <w:color w:val="auto"/>
        </w:rPr>
        <w:t>The Company or the Guarantor, as the case may be, will make all withholdings and deductions required by law in respect of the Notes or the Guarantees, as applicable,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 Upon reasonable written request, the Company or the Guarantor will furnish to the Trustee (or to a holder or beneficial owner of the relevant series of Notes upon written request), within a reasonable time after the date the payment of any Taxes so deducted or withheld is made, certified copies of Tax receipts evidencing payment by the Company or the Guarantor, as the case may be, or if, notwithstanding such entity’s efforts to obtain receipts, receipts are not obtained, other evidence of payments (reasonably satisfactory to the Trustee) by such entity.</w:t>
      </w:r>
    </w:p>
    <w:p>
      <w:pPr>
        <w:spacing w:after="0" w:line="134" w:lineRule="exact"/>
        <w:rPr>
          <w:sz w:val="20"/>
          <w:szCs w:val="20"/>
          <w:color w:val="auto"/>
        </w:rPr>
      </w:pPr>
    </w:p>
    <w:p>
      <w:pPr>
        <w:ind w:left="420" w:right="559" w:firstLine="327"/>
        <w:spacing w:after="0" w:line="255" w:lineRule="auto"/>
        <w:rPr>
          <w:sz w:val="20"/>
          <w:szCs w:val="20"/>
          <w:color w:val="auto"/>
        </w:rPr>
      </w:pPr>
      <w:r>
        <w:rPr>
          <w:rFonts w:ascii="Arial" w:cs="Arial" w:eastAsia="Arial" w:hAnsi="Arial"/>
          <w:sz w:val="13"/>
          <w:szCs w:val="13"/>
          <w:color w:val="auto"/>
        </w:rPr>
        <w:t>Whenever in the Indenture or in this “Description of the Notes” there is mentioned, in any context, the payment of amounts based upon the principal amount of the Notes or of principal, interest or of any other amount payable under, or with respect to, any of the Notes of a series or the applicable Guarantee, such mention will be deemed to include mention of the payment of Additional Amounts to the extent that, in such context, Additional Amounts are, were or would be payable in respect thereof.</w:t>
      </w:r>
    </w:p>
    <w:p>
      <w:pPr>
        <w:spacing w:after="0" w:line="127" w:lineRule="exact"/>
        <w:rPr>
          <w:sz w:val="20"/>
          <w:szCs w:val="20"/>
          <w:color w:val="auto"/>
        </w:rPr>
      </w:pPr>
    </w:p>
    <w:p>
      <w:pPr>
        <w:ind w:left="420" w:right="659" w:firstLine="327"/>
        <w:spacing w:after="0" w:line="282" w:lineRule="auto"/>
        <w:rPr>
          <w:sz w:val="20"/>
          <w:szCs w:val="20"/>
          <w:color w:val="auto"/>
        </w:rPr>
      </w:pPr>
      <w:r>
        <w:rPr>
          <w:rFonts w:ascii="Arial" w:cs="Arial" w:eastAsia="Arial" w:hAnsi="Arial"/>
          <w:sz w:val="13"/>
          <w:szCs w:val="13"/>
          <w:color w:val="auto"/>
        </w:rPr>
        <w:t xml:space="preserve">The above obligations will survive any termination, defeasance or discharge of the Indenture, any transfer of Notes by a holder or beneficial owner, and will apply, </w:t>
      </w:r>
      <w:r>
        <w:rPr>
          <w:rFonts w:ascii="Arial" w:cs="Arial" w:eastAsia="Arial" w:hAnsi="Arial"/>
          <w:sz w:val="13"/>
          <w:szCs w:val="13"/>
          <w:i w:val="1"/>
          <w:iCs w:val="1"/>
          <w:color w:val="auto"/>
        </w:rPr>
        <w:t>mutatis mutandis</w:t>
      </w:r>
      <w:r>
        <w:rPr>
          <w:rFonts w:ascii="Arial" w:cs="Arial" w:eastAsia="Arial" w:hAnsi="Arial"/>
          <w:sz w:val="13"/>
          <w:szCs w:val="13"/>
          <w:color w:val="auto"/>
        </w:rPr>
        <w:t>, to any jurisdiction in</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S-14</w:t>
      </w:r>
    </w:p>
    <w:p>
      <w:pPr>
        <w:sectPr>
          <w:pgSz w:w="11900" w:h="16838" w:orient="portrait"/>
          <w:cols w:equalWidth="0" w:num="1">
            <w:col w:w="9019"/>
          </w:cols>
          <w:pgMar w:left="1440" w:top="237" w:right="1440" w:bottom="1440" w:gutter="0" w:footer="0" w:header="0"/>
        </w:sectPr>
      </w:pPr>
    </w:p>
    <w:bookmarkStart w:id="19" w:name="page20"/>
    <w:bookmarkEnd w:id="19"/>
    <w:p>
      <w:pPr>
        <w:ind w:left="420" w:right="579"/>
        <w:spacing w:after="0" w:line="26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5980" cy="31750"/>
                    </a:xfrm>
                    <a:prstGeom prst="rect">
                      <a:avLst/>
                    </a:prstGeom>
                    <a:noFill/>
                  </pic:spPr>
                </pic:pic>
              </a:graphicData>
            </a:graphic>
          </wp:anchor>
        </w:drawing>
        <w:t>which any successor person to the Company or the Guarantor is incorporated, organized or resident for Tax purposes or any jurisdiction from or through which payment is made by or on behalf of such person on the Notes (or the Guarantees) and any political subdivision thereof or therein.</w:t>
      </w:r>
    </w:p>
    <w:p>
      <w:pPr>
        <w:spacing w:after="0" w:line="122" w:lineRule="exact"/>
        <w:rPr>
          <w:sz w:val="20"/>
          <w:szCs w:val="20"/>
          <w:color w:val="auto"/>
        </w:rPr>
      </w:pPr>
    </w:p>
    <w:p>
      <w:pPr>
        <w:jc w:val="both"/>
        <w:ind w:left="420" w:right="839" w:firstLine="327"/>
        <w:spacing w:after="0" w:line="262" w:lineRule="auto"/>
        <w:rPr>
          <w:sz w:val="20"/>
          <w:szCs w:val="20"/>
          <w:color w:val="auto"/>
        </w:rPr>
      </w:pPr>
      <w:r>
        <w:rPr>
          <w:rFonts w:ascii="Arial" w:cs="Arial" w:eastAsia="Arial" w:hAnsi="Arial"/>
          <w:sz w:val="13"/>
          <w:szCs w:val="13"/>
          <w:color w:val="auto"/>
        </w:rPr>
        <w:t>Notwithstanding any provision herein or in the Indenture, the Notes or the Guarantees to the contrary, none of the Trustee, the Registrar, any transfer agent or any Paying Agent will be required to determine the identity of a beneficial owner or be liable for any determination thereof by the Company or the Guarantor.</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Optional Redemption</w:t>
      </w:r>
    </w:p>
    <w:p>
      <w:pPr>
        <w:spacing w:after="0" w:line="83" w:lineRule="exact"/>
        <w:rPr>
          <w:sz w:val="20"/>
          <w:szCs w:val="20"/>
          <w:color w:val="auto"/>
        </w:rPr>
      </w:pPr>
    </w:p>
    <w:p>
      <w:pPr>
        <w:ind w:left="420" w:right="439" w:firstLine="327"/>
        <w:spacing w:after="0" w:line="255" w:lineRule="auto"/>
        <w:rPr>
          <w:sz w:val="20"/>
          <w:szCs w:val="20"/>
          <w:color w:val="auto"/>
        </w:rPr>
      </w:pPr>
      <w:r>
        <w:rPr>
          <w:rFonts w:ascii="Arial" w:cs="Arial" w:eastAsia="Arial" w:hAnsi="Arial"/>
          <w:sz w:val="13"/>
          <w:szCs w:val="13"/>
          <w:color w:val="auto"/>
        </w:rPr>
        <w:t>At any time prior to the 2031 Par Call Date, in the case of the 2031 Notes, the 2033 Par Call Date, in the case of the 2033 Notes, and the 2036 Par Call Date, in the case of the 2036 Notes, we may, at our option, redeem the Notes of the applicable series, in whole or in part, at any time and from time to time, at a redemption price (expressed as a percentage of principal amount and rounded to three decimal places) equal to the greater of:</w:t>
      </w:r>
    </w:p>
    <w:p>
      <w:pPr>
        <w:spacing w:after="0" w:line="57" w:lineRule="exact"/>
        <w:rPr>
          <w:sz w:val="20"/>
          <w:szCs w:val="20"/>
          <w:color w:val="auto"/>
        </w:rPr>
      </w:pPr>
    </w:p>
    <w:p>
      <w:pPr>
        <w:ind w:left="1140" w:right="619" w:hanging="409"/>
        <w:spacing w:after="0" w:line="245" w:lineRule="auto"/>
        <w:tabs>
          <w:tab w:leader="none" w:pos="1140" w:val="left"/>
        </w:tabs>
        <w:numPr>
          <w:ilvl w:val="0"/>
          <w:numId w:val="7"/>
        </w:numPr>
        <w:rPr>
          <w:rFonts w:ascii="Arial" w:cs="Arial" w:eastAsia="Arial" w:hAnsi="Arial"/>
          <w:sz w:val="13"/>
          <w:szCs w:val="13"/>
          <w:color w:val="auto"/>
        </w:rPr>
      </w:pPr>
      <w:r>
        <w:rPr>
          <w:rFonts w:ascii="Arial" w:cs="Arial" w:eastAsia="Arial" w:hAnsi="Arial"/>
          <w:sz w:val="13"/>
          <w:szCs w:val="13"/>
          <w:color w:val="auto"/>
        </w:rPr>
        <w:t>(a) the sum of the present values of the remaining scheduled payments of principal and interest thereon discounted to the redemption date (assuming the Notes matured on the 2031 Par Call Date, in the case of the 2031 Notes, the 2033 Par Call Date, in the case of the 2033 Notes, and the 2036 Par Call Date, in the case of the 2036 Notes) on a semi-annual basis (assuming a 360-day year consisting of twelve 30-day months) at the Treasury Rate plus 10 basis points, in the case of the 2031 Notes, 10 basis points, in the case of the 2033 Notes, and 15 basis points, in the case of the 2036 Notes, less</w:t>
      </w:r>
    </w:p>
    <w:p>
      <w:pPr>
        <w:spacing w:after="0" w:line="1" w:lineRule="exact"/>
        <w:rPr>
          <w:rFonts w:ascii="Arial" w:cs="Arial" w:eastAsia="Arial" w:hAnsi="Arial"/>
          <w:sz w:val="13"/>
          <w:szCs w:val="13"/>
          <w:color w:val="auto"/>
        </w:rPr>
      </w:pPr>
    </w:p>
    <w:p>
      <w:pPr>
        <w:ind w:left="1140"/>
        <w:spacing w:after="0"/>
        <w:rPr>
          <w:rFonts w:ascii="Arial" w:cs="Arial" w:eastAsia="Arial" w:hAnsi="Arial"/>
          <w:sz w:val="13"/>
          <w:szCs w:val="13"/>
          <w:color w:val="auto"/>
        </w:rPr>
      </w:pPr>
      <w:r>
        <w:rPr>
          <w:rFonts w:ascii="Arial" w:cs="Arial" w:eastAsia="Arial" w:hAnsi="Arial"/>
          <w:sz w:val="13"/>
          <w:szCs w:val="13"/>
          <w:color w:val="auto"/>
        </w:rPr>
        <w:t>(b) interest accrued to the date of redemption, and</w:t>
      </w:r>
    </w:p>
    <w:p>
      <w:pPr>
        <w:spacing w:after="0" w:line="79" w:lineRule="exact"/>
        <w:rPr>
          <w:rFonts w:ascii="Arial" w:cs="Arial" w:eastAsia="Arial" w:hAnsi="Arial"/>
          <w:sz w:val="13"/>
          <w:szCs w:val="13"/>
          <w:color w:val="auto"/>
        </w:rPr>
      </w:pPr>
    </w:p>
    <w:p>
      <w:pPr>
        <w:ind w:left="1140" w:hanging="409"/>
        <w:spacing w:after="0"/>
        <w:tabs>
          <w:tab w:leader="none" w:pos="1140" w:val="left"/>
        </w:tabs>
        <w:numPr>
          <w:ilvl w:val="0"/>
          <w:numId w:val="7"/>
        </w:numPr>
        <w:rPr>
          <w:rFonts w:ascii="Arial" w:cs="Arial" w:eastAsia="Arial" w:hAnsi="Arial"/>
          <w:sz w:val="13"/>
          <w:szCs w:val="13"/>
          <w:color w:val="auto"/>
        </w:rPr>
      </w:pPr>
      <w:r>
        <w:rPr>
          <w:rFonts w:ascii="Arial" w:cs="Arial" w:eastAsia="Arial" w:hAnsi="Arial"/>
          <w:sz w:val="13"/>
          <w:szCs w:val="13"/>
          <w:color w:val="auto"/>
        </w:rPr>
        <w:t>100% of the principal amount of the Notes to be redeemed,</w:t>
      </w:r>
    </w:p>
    <w:p>
      <w:pPr>
        <w:spacing w:after="0" w:line="162" w:lineRule="exact"/>
        <w:rPr>
          <w:sz w:val="20"/>
          <w:szCs w:val="20"/>
          <w:color w:val="auto"/>
        </w:rPr>
      </w:pPr>
    </w:p>
    <w:p>
      <w:pPr>
        <w:ind w:left="740"/>
        <w:spacing w:after="0"/>
        <w:rPr>
          <w:sz w:val="20"/>
          <w:szCs w:val="20"/>
          <w:color w:val="auto"/>
        </w:rPr>
      </w:pPr>
      <w:r>
        <w:rPr>
          <w:rFonts w:ascii="Arial" w:cs="Arial" w:eastAsia="Arial" w:hAnsi="Arial"/>
          <w:sz w:val="13"/>
          <w:szCs w:val="13"/>
          <w:i w:val="1"/>
          <w:iCs w:val="1"/>
          <w:color w:val="auto"/>
        </w:rPr>
        <w:t>plus</w:t>
      </w:r>
      <w:r>
        <w:rPr>
          <w:rFonts w:ascii="Arial" w:cs="Arial" w:eastAsia="Arial" w:hAnsi="Arial"/>
          <w:sz w:val="13"/>
          <w:szCs w:val="13"/>
          <w:color w:val="auto"/>
        </w:rPr>
        <w:t>, in either case, accrued and unpaid interest thereon, if any, to, but not including, the applicable redemption date.</w:t>
      </w:r>
    </w:p>
    <w:p>
      <w:pPr>
        <w:spacing w:after="0" w:line="162" w:lineRule="exact"/>
        <w:rPr>
          <w:sz w:val="20"/>
          <w:szCs w:val="20"/>
          <w:color w:val="auto"/>
        </w:rPr>
      </w:pPr>
    </w:p>
    <w:p>
      <w:pPr>
        <w:ind w:left="420" w:right="439" w:firstLine="327"/>
        <w:spacing w:after="0" w:line="255" w:lineRule="auto"/>
        <w:rPr>
          <w:sz w:val="20"/>
          <w:szCs w:val="20"/>
          <w:color w:val="auto"/>
        </w:rPr>
      </w:pPr>
      <w:r>
        <w:rPr>
          <w:rFonts w:ascii="Arial" w:cs="Arial" w:eastAsia="Arial" w:hAnsi="Arial"/>
          <w:sz w:val="13"/>
          <w:szCs w:val="13"/>
          <w:color w:val="auto"/>
        </w:rPr>
        <w:t>At any time on or after the 2031 Par Call Date, in the case of the 2031 Notes, the 2033 Par Call Date, in the case of the 2033 Notes, and the 2036 Par Call Date, in the case of the 2036 Notes, we may, at our option, redeem the Notes of the applicable series, in whole or in part, at any time and from time to time, at a redemption price equal to 100% of the principal amount of such series of Notes to be redeemed plus accrued and unpaid interest thereon, if any, to, but not including, the applicable redemption date.</w:t>
      </w:r>
    </w:p>
    <w:p>
      <w:pPr>
        <w:spacing w:after="0" w:line="127" w:lineRule="exact"/>
        <w:rPr>
          <w:sz w:val="20"/>
          <w:szCs w:val="20"/>
          <w:color w:val="auto"/>
        </w:rPr>
      </w:pPr>
    </w:p>
    <w:p>
      <w:pPr>
        <w:ind w:left="740"/>
        <w:spacing w:after="0"/>
        <w:rPr>
          <w:sz w:val="20"/>
          <w:szCs w:val="20"/>
          <w:color w:val="auto"/>
        </w:rPr>
      </w:pPr>
      <w:r>
        <w:rPr>
          <w:rFonts w:ascii="Arial" w:cs="Arial" w:eastAsia="Arial" w:hAnsi="Arial"/>
          <w:sz w:val="13"/>
          <w:szCs w:val="13"/>
          <w:color w:val="auto"/>
        </w:rPr>
        <w:t>“2031 Par Call Date” means April 7, 2031.</w:t>
      </w:r>
    </w:p>
    <w:p>
      <w:pPr>
        <w:spacing w:after="0" w:line="162" w:lineRule="exact"/>
        <w:rPr>
          <w:sz w:val="20"/>
          <w:szCs w:val="20"/>
          <w:color w:val="auto"/>
        </w:rPr>
      </w:pPr>
    </w:p>
    <w:p>
      <w:pPr>
        <w:ind w:left="740"/>
        <w:spacing w:after="0"/>
        <w:rPr>
          <w:sz w:val="20"/>
          <w:szCs w:val="20"/>
          <w:color w:val="auto"/>
        </w:rPr>
      </w:pPr>
      <w:r>
        <w:rPr>
          <w:rFonts w:ascii="Arial" w:cs="Arial" w:eastAsia="Arial" w:hAnsi="Arial"/>
          <w:sz w:val="13"/>
          <w:szCs w:val="13"/>
          <w:color w:val="auto"/>
        </w:rPr>
        <w:t>“2033 Par Call Date” means March 7, 2033.</w:t>
      </w:r>
    </w:p>
    <w:p>
      <w:pPr>
        <w:spacing w:after="0" w:line="162" w:lineRule="exact"/>
        <w:rPr>
          <w:sz w:val="20"/>
          <w:szCs w:val="20"/>
          <w:color w:val="auto"/>
        </w:rPr>
      </w:pPr>
    </w:p>
    <w:p>
      <w:pPr>
        <w:ind w:left="740"/>
        <w:spacing w:after="0"/>
        <w:rPr>
          <w:sz w:val="20"/>
          <w:szCs w:val="20"/>
          <w:color w:val="auto"/>
        </w:rPr>
      </w:pPr>
      <w:r>
        <w:rPr>
          <w:rFonts w:ascii="Arial" w:cs="Arial" w:eastAsia="Arial" w:hAnsi="Arial"/>
          <w:sz w:val="13"/>
          <w:szCs w:val="13"/>
          <w:color w:val="auto"/>
        </w:rPr>
        <w:t>“2036 Par Call Date” means February 7, 2036.</w:t>
      </w:r>
    </w:p>
    <w:p>
      <w:pPr>
        <w:spacing w:after="0" w:line="162" w:lineRule="exact"/>
        <w:rPr>
          <w:sz w:val="20"/>
          <w:szCs w:val="20"/>
          <w:color w:val="auto"/>
        </w:rPr>
      </w:pPr>
    </w:p>
    <w:p>
      <w:pPr>
        <w:ind w:left="420" w:right="499" w:firstLine="327"/>
        <w:spacing w:after="0" w:line="282" w:lineRule="auto"/>
        <w:rPr>
          <w:sz w:val="20"/>
          <w:szCs w:val="20"/>
          <w:color w:val="auto"/>
        </w:rPr>
      </w:pPr>
      <w:r>
        <w:rPr>
          <w:rFonts w:ascii="Arial" w:cs="Arial" w:eastAsia="Arial" w:hAnsi="Arial"/>
          <w:sz w:val="13"/>
          <w:szCs w:val="13"/>
          <w:color w:val="auto"/>
        </w:rPr>
        <w:t>“Treasury Rate” means, with respect to any redemption date, the yield determined by the Company in accordance with the following two paragraphs.</w:t>
      </w:r>
    </w:p>
    <w:p>
      <w:pPr>
        <w:spacing w:after="0" w:line="110" w:lineRule="exact"/>
        <w:rPr>
          <w:sz w:val="20"/>
          <w:szCs w:val="20"/>
          <w:color w:val="auto"/>
        </w:rPr>
      </w:pPr>
    </w:p>
    <w:p>
      <w:pPr>
        <w:ind w:left="420" w:right="499" w:firstLine="327"/>
        <w:spacing w:after="0" w:line="251" w:lineRule="auto"/>
        <w:rPr>
          <w:sz w:val="20"/>
          <w:szCs w:val="20"/>
          <w:color w:val="auto"/>
        </w:rPr>
      </w:pPr>
      <w:r>
        <w:rPr>
          <w:rFonts w:ascii="Arial" w:cs="Arial" w:eastAsia="Arial" w:hAnsi="Arial"/>
          <w:sz w:val="13"/>
          <w:szCs w:val="13"/>
          <w:color w:val="auto"/>
        </w:rPr>
        <w:t>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S-15</w:t>
      </w:r>
    </w:p>
    <w:p>
      <w:pPr>
        <w:sectPr>
          <w:pgSz w:w="11900" w:h="16838" w:orient="portrait"/>
          <w:cols w:equalWidth="0" w:num="1">
            <w:col w:w="9019"/>
          </w:cols>
          <w:pgMar w:left="1440" w:top="237" w:right="1440" w:bottom="1440" w:gutter="0" w:footer="0" w:header="0"/>
        </w:sectPr>
      </w:pPr>
    </w:p>
    <w:bookmarkStart w:id="20" w:name="page21"/>
    <w:bookmarkEnd w:id="20"/>
    <w:p>
      <w:pPr>
        <w:ind w:left="420" w:right="459"/>
        <w:spacing w:after="0" w:line="24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the caption “U.S. government securities–Treasury constant maturities–Nominal” (or any successor caption or heading) (“H.15 TCM”). In determining the Treasury Rate, the Company will select, as applicable: (1) the yield for the Treasury constant maturity on H.15 exactly equal to the period from the redemption date to the 2031 Par Call Date, in the case of the 2031 Notes, the 2033 Par Call Date, in the case of the 2033 Notes, and the 2036 Par Call Date, in the case of the 2036 Notes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will interpolate to the 2031 Par Call Date, in the case of the 2031 Notes, the 2033 Par Call Date, in the case of the 2033 Notes, and the 2036 Par Call Date, in the case of the 2036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135" w:lineRule="exact"/>
        <w:rPr>
          <w:sz w:val="20"/>
          <w:szCs w:val="20"/>
          <w:color w:val="auto"/>
        </w:rPr>
      </w:pPr>
    </w:p>
    <w:p>
      <w:pPr>
        <w:ind w:left="420" w:right="439" w:firstLine="327"/>
        <w:spacing w:after="0" w:line="243" w:lineRule="auto"/>
        <w:rPr>
          <w:sz w:val="20"/>
          <w:szCs w:val="20"/>
          <w:color w:val="auto"/>
        </w:rPr>
      </w:pPr>
      <w:r>
        <w:rPr>
          <w:rFonts w:ascii="Arial" w:cs="Arial" w:eastAsia="Arial" w:hAnsi="Arial"/>
          <w:sz w:val="13"/>
          <w:szCs w:val="13"/>
          <w:color w:val="auto"/>
        </w:rPr>
        <w:t>If on the third business day preceding the redemption date H.15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2031 Par Call Date, in the case of the 2031 Notes, the 2033 Par Call Date, in the case of the 2033 Notes, and the 2036 Par Call Date, in the case of the 2036 Notes, as applicable. If there is no United States Treasury security maturing on the 2031 Par Call Date, in the case of the 2031 Notes, the 2033 Par Call Date, in the case of the 2033 Notes, and the 2036 Par Call Date, in the case of the 2036 Notes, but there are two or more United States Treasury securities with a maturity date equally distant from the 2031 Par Call Date, in the case of the 2031 Notes, the 2033 Par Call Date, in the case of the 2033 Notes, and the 2036 Par Call Date, in the case of the 2036 Notes, and one with a maturity date preceding the 2031 Par Call Date, in the case of the 2031 Notes, the 2033 Par Call Date, in the case of the 2033 Notes, and the 2036 Par Call Date, in the case of the 2036 Notes, and one with a maturity date following the 2031 Par Call Date, in the case of the 2031 Notes, the 2033 Par Call Date, in the case of the 2033 Notes, and the 2036 Par Call Date, in the case of the 2036 Notes, the Company will select the United States Treasury security with a maturity date preceding the 2031 Par Call Date, in the case of the 2031 Notes, the 2033 Par Call Date, in the case of the 2033 Notes, and the 2036 Par Call Date, in the case of the 2036 Notes. If there are two or more United States Treasury securities maturing on the 2031 Par Call Date, in the case of the 2031 Notes, the 2033 Par Call Date, in the case of the 2033 Notes, and the 2036 Par Call Date, in the case of the 2036 Notes,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will be based upon the average of the bid and asked prices (expressed as a percentage of principal amount) at 11:00 a.m., New York City time, of such United States Treasury security, and rounded to three decimal places.</w:t>
      </w:r>
    </w:p>
    <w:p>
      <w:pPr>
        <w:spacing w:after="0" w:line="294" w:lineRule="exact"/>
        <w:rPr>
          <w:sz w:val="20"/>
          <w:szCs w:val="20"/>
          <w:color w:val="auto"/>
        </w:rPr>
      </w:pPr>
    </w:p>
    <w:p>
      <w:pPr>
        <w:ind w:left="420" w:right="459" w:firstLine="327"/>
        <w:spacing w:after="0" w:line="262" w:lineRule="auto"/>
        <w:rPr>
          <w:sz w:val="20"/>
          <w:szCs w:val="20"/>
          <w:color w:val="auto"/>
        </w:rPr>
      </w:pPr>
      <w:r>
        <w:rPr>
          <w:rFonts w:ascii="Arial" w:cs="Arial" w:eastAsia="Arial" w:hAnsi="Arial"/>
          <w:sz w:val="13"/>
          <w:szCs w:val="13"/>
          <w:color w:val="auto"/>
        </w:rPr>
        <w:t>For the avoidance of doubt, the Trustee shall have no obligation to determine or calculate any rate, price or amount in respect of any optional redemption under the Indenture. The Company’s actions and determinations in determining the redemption price will be conclusive and binding for all purposes, absent manifest error.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S-16</w:t>
      </w:r>
    </w:p>
    <w:p>
      <w:pPr>
        <w:sectPr>
          <w:pgSz w:w="11900" w:h="16838" w:orient="portrait"/>
          <w:cols w:equalWidth="0" w:num="1">
            <w:col w:w="9019"/>
          </w:cols>
          <w:pgMar w:left="1440" w:top="237" w:right="1440" w:bottom="1440" w:gutter="0" w:footer="0" w:header="0"/>
        </w:sectPr>
      </w:pPr>
    </w:p>
    <w:bookmarkStart w:id="21" w:name="page22"/>
    <w:bookmarkEnd w:id="21"/>
    <w:p>
      <w:pPr>
        <w:ind w:left="4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5980" cy="31750"/>
                    </a:xfrm>
                    <a:prstGeom prst="rect">
                      <a:avLst/>
                    </a:prstGeom>
                    <a:noFill/>
                  </pic:spPr>
                </pic:pic>
              </a:graphicData>
            </a:graphic>
          </wp:anchor>
        </w:drawing>
        <w:t>Redemption Upon Changes in Tax Law</w:t>
      </w:r>
    </w:p>
    <w:p>
      <w:pPr>
        <w:spacing w:after="0" w:line="83" w:lineRule="exact"/>
        <w:rPr>
          <w:sz w:val="20"/>
          <w:szCs w:val="20"/>
          <w:color w:val="auto"/>
        </w:rPr>
      </w:pPr>
    </w:p>
    <w:p>
      <w:pPr>
        <w:ind w:left="420" w:right="439" w:firstLine="327"/>
        <w:spacing w:after="0" w:line="246" w:lineRule="auto"/>
        <w:rPr>
          <w:sz w:val="20"/>
          <w:szCs w:val="20"/>
          <w:color w:val="auto"/>
        </w:rPr>
      </w:pPr>
      <w:r>
        <w:rPr>
          <w:rFonts w:ascii="Arial" w:cs="Arial" w:eastAsia="Arial" w:hAnsi="Arial"/>
          <w:sz w:val="13"/>
          <w:szCs w:val="13"/>
          <w:color w:val="auto"/>
        </w:rPr>
        <w:t>The Company or the Guarantor may redeem any series of Notes, in whole but not in part, at its discretion at any time upon giving not fewer than 10 nor more than 60 days’ prior notice to the holders of such Notes (which notice will be irrevocable), at a redemption price equal to 100% of the aggregate principal amount thereof, together with accrued and unpaid interest, if any, to (but not including) the date fixed by the Company or the Guarantor, as applicable, for redemption (a “Tax Redemption Date”) and all Additional Amounts (if any) then due and which will become due on the Tax Redemption Date as a result of the redemption or otherwise (subject to the right of holders of such Notes on the relevant record date to receive interest due on the relevant interest payment date and Additional Amounts (if any) in respect thereof), if on the next date on which any amount would be payable in respect of such Notes, the Company or the Guarantor, as applicable, is or would be required to pay Additional Amounts, and the Company or the Guarantor cannot avoid any such payment obligation by taking reasonable measures available to it (but not including substitution of the obligor of the Notes and, for avoidance of doubt, in the case of the Guarantor, by causing the payment to be made by the Company), and the requirement arises as a result of:</w:t>
      </w:r>
    </w:p>
    <w:p>
      <w:pPr>
        <w:spacing w:after="0" w:line="63" w:lineRule="exact"/>
        <w:rPr>
          <w:sz w:val="20"/>
          <w:szCs w:val="20"/>
          <w:color w:val="auto"/>
        </w:rPr>
      </w:pPr>
    </w:p>
    <w:p>
      <w:pPr>
        <w:ind w:left="1140" w:right="539" w:hanging="409"/>
        <w:spacing w:after="0" w:line="255" w:lineRule="auto"/>
        <w:tabs>
          <w:tab w:leader="none" w:pos="114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any amendment to, or change in, or change in the enforcement or interpretation of, the laws (or any regulations or rulings promulgated thereunder) of a Relevant Tax Jurisdiction which change or amendment becomes effective on or after the Issue Date (or, if the applicable Relevant Tax Jurisdiction became a Relevant Tax Jurisdiction on a date after the Issue Date, such later date), or</w:t>
      </w:r>
    </w:p>
    <w:p>
      <w:pPr>
        <w:spacing w:after="0" w:line="56" w:lineRule="exact"/>
        <w:rPr>
          <w:rFonts w:ascii="Arial" w:cs="Arial" w:eastAsia="Arial" w:hAnsi="Arial"/>
          <w:sz w:val="13"/>
          <w:szCs w:val="13"/>
          <w:color w:val="auto"/>
        </w:rPr>
      </w:pPr>
    </w:p>
    <w:p>
      <w:pPr>
        <w:ind w:left="1140" w:right="439" w:hanging="409"/>
        <w:spacing w:after="0" w:line="255" w:lineRule="auto"/>
        <w:tabs>
          <w:tab w:leader="none" w:pos="114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any amendment to, or change in, an official interpretation or application of such laws, regulations or rulings (including by virtue of a holding, judgment, order by a court of competent jurisdiction, action taken by any legislative body or taxing authority, or a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27" w:lineRule="exact"/>
        <w:rPr>
          <w:sz w:val="20"/>
          <w:szCs w:val="20"/>
          <w:color w:val="auto"/>
        </w:rPr>
      </w:pPr>
    </w:p>
    <w:p>
      <w:pPr>
        <w:ind w:left="420" w:right="419" w:firstLine="327"/>
        <w:spacing w:after="0" w:line="245" w:lineRule="auto"/>
        <w:rPr>
          <w:sz w:val="20"/>
          <w:szCs w:val="20"/>
          <w:color w:val="auto"/>
        </w:rPr>
      </w:pPr>
      <w:r>
        <w:rPr>
          <w:rFonts w:ascii="Arial" w:cs="Arial" w:eastAsia="Arial" w:hAnsi="Arial"/>
          <w:sz w:val="13"/>
          <w:szCs w:val="13"/>
          <w:color w:val="auto"/>
        </w:rPr>
        <w:t>Neither the Company nor the Guarantor, as applicable, will give any such notice of redemption earlier than 90 days prior to the earliest date on which the Company or the Guarantor, as applicable, would be obligated to make such payment or withholding if a payment in respect of the applicable series of Notes was then due, and the law (or any regulations or rulings promulgated thereunder, or amendment to, or change in, an official interpretation or application of) giving rise to the obligation to pay Additional Amounts (whether the obligation to withhold is then effective or will become effective after the notice) must be in effect at the time such notice is given. Prior to giving any notice of redemption of any series of Notes pursuant to the foregoing, the Company or the Guarantor, as applicable, will deliver to the Trustee an opinion of independent tax counsel to the effect that there has been such amendment or change which would entitle the Company or the Guarantor to redeem such Notes in accordance with the foregoing. In addition, before the Company or the Guarantor, as applicable, gives notice of redemption of such Notes as described above, it will deliver to the Trustee an Officer’s Certificate to the effect that the Company or the Guarantor, as applicable, cannot avoid its obligation to pay Additional Amounts by the Company or the Guarantor, as applicable, taking reasonable measures available to it.</w:t>
      </w:r>
    </w:p>
    <w:p>
      <w:pPr>
        <w:spacing w:after="0" w:line="137" w:lineRule="exact"/>
        <w:rPr>
          <w:sz w:val="20"/>
          <w:szCs w:val="20"/>
          <w:color w:val="auto"/>
        </w:rPr>
      </w:pPr>
    </w:p>
    <w:p>
      <w:pPr>
        <w:ind w:left="420" w:right="519" w:firstLine="327"/>
        <w:spacing w:after="0" w:line="262" w:lineRule="auto"/>
        <w:rPr>
          <w:sz w:val="20"/>
          <w:szCs w:val="20"/>
          <w:color w:val="auto"/>
        </w:rPr>
      </w:pPr>
      <w:r>
        <w:rPr>
          <w:rFonts w:ascii="Arial" w:cs="Arial" w:eastAsia="Arial" w:hAnsi="Arial"/>
          <w:sz w:val="13"/>
          <w:szCs w:val="13"/>
          <w:color w:val="auto"/>
        </w:rPr>
        <w:t>The Trustee will accept and be entitled to rely on such Officer’s Certificate and opinion of counsel as sufficient evidence of the existence and satisfaction of the conditions precedent as described above, in which event it will be conclusive and binding on the holders of the applicable Notes.</w:t>
      </w:r>
    </w:p>
    <w:p>
      <w:pPr>
        <w:spacing w:after="0" w:line="122" w:lineRule="exact"/>
        <w:rPr>
          <w:sz w:val="20"/>
          <w:szCs w:val="20"/>
          <w:color w:val="auto"/>
        </w:rPr>
      </w:pPr>
    </w:p>
    <w:p>
      <w:pPr>
        <w:ind w:left="420" w:right="479" w:firstLine="327"/>
        <w:spacing w:after="0" w:line="262" w:lineRule="auto"/>
        <w:rPr>
          <w:sz w:val="20"/>
          <w:szCs w:val="20"/>
          <w:color w:val="auto"/>
        </w:rPr>
      </w:pPr>
      <w:r>
        <w:rPr>
          <w:rFonts w:ascii="Arial" w:cs="Arial" w:eastAsia="Arial" w:hAnsi="Arial"/>
          <w:sz w:val="13"/>
          <w:szCs w:val="13"/>
          <w:color w:val="auto"/>
        </w:rPr>
        <w:t xml:space="preserve">The foregoing will also apply </w:t>
      </w:r>
      <w:r>
        <w:rPr>
          <w:rFonts w:ascii="Arial" w:cs="Arial" w:eastAsia="Arial" w:hAnsi="Arial"/>
          <w:sz w:val="13"/>
          <w:szCs w:val="13"/>
          <w:i w:val="1"/>
          <w:iCs w:val="1"/>
          <w:color w:val="auto"/>
        </w:rPr>
        <w:t>mutatis mutandis</w:t>
      </w:r>
      <w:r>
        <w:rPr>
          <w:rFonts w:ascii="Arial" w:cs="Arial" w:eastAsia="Arial" w:hAnsi="Arial"/>
          <w:sz w:val="13"/>
          <w:szCs w:val="13"/>
          <w:color w:val="auto"/>
        </w:rPr>
        <w:t xml:space="preserve"> to any jurisdiction in which any successor person to the Company or the Guarantor is incorporated, organized or resident for Tax purposes or any jurisdiction from or through which payment is made by or on behalf of such person on the Notes or the Guarantees, and any political subdivision thereof or therein.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S-17</w:t>
      </w:r>
    </w:p>
    <w:p>
      <w:pPr>
        <w:sectPr>
          <w:pgSz w:w="11900" w:h="16838" w:orient="portrait"/>
          <w:cols w:equalWidth="0" w:num="1">
            <w:col w:w="9019"/>
          </w:cols>
          <w:pgMar w:left="1440" w:top="235" w:right="1440" w:bottom="1440" w:gutter="0" w:footer="0" w:header="0"/>
        </w:sectPr>
      </w:pPr>
    </w:p>
    <w:bookmarkStart w:id="22" w:name="page23"/>
    <w:bookmarkEnd w:id="22"/>
    <w:p>
      <w:pPr>
        <w:ind w:left="4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5980" cy="31750"/>
                    </a:xfrm>
                    <a:prstGeom prst="rect">
                      <a:avLst/>
                    </a:prstGeom>
                    <a:noFill/>
                  </pic:spPr>
                </pic:pic>
              </a:graphicData>
            </a:graphic>
          </wp:anchor>
        </w:drawing>
        <w:t>Selection and Notice</w:t>
      </w:r>
    </w:p>
    <w:p>
      <w:pPr>
        <w:spacing w:after="0" w:line="83" w:lineRule="exact"/>
        <w:rPr>
          <w:sz w:val="20"/>
          <w:szCs w:val="20"/>
          <w:color w:val="auto"/>
        </w:rPr>
      </w:pPr>
    </w:p>
    <w:p>
      <w:pPr>
        <w:ind w:left="420" w:right="719" w:firstLine="327"/>
        <w:spacing w:after="0" w:line="255" w:lineRule="auto"/>
        <w:rPr>
          <w:sz w:val="20"/>
          <w:szCs w:val="20"/>
          <w:color w:val="auto"/>
        </w:rPr>
      </w:pPr>
      <w:r>
        <w:rPr>
          <w:rFonts w:ascii="Arial" w:cs="Arial" w:eastAsia="Arial" w:hAnsi="Arial"/>
          <w:sz w:val="13"/>
          <w:szCs w:val="13"/>
          <w:color w:val="auto"/>
        </w:rPr>
        <w:t>If fewer than all of the Notes of a series are to be redeemed at any time, the Trustee will select Notes of such series in definitive, non-global form for redemption on a pro rata basis (or, in the case of Notes issued in global form as discussed under “—Book-Entry, Delivery and Form,” such Notes to be redeemed will be selected in accordance with the procedures of the depository therefor) unless otherwise required by law or applicable stock exchange.</w:t>
      </w:r>
    </w:p>
    <w:p>
      <w:pPr>
        <w:spacing w:after="0" w:line="127" w:lineRule="exact"/>
        <w:rPr>
          <w:sz w:val="20"/>
          <w:szCs w:val="20"/>
          <w:color w:val="auto"/>
        </w:rPr>
      </w:pPr>
    </w:p>
    <w:p>
      <w:pPr>
        <w:ind w:left="420" w:right="619" w:firstLine="327"/>
        <w:spacing w:after="0" w:line="255" w:lineRule="auto"/>
        <w:rPr>
          <w:sz w:val="20"/>
          <w:szCs w:val="20"/>
          <w:color w:val="auto"/>
        </w:rPr>
      </w:pPr>
      <w:r>
        <w:rPr>
          <w:rFonts w:ascii="Arial" w:cs="Arial" w:eastAsia="Arial" w:hAnsi="Arial"/>
          <w:sz w:val="13"/>
          <w:szCs w:val="13"/>
          <w:color w:val="auto"/>
        </w:rPr>
        <w:t>No Notes in principal amount of US$ 2,000 or less can be redeemed in part. Notices of redemption will be given at least 10 but not more than 60 days before the redemption date to each holder of Notes of such series to be redeemed, except that redemption notices may be given more than 60 days prior to a redemption date if the notice is issued in connection with a defeasance of such Notes or a satisfaction and discharge of the Indenture with respect to such Notes.</w:t>
      </w:r>
    </w:p>
    <w:p>
      <w:pPr>
        <w:spacing w:after="0" w:line="127" w:lineRule="exact"/>
        <w:rPr>
          <w:sz w:val="20"/>
          <w:szCs w:val="20"/>
          <w:color w:val="auto"/>
        </w:rPr>
      </w:pPr>
    </w:p>
    <w:p>
      <w:pPr>
        <w:ind w:left="420" w:right="439" w:firstLine="327"/>
        <w:spacing w:after="0" w:line="249" w:lineRule="auto"/>
        <w:rPr>
          <w:sz w:val="20"/>
          <w:szCs w:val="20"/>
          <w:color w:val="auto"/>
        </w:rPr>
      </w:pPr>
      <w:r>
        <w:rPr>
          <w:rFonts w:ascii="Arial" w:cs="Arial" w:eastAsia="Arial" w:hAnsi="Arial"/>
          <w:sz w:val="13"/>
          <w:szCs w:val="13"/>
          <w:color w:val="auto"/>
        </w:rPr>
        <w:t>If any Note is to be redeemed in part only, the notice of redemption that relates to that Note will state the portion of the principal amount of that Note that is to be redeemed. A new definitive, non-global Note in principal amount equal to the unredeemed portion of the original definitive, non-global Note will be issued in the name of the holder of such definitive, non-global Notes upon cancellation of the original definitive, non-global Note. Notes called for redemption become due on the date fixed for redemption. On and after the redemption date, interest ceases to accrue on Notes or portions of Notes called for redemption unless the Company or the Guarantor defaults in payment of the redemption price.</w:t>
      </w:r>
    </w:p>
    <w:p>
      <w:pPr>
        <w:spacing w:after="0" w:line="133" w:lineRule="exact"/>
        <w:rPr>
          <w:sz w:val="20"/>
          <w:szCs w:val="20"/>
          <w:color w:val="auto"/>
        </w:rPr>
      </w:pPr>
    </w:p>
    <w:p>
      <w:pPr>
        <w:jc w:val="both"/>
        <w:ind w:left="420" w:right="539" w:firstLine="327"/>
        <w:spacing w:after="0" w:line="255" w:lineRule="auto"/>
        <w:rPr>
          <w:sz w:val="20"/>
          <w:szCs w:val="20"/>
          <w:color w:val="auto"/>
        </w:rPr>
      </w:pPr>
      <w:r>
        <w:rPr>
          <w:rFonts w:ascii="Arial" w:cs="Arial" w:eastAsia="Arial" w:hAnsi="Arial"/>
          <w:sz w:val="13"/>
          <w:szCs w:val="13"/>
          <w:color w:val="auto"/>
        </w:rPr>
        <w:t>The Trustee will not be liable for selections made as contemplated in this section. For Notes which are represented by global Notes held on behalf of The Depository Trust Company (“DTC”), Euroclear Bank SA/NV, as operator of the Euroclear system (“Euroclear”) and Clearstream Banking S.A. (“Clearstream”), notices shall be given by delivery of the relevant notices to DTC, Euroclear or Clearstream for communication to entitled account holders.</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Certain Covenants</w:t>
      </w:r>
    </w:p>
    <w:p>
      <w:pPr>
        <w:spacing w:after="0" w:line="83" w:lineRule="exact"/>
        <w:rPr>
          <w:sz w:val="20"/>
          <w:szCs w:val="20"/>
          <w:color w:val="auto"/>
        </w:rPr>
      </w:pPr>
    </w:p>
    <w:p>
      <w:pPr>
        <w:ind w:left="420" w:right="479" w:firstLine="327"/>
        <w:spacing w:after="0" w:line="249" w:lineRule="auto"/>
        <w:rPr>
          <w:sz w:val="20"/>
          <w:szCs w:val="20"/>
          <w:color w:val="auto"/>
        </w:rPr>
      </w:pPr>
      <w:r>
        <w:rPr>
          <w:rFonts w:ascii="Arial" w:cs="Arial" w:eastAsia="Arial" w:hAnsi="Arial"/>
          <w:sz w:val="13"/>
          <w:szCs w:val="13"/>
          <w:color w:val="auto"/>
        </w:rPr>
        <w:t>Other than the restrictions on liens described below, the Indenture and the Notes do not contain any covenants or other provisions designed to protect holders of the Notes, including in the event of a highly leveraged transaction. The Indenture and the Notes also do not contain provisions that give holders of the Notes the right to require the Company or the Guarantor to repurchase any Notes in the event of a decline in credit rating resulting from a takeover, recapitalization or similar restructuring or otherwise. The Indenture will not obligate us to provide, and we do not intend to provide, holders of the Notes with financial statements of the Company that are separate from the consolidated financial statements of the Guarantor.</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Limitation on Liens</w:t>
      </w:r>
    </w:p>
    <w:p>
      <w:pPr>
        <w:spacing w:after="0" w:line="83" w:lineRule="exact"/>
        <w:rPr>
          <w:sz w:val="20"/>
          <w:szCs w:val="20"/>
          <w:color w:val="auto"/>
        </w:rPr>
      </w:pPr>
    </w:p>
    <w:p>
      <w:pPr>
        <w:ind w:left="420" w:right="459" w:firstLine="327"/>
        <w:spacing w:after="0" w:line="247" w:lineRule="auto"/>
        <w:rPr>
          <w:sz w:val="20"/>
          <w:szCs w:val="20"/>
          <w:color w:val="auto"/>
        </w:rPr>
      </w:pPr>
      <w:r>
        <w:rPr>
          <w:rFonts w:ascii="Arial" w:cs="Arial" w:eastAsia="Arial" w:hAnsi="Arial"/>
          <w:sz w:val="13"/>
          <w:szCs w:val="13"/>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Notes (together with, if the Company or the Guarantor so determine, any of its other indebtedness or the indebtedness of any such restricted subsidiary then existing or thereafter created ranking on a parity with the Notes or the Guarantees) will be secured equally and ratably with (or prior to) such secured indebtedness, so long as such secured indebtedness shall be so secured, unless, after giving effect thereto, the aggregate amount of all such secured indebtedness (excluding any indebtedness secured</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S-18</w:t>
      </w:r>
    </w:p>
    <w:p>
      <w:pPr>
        <w:sectPr>
          <w:pgSz w:w="11900" w:h="16838" w:orient="portrait"/>
          <w:cols w:equalWidth="0" w:num="1">
            <w:col w:w="9019"/>
          </w:cols>
          <w:pgMar w:left="1440" w:top="235" w:right="1440" w:bottom="1440" w:gutter="0" w:footer="0" w:header="0"/>
        </w:sectPr>
      </w:pPr>
    </w:p>
    <w:bookmarkStart w:id="23" w:name="page24"/>
    <w:bookmarkEnd w:id="23"/>
    <w:p>
      <w:pPr>
        <w:ind w:left="4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5980" cy="31750"/>
                    </a:xfrm>
                    <a:prstGeom prst="rect">
                      <a:avLst/>
                    </a:prstGeom>
                    <a:noFill/>
                  </pic:spPr>
                </pic:pic>
              </a:graphicData>
            </a:graphic>
          </wp:anchor>
        </w:drawing>
        <w:t>by mortgages of the types referred to in clauses (1) through (10) below) would not exceed 20% of consolidated net worth as shown on the</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Guarantor’s most recent consolidated quarterly financial statements; provided, however, that these provisions will not apply to:</w:t>
      </w:r>
    </w:p>
    <w:p>
      <w:pPr>
        <w:spacing w:after="0" w:line="79" w:lineRule="exact"/>
        <w:rPr>
          <w:sz w:val="20"/>
          <w:szCs w:val="20"/>
          <w:color w:val="auto"/>
        </w:rPr>
      </w:pPr>
    </w:p>
    <w:p>
      <w:pPr>
        <w:ind w:left="1140" w:hanging="409"/>
        <w:spacing w:after="0"/>
        <w:tabs>
          <w:tab w:leader="none" w:pos="1140" w:val="left"/>
        </w:tabs>
        <w:numPr>
          <w:ilvl w:val="0"/>
          <w:numId w:val="9"/>
        </w:numPr>
        <w:rPr>
          <w:rFonts w:ascii="Arial" w:cs="Arial" w:eastAsia="Arial" w:hAnsi="Arial"/>
          <w:sz w:val="13"/>
          <w:szCs w:val="13"/>
          <w:color w:val="auto"/>
        </w:rPr>
      </w:pPr>
      <w:r>
        <w:rPr>
          <w:rFonts w:ascii="Arial" w:cs="Arial" w:eastAsia="Arial" w:hAnsi="Arial"/>
          <w:sz w:val="13"/>
          <w:szCs w:val="13"/>
          <w:color w:val="auto"/>
        </w:rPr>
        <w:t>mortgages existing on the date of original issuance of the Notes;</w:t>
      </w:r>
    </w:p>
    <w:p>
      <w:pPr>
        <w:spacing w:after="0" w:line="91" w:lineRule="exact"/>
        <w:rPr>
          <w:rFonts w:ascii="Arial" w:cs="Arial" w:eastAsia="Arial" w:hAnsi="Arial"/>
          <w:sz w:val="13"/>
          <w:szCs w:val="13"/>
          <w:color w:val="auto"/>
        </w:rPr>
      </w:pPr>
    </w:p>
    <w:p>
      <w:pPr>
        <w:ind w:left="1140" w:right="519" w:hanging="409"/>
        <w:spacing w:after="0" w:line="282" w:lineRule="auto"/>
        <w:tabs>
          <w:tab w:leader="none" w:pos="1140" w:val="left"/>
        </w:tabs>
        <w:numPr>
          <w:ilvl w:val="0"/>
          <w:numId w:val="9"/>
        </w:numPr>
        <w:rPr>
          <w:rFonts w:ascii="Arial" w:cs="Arial" w:eastAsia="Arial" w:hAnsi="Arial"/>
          <w:sz w:val="13"/>
          <w:szCs w:val="13"/>
          <w:color w:val="auto"/>
        </w:rPr>
      </w:pPr>
      <w:r>
        <w:rPr>
          <w:rFonts w:ascii="Arial" w:cs="Arial" w:eastAsia="Arial" w:hAnsi="Arial"/>
          <w:sz w:val="13"/>
          <w:szCs w:val="13"/>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39" w:lineRule="exact"/>
        <w:rPr>
          <w:rFonts w:ascii="Arial" w:cs="Arial" w:eastAsia="Arial" w:hAnsi="Arial"/>
          <w:sz w:val="13"/>
          <w:szCs w:val="13"/>
          <w:color w:val="auto"/>
        </w:rPr>
      </w:pPr>
    </w:p>
    <w:p>
      <w:pPr>
        <w:ind w:left="1140" w:right="639" w:hanging="409"/>
        <w:spacing w:after="0" w:line="249" w:lineRule="auto"/>
        <w:tabs>
          <w:tab w:leader="none" w:pos="1140" w:val="left"/>
        </w:tabs>
        <w:numPr>
          <w:ilvl w:val="0"/>
          <w:numId w:val="9"/>
        </w:numPr>
        <w:rPr>
          <w:rFonts w:ascii="Arial" w:cs="Arial" w:eastAsia="Arial" w:hAnsi="Arial"/>
          <w:sz w:val="13"/>
          <w:szCs w:val="13"/>
          <w:color w:val="auto"/>
        </w:rPr>
      </w:pPr>
      <w:r>
        <w:rPr>
          <w:rFonts w:ascii="Arial" w:cs="Arial" w:eastAsia="Arial" w:hAnsi="Arial"/>
          <w:sz w:val="13"/>
          <w:szCs w:val="13"/>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62" w:lineRule="exact"/>
        <w:rPr>
          <w:rFonts w:ascii="Arial" w:cs="Arial" w:eastAsia="Arial" w:hAnsi="Arial"/>
          <w:sz w:val="13"/>
          <w:szCs w:val="13"/>
          <w:color w:val="auto"/>
        </w:rPr>
      </w:pPr>
    </w:p>
    <w:p>
      <w:pPr>
        <w:ind w:left="1140" w:hanging="409"/>
        <w:spacing w:after="0"/>
        <w:tabs>
          <w:tab w:leader="none" w:pos="1140" w:val="left"/>
        </w:tabs>
        <w:numPr>
          <w:ilvl w:val="0"/>
          <w:numId w:val="9"/>
        </w:numPr>
        <w:rPr>
          <w:rFonts w:ascii="Arial" w:cs="Arial" w:eastAsia="Arial" w:hAnsi="Arial"/>
          <w:sz w:val="13"/>
          <w:szCs w:val="13"/>
          <w:color w:val="auto"/>
        </w:rPr>
      </w:pPr>
      <w:r>
        <w:rPr>
          <w:rFonts w:ascii="Arial" w:cs="Arial" w:eastAsia="Arial" w:hAnsi="Arial"/>
          <w:sz w:val="13"/>
          <w:szCs w:val="13"/>
          <w:color w:val="auto"/>
        </w:rPr>
        <w:t>mortgages in favor of the Company, the Guarantor or any other subsidiary of the Guarantor;</w:t>
      </w:r>
    </w:p>
    <w:p>
      <w:pPr>
        <w:spacing w:after="0" w:line="91" w:lineRule="exact"/>
        <w:rPr>
          <w:rFonts w:ascii="Arial" w:cs="Arial" w:eastAsia="Arial" w:hAnsi="Arial"/>
          <w:sz w:val="13"/>
          <w:szCs w:val="13"/>
          <w:color w:val="auto"/>
        </w:rPr>
      </w:pPr>
    </w:p>
    <w:p>
      <w:pPr>
        <w:ind w:left="1140" w:right="439" w:hanging="409"/>
        <w:spacing w:after="0" w:line="255" w:lineRule="auto"/>
        <w:tabs>
          <w:tab w:leader="none" w:pos="114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56" w:lineRule="exact"/>
        <w:rPr>
          <w:rFonts w:ascii="Arial" w:cs="Arial" w:eastAsia="Arial" w:hAnsi="Arial"/>
          <w:sz w:val="13"/>
          <w:szCs w:val="13"/>
          <w:color w:val="auto"/>
        </w:rPr>
      </w:pPr>
    </w:p>
    <w:p>
      <w:pPr>
        <w:ind w:left="1140" w:right="679" w:hanging="409"/>
        <w:spacing w:after="0" w:line="282" w:lineRule="auto"/>
        <w:tabs>
          <w:tab w:leader="none" w:pos="114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mortgage of any property or assets to secure indebtedness of the pollution control, industrial revenue or other revenue bond type;</w:t>
      </w:r>
    </w:p>
    <w:p>
      <w:pPr>
        <w:spacing w:after="0" w:line="39" w:lineRule="exact"/>
        <w:rPr>
          <w:rFonts w:ascii="Arial" w:cs="Arial" w:eastAsia="Arial" w:hAnsi="Arial"/>
          <w:sz w:val="13"/>
          <w:szCs w:val="13"/>
          <w:color w:val="auto"/>
        </w:rPr>
      </w:pPr>
    </w:p>
    <w:p>
      <w:pPr>
        <w:ind w:left="1140" w:right="519" w:hanging="409"/>
        <w:spacing w:after="0" w:line="255" w:lineRule="auto"/>
        <w:tabs>
          <w:tab w:leader="none" w:pos="1140" w:val="left"/>
        </w:tabs>
        <w:numPr>
          <w:ilvl w:val="0"/>
          <w:numId w:val="9"/>
        </w:numPr>
        <w:rPr>
          <w:rFonts w:ascii="Arial" w:cs="Arial" w:eastAsia="Arial" w:hAnsi="Arial"/>
          <w:sz w:val="13"/>
          <w:szCs w:val="13"/>
          <w:color w:val="auto"/>
        </w:rPr>
      </w:pPr>
      <w:r>
        <w:rPr>
          <w:rFonts w:ascii="Arial" w:cs="Arial" w:eastAsia="Arial" w:hAnsi="Arial"/>
          <w:sz w:val="13"/>
          <w:szCs w:val="13"/>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56" w:lineRule="exact"/>
        <w:rPr>
          <w:rFonts w:ascii="Arial" w:cs="Arial" w:eastAsia="Arial" w:hAnsi="Arial"/>
          <w:sz w:val="13"/>
          <w:szCs w:val="13"/>
          <w:color w:val="auto"/>
        </w:rPr>
      </w:pPr>
    </w:p>
    <w:p>
      <w:pPr>
        <w:ind w:left="1140" w:right="619" w:hanging="409"/>
        <w:spacing w:after="0" w:line="282" w:lineRule="auto"/>
        <w:tabs>
          <w:tab w:leader="none" w:pos="1140" w:val="left"/>
        </w:tabs>
        <w:numPr>
          <w:ilvl w:val="0"/>
          <w:numId w:val="9"/>
        </w:numPr>
        <w:rPr>
          <w:rFonts w:ascii="Arial" w:cs="Arial" w:eastAsia="Arial" w:hAnsi="Arial"/>
          <w:sz w:val="13"/>
          <w:szCs w:val="13"/>
          <w:color w:val="auto"/>
        </w:rPr>
      </w:pPr>
      <w:r>
        <w:rPr>
          <w:rFonts w:ascii="Arial" w:cs="Arial" w:eastAsia="Arial" w:hAnsi="Arial"/>
          <w:sz w:val="13"/>
          <w:szCs w:val="13"/>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39" w:lineRule="exact"/>
        <w:rPr>
          <w:rFonts w:ascii="Arial" w:cs="Arial" w:eastAsia="Arial" w:hAnsi="Arial"/>
          <w:sz w:val="13"/>
          <w:szCs w:val="13"/>
          <w:color w:val="auto"/>
        </w:rPr>
      </w:pPr>
    </w:p>
    <w:p>
      <w:pPr>
        <w:ind w:left="1140" w:hanging="409"/>
        <w:spacing w:after="0"/>
        <w:tabs>
          <w:tab w:leader="none" w:pos="1140" w:val="left"/>
        </w:tabs>
        <w:numPr>
          <w:ilvl w:val="0"/>
          <w:numId w:val="9"/>
        </w:numPr>
        <w:rPr>
          <w:rFonts w:ascii="Arial" w:cs="Arial" w:eastAsia="Arial" w:hAnsi="Arial"/>
          <w:sz w:val="13"/>
          <w:szCs w:val="13"/>
          <w:color w:val="auto"/>
        </w:rPr>
      </w:pPr>
      <w:r>
        <w:rPr>
          <w:rFonts w:ascii="Arial" w:cs="Arial" w:eastAsia="Arial" w:hAnsi="Arial"/>
          <w:sz w:val="13"/>
          <w:szCs w:val="13"/>
          <w:color w:val="auto"/>
        </w:rPr>
        <w:t>mortgages created in connection with the acquisition of property or assets, or a project financed with, non-recourse debt; and</w:t>
      </w:r>
    </w:p>
    <w:p>
      <w:pPr>
        <w:spacing w:after="0" w:line="91" w:lineRule="exact"/>
        <w:rPr>
          <w:rFonts w:ascii="Arial" w:cs="Arial" w:eastAsia="Arial" w:hAnsi="Arial"/>
          <w:sz w:val="13"/>
          <w:szCs w:val="13"/>
          <w:color w:val="auto"/>
        </w:rPr>
      </w:pPr>
    </w:p>
    <w:p>
      <w:pPr>
        <w:ind w:left="1140" w:right="519" w:hanging="409"/>
        <w:spacing w:after="0" w:line="255" w:lineRule="auto"/>
        <w:tabs>
          <w:tab w:leader="none" w:pos="1140" w:val="left"/>
        </w:tabs>
        <w:numPr>
          <w:ilvl w:val="0"/>
          <w:numId w:val="9"/>
        </w:numPr>
        <w:rPr>
          <w:rFonts w:ascii="Arial" w:cs="Arial" w:eastAsia="Arial" w:hAnsi="Arial"/>
          <w:sz w:val="13"/>
          <w:szCs w:val="13"/>
          <w:color w:val="auto"/>
        </w:rPr>
      </w:pPr>
      <w:r>
        <w:rPr>
          <w:rFonts w:ascii="Arial" w:cs="Arial" w:eastAsia="Arial" w:hAnsi="Arial"/>
          <w:sz w:val="13"/>
          <w:szCs w:val="13"/>
          <w:color w:val="auto"/>
        </w:rPr>
        <w:t>any extension, renewal or replacement (or successive extensions, renewals or replacements), as a whole or in part, of any mortgage referred to in the foregoing clauses, inclusive; provided, that such extension, renewal or replacement mortgage will be limited to all or a part of the same property or assets that secured the mortgage extended, renewed or replaced, plus improvements on such property or assets.</w:t>
      </w:r>
    </w:p>
    <w:p>
      <w:pPr>
        <w:spacing w:after="0" w:line="127" w:lineRule="exact"/>
        <w:rPr>
          <w:sz w:val="20"/>
          <w:szCs w:val="20"/>
          <w:color w:val="auto"/>
        </w:rPr>
      </w:pPr>
    </w:p>
    <w:p>
      <w:pPr>
        <w:ind w:left="740"/>
        <w:spacing w:after="0"/>
        <w:rPr>
          <w:sz w:val="20"/>
          <w:szCs w:val="20"/>
          <w:color w:val="auto"/>
        </w:rPr>
      </w:pPr>
      <w:r>
        <w:rPr>
          <w:rFonts w:ascii="Arial" w:cs="Arial" w:eastAsia="Arial" w:hAnsi="Arial"/>
          <w:sz w:val="13"/>
          <w:szCs w:val="13"/>
          <w:color w:val="auto"/>
        </w:rPr>
        <w:t>The foregoing covenant and certain other provisions of the Indenture use the following defined terms.</w:t>
      </w:r>
    </w:p>
    <w:p>
      <w:pPr>
        <w:spacing w:after="0" w:line="162" w:lineRule="exact"/>
        <w:rPr>
          <w:sz w:val="20"/>
          <w:szCs w:val="20"/>
          <w:color w:val="auto"/>
        </w:rPr>
      </w:pPr>
    </w:p>
    <w:p>
      <w:pPr>
        <w:ind w:left="420" w:right="459" w:firstLine="327"/>
        <w:spacing w:after="0" w:line="262" w:lineRule="auto"/>
        <w:rPr>
          <w:sz w:val="20"/>
          <w:szCs w:val="20"/>
          <w:color w:val="auto"/>
        </w:rPr>
      </w:pPr>
      <w:r>
        <w:rPr>
          <w:rFonts w:ascii="Arial" w:cs="Arial" w:eastAsia="Arial" w:hAnsi="Arial"/>
          <w:sz w:val="13"/>
          <w:szCs w:val="13"/>
          <w:color w:val="auto"/>
        </w:rPr>
        <w:t>“capital stock” means (a) in the case of a corporation, corporate stock or shares in the capital of the corporation; (b) in the case of an association or business entity, any and all shares, interests, participations, rights or other equivalents (however designated) of corporate stock; (c) in the case of a partnership or limited liability company, partnership interests (whether general or limited) 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S-19</w:t>
      </w:r>
    </w:p>
    <w:p>
      <w:pPr>
        <w:sectPr>
          <w:pgSz w:w="11900" w:h="16838" w:orient="portrait"/>
          <w:cols w:equalWidth="0" w:num="1">
            <w:col w:w="9019"/>
          </w:cols>
          <w:pgMar w:left="1440" w:top="237" w:right="1440" w:bottom="1440" w:gutter="0" w:footer="0" w:header="0"/>
        </w:sectPr>
      </w:pPr>
    </w:p>
    <w:bookmarkStart w:id="24" w:name="page25"/>
    <w:bookmarkEnd w:id="24"/>
    <w:p>
      <w:pPr>
        <w:ind w:left="420" w:right="439"/>
        <w:spacing w:after="0" w:line="26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5980" cy="31750"/>
                    </a:xfrm>
                    <a:prstGeom prst="rect">
                      <a:avLst/>
                    </a:prstGeom>
                    <a:noFill/>
                  </pic:spPr>
                </pic:pic>
              </a:graphicData>
            </a:graphic>
          </wp:anchor>
        </w:drawing>
        <w:t>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22" w:lineRule="exact"/>
        <w:rPr>
          <w:sz w:val="20"/>
          <w:szCs w:val="20"/>
          <w:color w:val="auto"/>
        </w:rPr>
      </w:pPr>
    </w:p>
    <w:p>
      <w:pPr>
        <w:ind w:left="420" w:right="459" w:firstLine="327"/>
        <w:spacing w:after="0" w:line="282" w:lineRule="auto"/>
        <w:rPr>
          <w:sz w:val="20"/>
          <w:szCs w:val="20"/>
          <w:color w:val="auto"/>
        </w:rPr>
      </w:pPr>
      <w:r>
        <w:rPr>
          <w:rFonts w:ascii="Arial" w:cs="Arial" w:eastAsia="Arial" w:hAnsi="Arial"/>
          <w:sz w:val="13"/>
          <w:szCs w:val="13"/>
          <w:color w:val="auto"/>
        </w:rPr>
        <w:t>“consolidated net worth” means the amount of total stockholders’ equity shown in the Guarantor’s most recent quarterly consolidated statement of financial position.</w:t>
      </w:r>
    </w:p>
    <w:p>
      <w:pPr>
        <w:spacing w:after="0" w:line="110" w:lineRule="exact"/>
        <w:rPr>
          <w:sz w:val="20"/>
          <w:szCs w:val="20"/>
          <w:color w:val="auto"/>
        </w:rPr>
      </w:pPr>
    </w:p>
    <w:p>
      <w:pPr>
        <w:ind w:left="420" w:right="639" w:firstLine="327"/>
        <w:spacing w:after="0" w:line="282" w:lineRule="auto"/>
        <w:rPr>
          <w:sz w:val="20"/>
          <w:szCs w:val="20"/>
          <w:color w:val="auto"/>
        </w:rPr>
      </w:pPr>
      <w:r>
        <w:rPr>
          <w:rFonts w:ascii="Arial" w:cs="Arial" w:eastAsia="Arial" w:hAnsi="Arial"/>
          <w:sz w:val="13"/>
          <w:szCs w:val="13"/>
          <w:color w:val="auto"/>
        </w:rPr>
        <w:t>“mortgage” means and includes any mortgage, pledge, lien, security interest, conditional sale or other title retention agreement or other similar encumbrance.</w:t>
      </w:r>
    </w:p>
    <w:p>
      <w:pPr>
        <w:spacing w:after="0" w:line="110" w:lineRule="exact"/>
        <w:rPr>
          <w:sz w:val="20"/>
          <w:szCs w:val="20"/>
          <w:color w:val="auto"/>
        </w:rPr>
      </w:pPr>
    </w:p>
    <w:p>
      <w:pPr>
        <w:ind w:left="420" w:right="459" w:firstLine="327"/>
        <w:spacing w:after="0" w:line="262" w:lineRule="auto"/>
        <w:rPr>
          <w:sz w:val="20"/>
          <w:szCs w:val="20"/>
          <w:color w:val="auto"/>
        </w:rPr>
      </w:pPr>
      <w:r>
        <w:rPr>
          <w:rFonts w:ascii="Arial" w:cs="Arial" w:eastAsia="Arial" w:hAnsi="Arial"/>
          <w:sz w:val="13"/>
          <w:szCs w:val="13"/>
          <w:color w:val="auto"/>
        </w:rPr>
        <w:t>“non-recourse debt”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22" w:lineRule="exact"/>
        <w:rPr>
          <w:sz w:val="20"/>
          <w:szCs w:val="20"/>
          <w:color w:val="auto"/>
        </w:rPr>
      </w:pPr>
    </w:p>
    <w:p>
      <w:pPr>
        <w:ind w:left="420" w:right="879" w:firstLine="327"/>
        <w:spacing w:after="0" w:line="282" w:lineRule="auto"/>
        <w:rPr>
          <w:sz w:val="20"/>
          <w:szCs w:val="20"/>
          <w:color w:val="auto"/>
        </w:rPr>
      </w:pPr>
      <w:r>
        <w:rPr>
          <w:rFonts w:ascii="Arial" w:cs="Arial" w:eastAsia="Arial" w:hAnsi="Arial"/>
          <w:sz w:val="13"/>
          <w:szCs w:val="13"/>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10" w:lineRule="exact"/>
        <w:rPr>
          <w:sz w:val="20"/>
          <w:szCs w:val="20"/>
          <w:color w:val="auto"/>
        </w:rPr>
      </w:pPr>
    </w:p>
    <w:p>
      <w:pPr>
        <w:ind w:left="420" w:right="479" w:firstLine="327"/>
        <w:spacing w:after="0" w:line="252" w:lineRule="auto"/>
        <w:rPr>
          <w:sz w:val="20"/>
          <w:szCs w:val="20"/>
          <w:color w:val="auto"/>
        </w:rPr>
      </w:pPr>
      <w:r>
        <w:rPr>
          <w:rFonts w:ascii="Arial" w:cs="Arial" w:eastAsia="Arial" w:hAnsi="Arial"/>
          <w:sz w:val="13"/>
          <w:szCs w:val="13"/>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unless, in the opinion of the board of directors of the Guarantor, such plant or facility or other asset is not of material importance to the total business conducted by the Guarantor and its restricted subsidiaries taken as a whole.</w:t>
      </w:r>
    </w:p>
    <w:p>
      <w:pPr>
        <w:spacing w:after="0" w:line="285" w:lineRule="exact"/>
        <w:rPr>
          <w:sz w:val="20"/>
          <w:szCs w:val="20"/>
          <w:color w:val="auto"/>
        </w:rPr>
      </w:pPr>
    </w:p>
    <w:p>
      <w:pPr>
        <w:ind w:left="740"/>
        <w:spacing w:after="0"/>
        <w:rPr>
          <w:sz w:val="20"/>
          <w:szCs w:val="20"/>
          <w:color w:val="auto"/>
        </w:rPr>
      </w:pPr>
      <w:r>
        <w:rPr>
          <w:rFonts w:ascii="Arial" w:cs="Arial" w:eastAsia="Arial" w:hAnsi="Arial"/>
          <w:sz w:val="13"/>
          <w:szCs w:val="13"/>
          <w:color w:val="auto"/>
        </w:rPr>
        <w:t>“restricted subsidiary” means any subsidiary of the Guarantor which owns a restricted property.</w:t>
      </w:r>
    </w:p>
    <w:p>
      <w:pPr>
        <w:spacing w:after="0" w:line="162" w:lineRule="exact"/>
        <w:rPr>
          <w:sz w:val="20"/>
          <w:szCs w:val="20"/>
          <w:color w:val="auto"/>
        </w:rPr>
      </w:pPr>
    </w:p>
    <w:p>
      <w:pPr>
        <w:ind w:left="420" w:right="419" w:firstLine="327"/>
        <w:spacing w:after="0" w:line="245" w:lineRule="auto"/>
        <w:rPr>
          <w:sz w:val="20"/>
          <w:szCs w:val="20"/>
          <w:color w:val="auto"/>
        </w:rPr>
      </w:pPr>
      <w:r>
        <w:rPr>
          <w:rFonts w:ascii="Arial" w:cs="Arial" w:eastAsia="Arial" w:hAnsi="Arial"/>
          <w:sz w:val="13"/>
          <w:szCs w:val="13"/>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w:t>
      </w:r>
    </w:p>
    <w:p>
      <w:pPr>
        <w:spacing w:after="0" w:line="1" w:lineRule="exact"/>
        <w:rPr>
          <w:sz w:val="20"/>
          <w:szCs w:val="20"/>
          <w:color w:val="auto"/>
        </w:rPr>
      </w:pPr>
    </w:p>
    <w:p>
      <w:pPr>
        <w:ind w:left="420" w:right="439" w:hanging="10"/>
        <w:spacing w:after="0" w:line="248" w:lineRule="auto"/>
        <w:tabs>
          <w:tab w:leader="none" w:pos="613" w:val="left"/>
        </w:tabs>
        <w:numPr>
          <w:ilvl w:val="0"/>
          <w:numId w:val="10"/>
        </w:numPr>
        <w:rPr>
          <w:rFonts w:ascii="Arial" w:cs="Arial" w:eastAsia="Arial" w:hAnsi="Arial"/>
          <w:sz w:val="13"/>
          <w:szCs w:val="13"/>
          <w:color w:val="auto"/>
        </w:rPr>
      </w:pPr>
      <w:r>
        <w:rPr>
          <w:rFonts w:ascii="Arial" w:cs="Arial" w:eastAsia="Arial" w:hAnsi="Arial"/>
          <w:sz w:val="13"/>
          <w:szCs w:val="13"/>
          <w:color w:val="auto"/>
        </w:rPr>
        <w:t>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Consolidation, Merger and Sale of Assets</w:t>
      </w:r>
    </w:p>
    <w:p>
      <w:pPr>
        <w:spacing w:after="0" w:line="83" w:lineRule="exact"/>
        <w:rPr>
          <w:sz w:val="20"/>
          <w:szCs w:val="20"/>
          <w:color w:val="auto"/>
        </w:rPr>
      </w:pPr>
    </w:p>
    <w:p>
      <w:pPr>
        <w:ind w:left="420" w:right="439" w:firstLine="327"/>
        <w:spacing w:after="0" w:line="248" w:lineRule="auto"/>
        <w:rPr>
          <w:sz w:val="20"/>
          <w:szCs w:val="20"/>
          <w:color w:val="auto"/>
        </w:rPr>
      </w:pPr>
      <w:r>
        <w:rPr>
          <w:rFonts w:ascii="Arial" w:cs="Arial" w:eastAsia="Arial" w:hAnsi="Arial"/>
          <w:sz w:val="13"/>
          <w:szCs w:val="13"/>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Indenture and the Notes or the Guarantees, as applicable, by an indenture supplemental to the Indenture to which the Company or the Guarantor is a party,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S-20</w:t>
      </w:r>
    </w:p>
    <w:p>
      <w:pPr>
        <w:sectPr>
          <w:pgSz w:w="11900" w:h="16838" w:orient="portrait"/>
          <w:cols w:equalWidth="0" w:num="1">
            <w:col w:w="9019"/>
          </w:cols>
          <w:pgMar w:left="1440" w:top="237" w:right="1440" w:bottom="1440" w:gutter="0" w:footer="0" w:header="0"/>
        </w:sectPr>
      </w:pPr>
    </w:p>
    <w:bookmarkStart w:id="25" w:name="page26"/>
    <w:bookmarkEnd w:id="25"/>
    <w:p>
      <w:pPr>
        <w:ind w:left="420" w:right="439" w:firstLine="327"/>
        <w:spacing w:after="0" w:line="25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5980" cy="31750"/>
                    </a:xfrm>
                    <a:prstGeom prst="rect">
                      <a:avLst/>
                    </a:prstGeom>
                    <a:noFill/>
                  </pic:spPr>
                </pic:pic>
              </a:graphicData>
            </a:graphic>
          </wp:anchor>
        </w:drawing>
        <w:t>It is possible that a merger, transfer, or other transaction could be treated for U.S. federal income tax purposes as a taxable exchange by the beneficial owners of the Notes for new securities, which could result in beneficial owners of the Notes being required to recognize taxable gain or loss for U.S. federal income tax purposes. A merger, transfer, lease or other transaction could also have adverse tax consequences to beneficial owners of the Notes under other tax laws to which the beneficial owners are subject.</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Assumption by a Subsidiary</w:t>
      </w:r>
    </w:p>
    <w:p>
      <w:pPr>
        <w:spacing w:after="0" w:line="83" w:lineRule="exact"/>
        <w:rPr>
          <w:sz w:val="20"/>
          <w:szCs w:val="20"/>
          <w:color w:val="auto"/>
        </w:rPr>
      </w:pPr>
    </w:p>
    <w:p>
      <w:pPr>
        <w:ind w:left="420" w:right="599" w:firstLine="327"/>
        <w:spacing w:after="0" w:line="282" w:lineRule="auto"/>
        <w:rPr>
          <w:sz w:val="20"/>
          <w:szCs w:val="20"/>
          <w:color w:val="auto"/>
        </w:rPr>
      </w:pPr>
      <w:r>
        <w:rPr>
          <w:rFonts w:ascii="Arial" w:cs="Arial" w:eastAsia="Arial" w:hAnsi="Arial"/>
          <w:sz w:val="13"/>
          <w:szCs w:val="13"/>
          <w:color w:val="auto"/>
        </w:rPr>
        <w:t>Any subsidiary of the Guarantor may, at its option, assume the obligations of the Company under the Indenture and the Notes of a series, provided that:</w:t>
      </w:r>
    </w:p>
    <w:p>
      <w:pPr>
        <w:spacing w:after="0" w:line="40" w:lineRule="exact"/>
        <w:rPr>
          <w:sz w:val="20"/>
          <w:szCs w:val="20"/>
          <w:color w:val="auto"/>
        </w:rPr>
      </w:pPr>
    </w:p>
    <w:p>
      <w:pPr>
        <w:ind w:left="1140" w:right="619" w:hanging="409"/>
        <w:spacing w:after="0" w:line="282" w:lineRule="auto"/>
        <w:tabs>
          <w:tab w:leader="none" w:pos="11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such subsidiary expressly assumes such obligations in an assumption agreement or supplemental indenture duly executed and delivered to the Trustee, and</w:t>
      </w:r>
    </w:p>
    <w:p>
      <w:pPr>
        <w:spacing w:after="0" w:line="39" w:lineRule="exact"/>
        <w:rPr>
          <w:rFonts w:ascii="Arial" w:cs="Arial" w:eastAsia="Arial" w:hAnsi="Arial"/>
          <w:sz w:val="13"/>
          <w:szCs w:val="13"/>
          <w:color w:val="auto"/>
        </w:rPr>
      </w:pPr>
    </w:p>
    <w:p>
      <w:pPr>
        <w:ind w:left="1140" w:right="679" w:hanging="409"/>
        <w:spacing w:after="0" w:line="282" w:lineRule="auto"/>
        <w:tabs>
          <w:tab w:leader="none" w:pos="11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immediately after giving effect to such assumption, no Event of Default and no event which, after notice or lapse of time or both, would become an Event of Default, shall have occurred and be continuing.</w:t>
      </w:r>
    </w:p>
    <w:p>
      <w:pPr>
        <w:spacing w:after="0" w:line="110" w:lineRule="exact"/>
        <w:rPr>
          <w:sz w:val="20"/>
          <w:szCs w:val="20"/>
          <w:color w:val="auto"/>
        </w:rPr>
      </w:pPr>
    </w:p>
    <w:p>
      <w:pPr>
        <w:ind w:left="420" w:right="579" w:firstLine="327"/>
        <w:spacing w:after="0" w:line="251" w:lineRule="auto"/>
        <w:rPr>
          <w:sz w:val="20"/>
          <w:szCs w:val="20"/>
          <w:color w:val="auto"/>
        </w:rPr>
      </w:pPr>
      <w:r>
        <w:rPr>
          <w:rFonts w:ascii="Arial" w:cs="Arial" w:eastAsia="Arial" w:hAnsi="Arial"/>
          <w:sz w:val="13"/>
          <w:szCs w:val="13"/>
          <w:color w:val="auto"/>
        </w:rPr>
        <w:t>Upon any such assumption, the person so assuming the Company’s obligations under the Indenture and the Notes of such series will succeed to, and be substituted for, and may exercise any right and power of, the Company under such Notes and the Indenture with the same effect as if such person had been the issuer thereof, and the Company will be released from its liability as obligor under such Notes. An Officer’s Certificate and an opinion of counsel will be delivered to the Trustee, which will serve as conclusive evidence of compliance with these provisions.</w:t>
      </w:r>
    </w:p>
    <w:p>
      <w:pPr>
        <w:spacing w:after="0" w:line="131" w:lineRule="exact"/>
        <w:rPr>
          <w:sz w:val="20"/>
          <w:szCs w:val="20"/>
          <w:color w:val="auto"/>
        </w:rPr>
      </w:pPr>
    </w:p>
    <w:p>
      <w:pPr>
        <w:ind w:left="420" w:right="439" w:firstLine="327"/>
        <w:spacing w:after="0" w:line="247" w:lineRule="auto"/>
        <w:rPr>
          <w:sz w:val="20"/>
          <w:szCs w:val="20"/>
          <w:color w:val="auto"/>
        </w:rPr>
      </w:pPr>
      <w:r>
        <w:rPr>
          <w:rFonts w:ascii="Arial" w:cs="Arial" w:eastAsia="Arial" w:hAnsi="Arial"/>
          <w:sz w:val="13"/>
          <w:szCs w:val="13"/>
          <w:color w:val="auto"/>
        </w:rPr>
        <w:t>An assumption of the Company’s obligations as the issuer of the Notes of a series by a subsidiary of the Guarantor may be treated for U.S. federal income tax purposes as a taxable exchange of the Notes for new Notes issued by such subsidiary of the Guarantor. In that event, U.S. Holders (as defined in “U.S. Federal Income Tax Considerations”) of such Notes may recognize taxable gain for U.S. federal income tax purposes, generally in an amount equal to the excess (if any) of the “issue price” of the new Notes over their basis in the old Notes, even though such U.S. Holders continue to hold the Notes and receive no distribution in connection with the deemed disposition. Beneficial owners of Notes who are U.S. Holders should consult their tax advisors regarding the non-U.S., U.S. federal, state and local income tax consequences of an assumption of the Company’s obligations as issuer of Notes by a subsidiary of the Guarantor. See “U.S. Federal Income Tax Considerations.”</w:t>
      </w:r>
    </w:p>
    <w:p>
      <w:pPr>
        <w:spacing w:after="0" w:line="134" w:lineRule="exact"/>
        <w:rPr>
          <w:sz w:val="20"/>
          <w:szCs w:val="20"/>
          <w:color w:val="auto"/>
        </w:rPr>
      </w:pPr>
    </w:p>
    <w:p>
      <w:pPr>
        <w:ind w:left="420" w:right="439" w:firstLine="327"/>
        <w:spacing w:after="0" w:line="248" w:lineRule="auto"/>
        <w:rPr>
          <w:sz w:val="20"/>
          <w:szCs w:val="20"/>
          <w:color w:val="auto"/>
        </w:rPr>
      </w:pPr>
      <w:r>
        <w:rPr>
          <w:rFonts w:ascii="Arial" w:cs="Arial" w:eastAsia="Arial" w:hAnsi="Arial"/>
          <w:sz w:val="13"/>
          <w:szCs w:val="13"/>
          <w:color w:val="auto"/>
        </w:rPr>
        <w:t>Pursuant to the Indenture, the Trustee will notify holders of an assumption of the Company’s obligations as the issuer of the Notes by a subsidiary of the Guarantor. Upon an assumption treated as a taxable exchange, such subsidiary will be required under U.S. federal income tax law to determine whether the Notes or the new Notes are “traded on an established market” for purposes of determining the “issue price” of the new Notes for U.S. federal income tax purposes. If such subsidiary determines that either the Notes or the new Notes are “traded on an established market,” then it will make available to holders on the Guarantor’s website (www.slb.com) within 90 days after an assumption its determination that the Notes or the new Notes are “traded on an established market” for these purposes and the “issue price” of the new Notes. The information on or accessible through the Guarantor’s website is not incorporated herein by reference.</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Events of Default</w:t>
      </w:r>
    </w:p>
    <w:p>
      <w:pPr>
        <w:spacing w:after="0" w:line="83" w:lineRule="exact"/>
        <w:rPr>
          <w:sz w:val="20"/>
          <w:szCs w:val="20"/>
          <w:color w:val="auto"/>
        </w:rPr>
      </w:pPr>
    </w:p>
    <w:p>
      <w:pPr>
        <w:ind w:left="740"/>
        <w:spacing w:after="0"/>
        <w:rPr>
          <w:sz w:val="20"/>
          <w:szCs w:val="20"/>
          <w:color w:val="auto"/>
        </w:rPr>
      </w:pPr>
      <w:r>
        <w:rPr>
          <w:rFonts w:ascii="Arial" w:cs="Arial" w:eastAsia="Arial" w:hAnsi="Arial"/>
          <w:sz w:val="13"/>
          <w:szCs w:val="13"/>
          <w:color w:val="auto"/>
        </w:rPr>
        <w:t>The following are “Events of Default” with respect to a series of Notes:</w:t>
      </w:r>
    </w:p>
    <w:p>
      <w:pPr>
        <w:spacing w:after="0" w:line="91" w:lineRule="exact"/>
        <w:rPr>
          <w:sz w:val="20"/>
          <w:szCs w:val="20"/>
          <w:color w:val="auto"/>
        </w:rPr>
      </w:pPr>
    </w:p>
    <w:p>
      <w:pPr>
        <w:ind w:left="1140" w:right="719" w:hanging="328"/>
        <w:spacing w:after="0" w:line="282" w:lineRule="auto"/>
        <w:tabs>
          <w:tab w:leader="none" w:pos="11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Company’s failure to pay any interest on the Notes of such series within 30 days after such interest becomes due and payable;</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S-21</w:t>
      </w:r>
    </w:p>
    <w:p>
      <w:pPr>
        <w:sectPr>
          <w:pgSz w:w="11900" w:h="16838" w:orient="portrait"/>
          <w:cols w:equalWidth="0" w:num="1">
            <w:col w:w="9019"/>
          </w:cols>
          <w:pgMar w:left="1440" w:top="237" w:right="1440" w:bottom="1440" w:gutter="0" w:footer="0" w:header="0"/>
        </w:sectPr>
      </w:pPr>
    </w:p>
    <w:bookmarkStart w:id="26" w:name="page27"/>
    <w:bookmarkEnd w:id="26"/>
    <w:p>
      <w:pPr>
        <w:ind w:left="1140" w:right="539" w:hanging="328"/>
        <w:spacing w:after="0" w:line="282" w:lineRule="auto"/>
        <w:tabs>
          <w:tab w:leader="none" w:pos="1140" w:val="left"/>
        </w:tabs>
        <w:numPr>
          <w:ilvl w:val="0"/>
          <w:numId w:val="13"/>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the Company’s failure to pay principal of the Notes of such series at maturity, or if applicable, the redemption price, when the same become due and payable;</w:t>
      </w:r>
    </w:p>
    <w:p>
      <w:pPr>
        <w:spacing w:after="0" w:line="39" w:lineRule="exact"/>
        <w:rPr>
          <w:rFonts w:ascii="Arial" w:cs="Arial" w:eastAsia="Arial" w:hAnsi="Arial"/>
          <w:sz w:val="13"/>
          <w:szCs w:val="13"/>
          <w:color w:val="auto"/>
        </w:rPr>
      </w:pPr>
    </w:p>
    <w:p>
      <w:pPr>
        <w:ind w:left="1140" w:right="439" w:hanging="328"/>
        <w:spacing w:after="0" w:line="255" w:lineRule="auto"/>
        <w:tabs>
          <w:tab w:leader="none" w:pos="11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Company’s failure to comply with any of its covenants or agreements in such series of Notes or the Indenture (other than an agreement or covenant that the Company has included in the Indenture solely for the benefit of another series of debt securities that does not constitute part of such series of Notes) for 90 days after written notice by the Trustee or by the holders of at least 25% in principal amount of all outstanding debt securities affected by that failure;</w:t>
      </w:r>
    </w:p>
    <w:p>
      <w:pPr>
        <w:spacing w:after="0" w:line="56" w:lineRule="exact"/>
        <w:rPr>
          <w:rFonts w:ascii="Arial" w:cs="Arial" w:eastAsia="Arial" w:hAnsi="Arial"/>
          <w:sz w:val="13"/>
          <w:szCs w:val="13"/>
          <w:color w:val="auto"/>
        </w:rPr>
      </w:pPr>
    </w:p>
    <w:p>
      <w:pPr>
        <w:ind w:left="1140" w:right="719" w:hanging="328"/>
        <w:spacing w:after="0" w:line="255" w:lineRule="auto"/>
        <w:tabs>
          <w:tab w:leader="none" w:pos="11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except as permitted by the Indenture, the Guarantee of such series of Notes is held in any judicial proceeding to be unenforceable or invalid or ceases for any reason to be in full force and effect, or the Guarantor, or any authorized person acting on behalf of the Guarantor, denies or disaffirms the Guarantor’s obligations under its Guarantee of such series of Notes; and</w:t>
      </w:r>
    </w:p>
    <w:p>
      <w:pPr>
        <w:spacing w:after="0" w:line="56" w:lineRule="exact"/>
        <w:rPr>
          <w:rFonts w:ascii="Arial" w:cs="Arial" w:eastAsia="Arial" w:hAnsi="Arial"/>
          <w:sz w:val="13"/>
          <w:szCs w:val="13"/>
          <w:color w:val="auto"/>
        </w:rPr>
      </w:pPr>
    </w:p>
    <w:p>
      <w:pPr>
        <w:ind w:left="1140" w:hanging="328"/>
        <w:spacing w:after="0"/>
        <w:tabs>
          <w:tab w:leader="none" w:pos="11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certain events involving bankruptcy, insolvency or reorganization of the Company or the Guarantor.</w:t>
      </w:r>
    </w:p>
    <w:p>
      <w:pPr>
        <w:spacing w:after="0" w:line="162" w:lineRule="exact"/>
        <w:rPr>
          <w:sz w:val="20"/>
          <w:szCs w:val="20"/>
          <w:color w:val="auto"/>
        </w:rPr>
      </w:pPr>
    </w:p>
    <w:p>
      <w:pPr>
        <w:ind w:left="420" w:right="479" w:firstLine="327"/>
        <w:spacing w:after="0" w:line="255" w:lineRule="auto"/>
        <w:rPr>
          <w:sz w:val="20"/>
          <w:szCs w:val="20"/>
          <w:color w:val="auto"/>
        </w:rPr>
      </w:pPr>
      <w:r>
        <w:rPr>
          <w:rFonts w:ascii="Arial" w:cs="Arial" w:eastAsia="Arial" w:hAnsi="Arial"/>
          <w:sz w:val="13"/>
          <w:szCs w:val="13"/>
          <w:color w:val="auto"/>
        </w:rPr>
        <w:t>A default under one series of Notes or another series of debt securities issued under the Indenture will not necessarily be a default under another series of debt securities under the Indenture. The Trustee may withhold notice to the holders of a series of Notes issued under such Indenture of any default or Event of Default relating to such series of Notes (except in any payment on such series of Notes) if the Trustee considers it in the interest of the holders of such Notes to do so.</w:t>
      </w:r>
    </w:p>
    <w:p>
      <w:pPr>
        <w:spacing w:after="0" w:line="127" w:lineRule="exact"/>
        <w:rPr>
          <w:sz w:val="20"/>
          <w:szCs w:val="20"/>
          <w:color w:val="auto"/>
        </w:rPr>
      </w:pPr>
    </w:p>
    <w:p>
      <w:pPr>
        <w:ind w:left="420" w:right="439" w:firstLine="327"/>
        <w:spacing w:after="0" w:line="247" w:lineRule="auto"/>
        <w:rPr>
          <w:sz w:val="20"/>
          <w:szCs w:val="20"/>
          <w:color w:val="auto"/>
        </w:rPr>
      </w:pPr>
      <w:r>
        <w:rPr>
          <w:rFonts w:ascii="Arial" w:cs="Arial" w:eastAsia="Arial" w:hAnsi="Arial"/>
          <w:sz w:val="13"/>
          <w:szCs w:val="13"/>
          <w:color w:val="auto"/>
        </w:rPr>
        <w:t>If an Event of Default for a series of Notes occurs and is continuing, the Trustee or the holders of at least 25% in principal amount of the outstanding Notes of such series (or, in some cases, 25% in principal amount of all outstanding debt securities under the Indenture affected, voting as one class) may require the Company to pay immediately the principal amount plus accrued and unpaid interest on such series of Notes. If an Event of Default relating to certain events of bankruptcy, insolvency or reorganization occurs with respect to the Company or the Guarantor, the principal amount plus accrued and unpaid interest on the Notes will become immediately due and payable without any action on the part of the Trustee or any holder. The holders of a majority in principal amount of the outstanding Notes of such series (or of all outstanding debt securities under the Indenture affected, voting as one class) may in some cases rescind this accelerated payment requirement.</w:t>
      </w:r>
    </w:p>
    <w:p>
      <w:pPr>
        <w:spacing w:after="0" w:line="134" w:lineRule="exact"/>
        <w:rPr>
          <w:sz w:val="20"/>
          <w:szCs w:val="20"/>
          <w:color w:val="auto"/>
        </w:rPr>
      </w:pPr>
    </w:p>
    <w:p>
      <w:pPr>
        <w:ind w:left="740"/>
        <w:spacing w:after="0"/>
        <w:rPr>
          <w:sz w:val="20"/>
          <w:szCs w:val="20"/>
          <w:color w:val="auto"/>
        </w:rPr>
      </w:pPr>
      <w:r>
        <w:rPr>
          <w:rFonts w:ascii="Arial" w:cs="Arial" w:eastAsia="Arial" w:hAnsi="Arial"/>
          <w:sz w:val="13"/>
          <w:szCs w:val="13"/>
          <w:color w:val="auto"/>
        </w:rPr>
        <w:t>A holder of a series of Notes may pursue any remedy under the Indenture applicable to such Notes only if:</w:t>
      </w:r>
    </w:p>
    <w:p>
      <w:pPr>
        <w:spacing w:after="0" w:line="91" w:lineRule="exact"/>
        <w:rPr>
          <w:sz w:val="20"/>
          <w:szCs w:val="20"/>
          <w:color w:val="auto"/>
        </w:rPr>
      </w:pPr>
    </w:p>
    <w:p>
      <w:pPr>
        <w:ind w:left="1140" w:hanging="328"/>
        <w:spacing w:after="0"/>
        <w:tabs>
          <w:tab w:leader="none" w:pos="11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holder gives the Trustee written notice of a continuing Event of Default for such Notes;</w:t>
      </w:r>
    </w:p>
    <w:p>
      <w:pPr>
        <w:spacing w:after="0" w:line="91" w:lineRule="exact"/>
        <w:rPr>
          <w:rFonts w:ascii="Arial" w:cs="Arial" w:eastAsia="Arial" w:hAnsi="Arial"/>
          <w:sz w:val="13"/>
          <w:szCs w:val="13"/>
          <w:color w:val="auto"/>
        </w:rPr>
      </w:pPr>
    </w:p>
    <w:p>
      <w:pPr>
        <w:ind w:left="1140" w:right="499" w:hanging="328"/>
        <w:spacing w:after="0" w:line="282" w:lineRule="auto"/>
        <w:tabs>
          <w:tab w:leader="none" w:pos="11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holders of at least 25% in principal amount of such outstanding Notes make a written request to the Trustee to pursue the remedy;</w:t>
      </w:r>
    </w:p>
    <w:p>
      <w:pPr>
        <w:spacing w:after="0" w:line="39" w:lineRule="exact"/>
        <w:rPr>
          <w:rFonts w:ascii="Arial" w:cs="Arial" w:eastAsia="Arial" w:hAnsi="Arial"/>
          <w:sz w:val="13"/>
          <w:szCs w:val="13"/>
          <w:color w:val="auto"/>
        </w:rPr>
      </w:pPr>
    </w:p>
    <w:p>
      <w:pPr>
        <w:ind w:left="1140" w:hanging="328"/>
        <w:spacing w:after="0"/>
        <w:tabs>
          <w:tab w:leader="none" w:pos="11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holder furnishes to the Trustee indemnity reasonably satisfactory to the Trustee;</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Trustee fails to act for a period of 60 days after receipt of notice and furnishing of indemnity; and</w:t>
      </w:r>
    </w:p>
    <w:p>
      <w:pPr>
        <w:spacing w:after="0" w:line="91" w:lineRule="exact"/>
        <w:rPr>
          <w:rFonts w:ascii="Arial" w:cs="Arial" w:eastAsia="Arial" w:hAnsi="Arial"/>
          <w:sz w:val="13"/>
          <w:szCs w:val="13"/>
          <w:color w:val="auto"/>
        </w:rPr>
      </w:pPr>
    </w:p>
    <w:p>
      <w:pPr>
        <w:ind w:left="1140" w:right="639" w:hanging="328"/>
        <w:spacing w:after="0" w:line="282" w:lineRule="auto"/>
        <w:tabs>
          <w:tab w:leader="none" w:pos="11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during that 60-day period, the holders of a majority in principal amount of such outstanding Notes do not give the Trustee a direction inconsistent with the request.</w:t>
      </w:r>
    </w:p>
    <w:p>
      <w:pPr>
        <w:spacing w:after="0" w:line="110" w:lineRule="exact"/>
        <w:rPr>
          <w:sz w:val="20"/>
          <w:szCs w:val="20"/>
          <w:color w:val="auto"/>
        </w:rPr>
      </w:pPr>
    </w:p>
    <w:p>
      <w:pPr>
        <w:ind w:left="420" w:right="439" w:firstLine="327"/>
        <w:spacing w:after="0" w:line="282" w:lineRule="auto"/>
        <w:rPr>
          <w:sz w:val="20"/>
          <w:szCs w:val="20"/>
          <w:color w:val="auto"/>
        </w:rPr>
      </w:pPr>
      <w:r>
        <w:rPr>
          <w:rFonts w:ascii="Arial" w:cs="Arial" w:eastAsia="Arial" w:hAnsi="Arial"/>
          <w:sz w:val="13"/>
          <w:szCs w:val="13"/>
          <w:color w:val="auto"/>
        </w:rPr>
        <w:t>This provision does not, however, affect the right of a holder of a series of Notes to sue for enforcement of any overdue payment with respect to such Notes.</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S-22</w:t>
      </w:r>
    </w:p>
    <w:p>
      <w:pPr>
        <w:sectPr>
          <w:pgSz w:w="11900" w:h="16838" w:orient="portrait"/>
          <w:cols w:equalWidth="0" w:num="1">
            <w:col w:w="9019"/>
          </w:cols>
          <w:pgMar w:left="1440" w:top="237" w:right="1440" w:bottom="1440" w:gutter="0" w:footer="0" w:header="0"/>
        </w:sectPr>
      </w:pPr>
    </w:p>
    <w:bookmarkStart w:id="27" w:name="page28"/>
    <w:bookmarkEnd w:id="27"/>
    <w:p>
      <w:pPr>
        <w:ind w:left="420" w:right="559" w:firstLine="327"/>
        <w:spacing w:after="0" w:line="28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5980" cy="31750"/>
                    </a:xfrm>
                    <a:prstGeom prst="rect">
                      <a:avLst/>
                    </a:prstGeom>
                    <a:noFill/>
                  </pic:spPr>
                </pic:pic>
              </a:graphicData>
            </a:graphic>
          </wp:anchor>
        </w:drawing>
        <w:t>In most cases, holders of a majority in principal amount of the outstanding Notes of a particular series issued by the Company may direct the time, method and place of:</w:t>
      </w:r>
    </w:p>
    <w:p>
      <w:pPr>
        <w:spacing w:after="0" w:line="40" w:lineRule="exact"/>
        <w:rPr>
          <w:sz w:val="20"/>
          <w:szCs w:val="20"/>
          <w:color w:val="auto"/>
        </w:rPr>
      </w:pPr>
    </w:p>
    <w:p>
      <w:pPr>
        <w:ind w:left="1140" w:hanging="328"/>
        <w:spacing w:after="0"/>
        <w:tabs>
          <w:tab w:leader="none" w:pos="11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conducting any proceeding for any remedy available to the Trustee with respect to such Notes; and</w:t>
      </w:r>
    </w:p>
    <w:p>
      <w:pPr>
        <w:spacing w:after="0" w:line="91" w:lineRule="exact"/>
        <w:rPr>
          <w:rFonts w:ascii="Arial" w:cs="Arial" w:eastAsia="Arial" w:hAnsi="Arial"/>
          <w:sz w:val="13"/>
          <w:szCs w:val="13"/>
          <w:color w:val="auto"/>
        </w:rPr>
      </w:pPr>
    </w:p>
    <w:p>
      <w:pPr>
        <w:ind w:left="1140" w:right="479" w:hanging="328"/>
        <w:spacing w:after="0" w:line="282" w:lineRule="auto"/>
        <w:tabs>
          <w:tab w:leader="none" w:pos="11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exercising any trust or power conferred on the Trustee not relating to or arising under an Event of Default with respect to such Notes.</w:t>
      </w:r>
    </w:p>
    <w:p>
      <w:pPr>
        <w:spacing w:after="0" w:line="110" w:lineRule="exact"/>
        <w:rPr>
          <w:sz w:val="20"/>
          <w:szCs w:val="20"/>
          <w:color w:val="auto"/>
        </w:rPr>
      </w:pPr>
    </w:p>
    <w:p>
      <w:pPr>
        <w:ind w:left="420" w:right="599" w:firstLine="327"/>
        <w:spacing w:after="0" w:line="282" w:lineRule="auto"/>
        <w:rPr>
          <w:sz w:val="20"/>
          <w:szCs w:val="20"/>
          <w:color w:val="auto"/>
        </w:rPr>
      </w:pPr>
      <w:r>
        <w:rPr>
          <w:rFonts w:ascii="Arial" w:cs="Arial" w:eastAsia="Arial" w:hAnsi="Arial"/>
          <w:sz w:val="13"/>
          <w:szCs w:val="13"/>
          <w:color w:val="auto"/>
        </w:rPr>
        <w:t>The Indenture requires the Company to file with the Trustee each year a written statement as to its compliance with the covenants contained in the Indenture.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Modification and Waiver</w:t>
      </w:r>
    </w:p>
    <w:p>
      <w:pPr>
        <w:spacing w:after="0" w:line="83" w:lineRule="exact"/>
        <w:rPr>
          <w:sz w:val="20"/>
          <w:szCs w:val="20"/>
          <w:color w:val="auto"/>
        </w:rPr>
      </w:pPr>
    </w:p>
    <w:p>
      <w:pPr>
        <w:ind w:left="420" w:right="459" w:firstLine="327"/>
        <w:spacing w:after="0" w:line="246" w:lineRule="auto"/>
        <w:rPr>
          <w:sz w:val="20"/>
          <w:szCs w:val="20"/>
          <w:color w:val="auto"/>
        </w:rPr>
      </w:pPr>
      <w:r>
        <w:rPr>
          <w:rFonts w:ascii="Arial" w:cs="Arial" w:eastAsia="Arial" w:hAnsi="Arial"/>
          <w:sz w:val="13"/>
          <w:szCs w:val="13"/>
          <w:color w:val="auto"/>
        </w:rPr>
        <w:t>Except as provided in the next two succeeding paragraphs, the Indenture or the Notes of a series or the related Guarantee may be amended or supplemented, and waivers may be obtained, with the consent of the holders of at least a majority in aggregate principal amount of the outstanding Notes of such series (including, without limitation, additional Notes of such series,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of a series or the related Guarantee may be waived with the consent of the holders of a majority in aggregate principal amount of the outstanding Notes of such series (including, without limitation, additional Notes of such series, if any) voting as a single class (including, without limitation, consents obtained in connection with a tender offer or exchange offer for, or purchase of, such Notes).</w:t>
      </w:r>
    </w:p>
    <w:p>
      <w:pPr>
        <w:spacing w:after="0" w:line="133" w:lineRule="exact"/>
        <w:rPr>
          <w:sz w:val="20"/>
          <w:szCs w:val="20"/>
          <w:color w:val="auto"/>
        </w:rPr>
      </w:pPr>
    </w:p>
    <w:p>
      <w:pPr>
        <w:ind w:left="420" w:right="599" w:firstLine="327"/>
        <w:spacing w:after="0" w:line="282" w:lineRule="auto"/>
        <w:rPr>
          <w:sz w:val="20"/>
          <w:szCs w:val="20"/>
          <w:color w:val="auto"/>
        </w:rPr>
      </w:pPr>
      <w:r>
        <w:rPr>
          <w:rFonts w:ascii="Arial" w:cs="Arial" w:eastAsia="Arial" w:hAnsi="Arial"/>
          <w:sz w:val="13"/>
          <w:szCs w:val="13"/>
          <w:color w:val="auto"/>
        </w:rPr>
        <w:t>Without the consent of each holder of Notes of the relevant series affected thereby, an amendment, supplement or waiver may not (with respect to any Notes of such series held by a non-consenting holder):</w:t>
      </w:r>
    </w:p>
    <w:p>
      <w:pPr>
        <w:spacing w:after="0" w:line="40" w:lineRule="exact"/>
        <w:rPr>
          <w:sz w:val="20"/>
          <w:szCs w:val="20"/>
          <w:color w:val="auto"/>
        </w:rPr>
      </w:pPr>
    </w:p>
    <w:p>
      <w:pPr>
        <w:ind w:left="1140" w:hanging="328"/>
        <w:spacing w:after="0"/>
        <w:tabs>
          <w:tab w:leader="none" w:pos="11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reduce the amount of Notes of such series whose holders must consent to an amendment, supplement or waiver;</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reduce the rate of or change the time for payment of interest on the Notes of such series;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reduce the principal or change the stated maturity of the Notes of such series;</w:t>
      </w:r>
    </w:p>
    <w:p>
      <w:pPr>
        <w:spacing w:after="0" w:line="91" w:lineRule="exact"/>
        <w:rPr>
          <w:rFonts w:ascii="Arial" w:cs="Arial" w:eastAsia="Arial" w:hAnsi="Arial"/>
          <w:sz w:val="13"/>
          <w:szCs w:val="13"/>
          <w:color w:val="auto"/>
        </w:rPr>
      </w:pPr>
    </w:p>
    <w:p>
      <w:pPr>
        <w:ind w:left="1140" w:right="679" w:hanging="328"/>
        <w:spacing w:after="0" w:line="282" w:lineRule="auto"/>
        <w:tabs>
          <w:tab w:leader="none" w:pos="11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reduce any premium payable on the redemption of the Notes of such series or change the time at which the Notes of such series may or must be redeemed;</w:t>
      </w:r>
    </w:p>
    <w:p>
      <w:pPr>
        <w:spacing w:after="0" w:line="39" w:lineRule="exact"/>
        <w:rPr>
          <w:rFonts w:ascii="Arial" w:cs="Arial" w:eastAsia="Arial" w:hAnsi="Arial"/>
          <w:sz w:val="13"/>
          <w:szCs w:val="13"/>
          <w:color w:val="auto"/>
        </w:rPr>
      </w:pPr>
    </w:p>
    <w:p>
      <w:pPr>
        <w:ind w:left="1140" w:hanging="328"/>
        <w:spacing w:after="0"/>
        <w:tabs>
          <w:tab w:leader="none" w:pos="11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 any obligation to pay Additional Amounts on the Notes of such series;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make payments on the Notes of such series payable in currency other than as originally stated in the Notes of such series;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impair the holder’s right to institute suit for the enforcement of any payment on the Notes of such series;</w:t>
      </w:r>
    </w:p>
    <w:p>
      <w:pPr>
        <w:spacing w:after="0" w:line="91" w:lineRule="exact"/>
        <w:rPr>
          <w:rFonts w:ascii="Arial" w:cs="Arial" w:eastAsia="Arial" w:hAnsi="Arial"/>
          <w:sz w:val="13"/>
          <w:szCs w:val="13"/>
          <w:color w:val="auto"/>
        </w:rPr>
      </w:pPr>
    </w:p>
    <w:p>
      <w:pPr>
        <w:ind w:left="1140" w:right="719" w:hanging="328"/>
        <w:spacing w:after="0" w:line="262" w:lineRule="auto"/>
        <w:tabs>
          <w:tab w:leader="none" w:pos="11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make any change in the percentage of principal amount of the Notes of such series necessary to waive compliance with certain provisions of the Indenture the Notes of such series were issued under or to make any change in this provision for modification; or</w:t>
      </w:r>
    </w:p>
    <w:p>
      <w:pPr>
        <w:spacing w:after="0" w:line="52" w:lineRule="exact"/>
        <w:rPr>
          <w:rFonts w:ascii="Arial" w:cs="Arial" w:eastAsia="Arial" w:hAnsi="Arial"/>
          <w:sz w:val="13"/>
          <w:szCs w:val="13"/>
          <w:color w:val="auto"/>
        </w:rPr>
      </w:pPr>
    </w:p>
    <w:p>
      <w:pPr>
        <w:ind w:left="1140" w:hanging="328"/>
        <w:spacing w:after="0"/>
        <w:tabs>
          <w:tab w:leader="none" w:pos="11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waive a continuing default or Event of Default regarding any payment on the Notes of such series.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S-23</w:t>
      </w:r>
    </w:p>
    <w:p>
      <w:pPr>
        <w:sectPr>
          <w:pgSz w:w="11900" w:h="16838" w:orient="portrait"/>
          <w:cols w:equalWidth="0" w:num="1">
            <w:col w:w="9019"/>
          </w:cols>
          <w:pgMar w:left="1440" w:top="237" w:right="1440" w:bottom="1440" w:gutter="0" w:footer="0" w:header="0"/>
        </w:sectPr>
      </w:pPr>
    </w:p>
    <w:bookmarkStart w:id="28" w:name="page29"/>
    <w:bookmarkEnd w:id="28"/>
    <w:p>
      <w:pPr>
        <w:ind w:left="420" w:right="479" w:firstLine="327"/>
        <w:spacing w:after="0" w:line="26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5980" cy="31750"/>
                    </a:xfrm>
                    <a:prstGeom prst="rect">
                      <a:avLst/>
                    </a:prstGeom>
                    <a:noFill/>
                  </pic:spPr>
                </pic:pic>
              </a:graphicData>
            </a:graphic>
          </wp:anchor>
        </w:drawing>
        <w:t>Notwithstanding the preceding, without the consent of any holder of Notes of the applicable series, the Company, the Guarantor and the Trustee may amend or supplement the Indenture or the Notes of such series or the related Guarantee in certain circumstances, including:</w:t>
      </w:r>
    </w:p>
    <w:p>
      <w:pPr>
        <w:spacing w:after="0" w:line="52" w:lineRule="exact"/>
        <w:rPr>
          <w:sz w:val="20"/>
          <w:szCs w:val="20"/>
          <w:color w:val="auto"/>
        </w:rPr>
      </w:pPr>
    </w:p>
    <w:p>
      <w:pPr>
        <w:ind w:left="1140" w:hanging="328"/>
        <w:spacing w:after="0"/>
        <w:tabs>
          <w:tab w:leader="none" w:pos="11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 cure any ambiguity, omission, defect or inconsistency;</w:t>
      </w:r>
    </w:p>
    <w:p>
      <w:pPr>
        <w:spacing w:after="0" w:line="91" w:lineRule="exact"/>
        <w:rPr>
          <w:rFonts w:ascii="Arial" w:cs="Arial" w:eastAsia="Arial" w:hAnsi="Arial"/>
          <w:sz w:val="13"/>
          <w:szCs w:val="13"/>
          <w:color w:val="auto"/>
        </w:rPr>
      </w:pPr>
    </w:p>
    <w:p>
      <w:pPr>
        <w:ind w:left="1140" w:right="579" w:hanging="328"/>
        <w:spacing w:after="0" w:line="251" w:lineRule="auto"/>
        <w:tabs>
          <w:tab w:leader="none" w:pos="11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 provide for the assumption of the Company’s or the Guarantor’s obligations under the Indenture, and such Notes or such Guarantee, as applicable, by a successor upon any merger, consolidation or asset transfer in accordance with the requirements under “—Consolidation, Merger and Sale of Assets” or to provide for the assumption of the Company’s obligations under the Indenture and such Notes by a subsidiary of the Guarantor in accordance with the requirements under “—Assumption by a Subsidiary” above;</w:t>
      </w:r>
    </w:p>
    <w:p>
      <w:pPr>
        <w:spacing w:after="0" w:line="61" w:lineRule="exact"/>
        <w:rPr>
          <w:rFonts w:ascii="Arial" w:cs="Arial" w:eastAsia="Arial" w:hAnsi="Arial"/>
          <w:sz w:val="13"/>
          <w:szCs w:val="13"/>
          <w:color w:val="auto"/>
        </w:rPr>
      </w:pPr>
    </w:p>
    <w:p>
      <w:pPr>
        <w:ind w:left="1140" w:hanging="328"/>
        <w:spacing w:after="0"/>
        <w:tabs>
          <w:tab w:leader="none" w:pos="11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 provide for uncertificated Notes of such series in addition to or in place of certificated Notes of such series;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 provide any security for or guarantees of the Notes of such series or for the addition of an additional obligor on such Notes;</w:t>
      </w:r>
    </w:p>
    <w:p>
      <w:pPr>
        <w:spacing w:after="0" w:line="91" w:lineRule="exact"/>
        <w:rPr>
          <w:rFonts w:ascii="Arial" w:cs="Arial" w:eastAsia="Arial" w:hAnsi="Arial"/>
          <w:sz w:val="13"/>
          <w:szCs w:val="13"/>
          <w:color w:val="auto"/>
        </w:rPr>
      </w:pPr>
    </w:p>
    <w:p>
      <w:pPr>
        <w:ind w:left="1140" w:right="599" w:hanging="328"/>
        <w:spacing w:after="0" w:line="282" w:lineRule="auto"/>
        <w:tabs>
          <w:tab w:leader="none" w:pos="11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 comply with any requirement to effect or maintain the qualification of the Indenture under the Trust Indenture Act of 1939, as amended (the “Trust Indenture Act”), if applicable;</w:t>
      </w:r>
    </w:p>
    <w:p>
      <w:pPr>
        <w:spacing w:after="0" w:line="39" w:lineRule="exact"/>
        <w:rPr>
          <w:rFonts w:ascii="Arial" w:cs="Arial" w:eastAsia="Arial" w:hAnsi="Arial"/>
          <w:sz w:val="13"/>
          <w:szCs w:val="13"/>
          <w:color w:val="auto"/>
        </w:rPr>
      </w:pPr>
    </w:p>
    <w:p>
      <w:pPr>
        <w:ind w:left="1140" w:right="599" w:hanging="328"/>
        <w:spacing w:after="0" w:line="282" w:lineRule="auto"/>
        <w:tabs>
          <w:tab w:leader="none" w:pos="11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 add covenants that would benefit the holders of such series of outstanding Notes or to surrender any rights the Company has under the Indenture;</w:t>
      </w:r>
    </w:p>
    <w:p>
      <w:pPr>
        <w:spacing w:after="0" w:line="39" w:lineRule="exact"/>
        <w:rPr>
          <w:rFonts w:ascii="Arial" w:cs="Arial" w:eastAsia="Arial" w:hAnsi="Arial"/>
          <w:sz w:val="13"/>
          <w:szCs w:val="13"/>
          <w:color w:val="auto"/>
        </w:rPr>
      </w:pPr>
    </w:p>
    <w:p>
      <w:pPr>
        <w:ind w:left="1140" w:right="519" w:hanging="328"/>
        <w:spacing w:after="0" w:line="262" w:lineRule="auto"/>
        <w:tabs>
          <w:tab w:leader="none" w:pos="11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 change or eliminate any of the provisions of the Indenture, provided that any such change or elimination will not become effective with respect to such Notes or any other series of debt securities created prior to the execution of such supplemental indenture which is entitled to the benefit of such provision;</w:t>
      </w:r>
    </w:p>
    <w:p>
      <w:pPr>
        <w:spacing w:after="0" w:line="52" w:lineRule="exact"/>
        <w:rPr>
          <w:rFonts w:ascii="Arial" w:cs="Arial" w:eastAsia="Arial" w:hAnsi="Arial"/>
          <w:sz w:val="13"/>
          <w:szCs w:val="13"/>
          <w:color w:val="auto"/>
        </w:rPr>
      </w:pPr>
    </w:p>
    <w:p>
      <w:pPr>
        <w:ind w:left="1140" w:hanging="328"/>
        <w:spacing w:after="0"/>
        <w:tabs>
          <w:tab w:leader="none" w:pos="11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 provide for the issuance of and establish forms and terms and conditions of a new series of debt securities;</w:t>
      </w:r>
    </w:p>
    <w:p>
      <w:pPr>
        <w:spacing w:after="0" w:line="91" w:lineRule="exact"/>
        <w:rPr>
          <w:rFonts w:ascii="Arial" w:cs="Arial" w:eastAsia="Arial" w:hAnsi="Arial"/>
          <w:sz w:val="13"/>
          <w:szCs w:val="13"/>
          <w:color w:val="auto"/>
        </w:rPr>
      </w:pPr>
    </w:p>
    <w:p>
      <w:pPr>
        <w:ind w:left="1140" w:right="439" w:hanging="328"/>
        <w:spacing w:after="0" w:line="282" w:lineRule="auto"/>
        <w:tabs>
          <w:tab w:leader="none" w:pos="11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 issue additional Notes of such series; provided that such additional Notes have the same terms as, and will be deemed part of the same series as, such Notes to the extent required under the Indenture;</w:t>
      </w:r>
    </w:p>
    <w:p>
      <w:pPr>
        <w:spacing w:after="0" w:line="39" w:lineRule="exact"/>
        <w:rPr>
          <w:rFonts w:ascii="Arial" w:cs="Arial" w:eastAsia="Arial" w:hAnsi="Arial"/>
          <w:sz w:val="13"/>
          <w:szCs w:val="13"/>
          <w:color w:val="auto"/>
        </w:rPr>
      </w:pPr>
    </w:p>
    <w:p>
      <w:pPr>
        <w:ind w:left="1140" w:right="459" w:hanging="328"/>
        <w:spacing w:after="0" w:line="262" w:lineRule="auto"/>
        <w:tabs>
          <w:tab w:leader="none" w:pos="11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 evidence and provide for the acceptance of appointment by a successor trustee with respect to such Notes and to add to or change any of the provisions of the Indenture as are necessary to provide for or facilitate the administration of the trust by more than one trustee;</w:t>
      </w:r>
    </w:p>
    <w:p>
      <w:pPr>
        <w:spacing w:after="0" w:line="52" w:lineRule="exact"/>
        <w:rPr>
          <w:rFonts w:ascii="Arial" w:cs="Arial" w:eastAsia="Arial" w:hAnsi="Arial"/>
          <w:sz w:val="13"/>
          <w:szCs w:val="13"/>
          <w:color w:val="auto"/>
        </w:rPr>
      </w:pPr>
    </w:p>
    <w:p>
      <w:pPr>
        <w:ind w:left="1140" w:hanging="328"/>
        <w:spacing w:after="0"/>
        <w:tabs>
          <w:tab w:leader="none" w:pos="11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 add additional Events of Default with respect to the Notes of such series; and</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 make any change that does not adversely affect any of the outstanding Notes of such series in any material respect.</w:t>
      </w:r>
    </w:p>
    <w:p>
      <w:pPr>
        <w:spacing w:after="0" w:line="240"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Personal Liability of Directors, Officers, Employees, Stockholders and Certain Others</w:t>
      </w:r>
    </w:p>
    <w:p>
      <w:pPr>
        <w:spacing w:after="0" w:line="83" w:lineRule="exact"/>
        <w:rPr>
          <w:sz w:val="20"/>
          <w:szCs w:val="20"/>
          <w:color w:val="auto"/>
        </w:rPr>
      </w:pPr>
    </w:p>
    <w:p>
      <w:pPr>
        <w:ind w:left="420" w:right="479" w:firstLine="327"/>
        <w:spacing w:after="0" w:line="251" w:lineRule="auto"/>
        <w:rPr>
          <w:sz w:val="20"/>
          <w:szCs w:val="20"/>
          <w:color w:val="auto"/>
        </w:rPr>
      </w:pPr>
      <w:r>
        <w:rPr>
          <w:rFonts w:ascii="Arial" w:cs="Arial" w:eastAsia="Arial" w:hAnsi="Arial"/>
          <w:sz w:val="13"/>
          <w:szCs w:val="13"/>
          <w:color w:val="auto"/>
        </w:rPr>
        <w:t>No director, officer, employee, incorporator or similar founder, stockholder or member of the Company or the Guarantor, as such, will have any liability for any obligations of the Company or the Guarantor under the Notes, the Indenture or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Defeasance</w:t>
      </w:r>
    </w:p>
    <w:p>
      <w:pPr>
        <w:spacing w:after="0" w:line="83" w:lineRule="exact"/>
        <w:rPr>
          <w:sz w:val="20"/>
          <w:szCs w:val="20"/>
          <w:color w:val="auto"/>
        </w:rPr>
      </w:pPr>
    </w:p>
    <w:p>
      <w:pPr>
        <w:ind w:left="420" w:right="559" w:firstLine="327"/>
        <w:spacing w:after="0" w:line="282" w:lineRule="auto"/>
        <w:rPr>
          <w:sz w:val="20"/>
          <w:szCs w:val="20"/>
          <w:color w:val="auto"/>
        </w:rPr>
      </w:pPr>
      <w:r>
        <w:rPr>
          <w:rFonts w:ascii="Arial" w:cs="Arial" w:eastAsia="Arial" w:hAnsi="Arial"/>
          <w:sz w:val="13"/>
          <w:szCs w:val="13"/>
          <w:color w:val="auto"/>
        </w:rPr>
        <w:t>The term defeasance means the discharge of the Company from some or all of its obligations under the Indenture with respect to a series of Notes. If the Company deposits with the Trustee funds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S-24</w:t>
      </w:r>
    </w:p>
    <w:p>
      <w:pPr>
        <w:sectPr>
          <w:pgSz w:w="11900" w:h="16838" w:orient="portrait"/>
          <w:cols w:equalWidth="0" w:num="1">
            <w:col w:w="9019"/>
          </w:cols>
          <w:pgMar w:left="1440" w:top="237" w:right="1440" w:bottom="1440" w:gutter="0" w:footer="0" w:header="0"/>
        </w:sectPr>
      </w:pPr>
    </w:p>
    <w:bookmarkStart w:id="29" w:name="page30"/>
    <w:bookmarkEnd w:id="29"/>
    <w:p>
      <w:pPr>
        <w:ind w:left="420" w:right="559"/>
        <w:spacing w:after="0" w:line="28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5980" cy="31750"/>
                    </a:xfrm>
                    <a:prstGeom prst="rect">
                      <a:avLst/>
                    </a:prstGeom>
                    <a:noFill/>
                  </pic:spPr>
                </pic:pic>
              </a:graphicData>
            </a:graphic>
          </wp:anchor>
        </w:drawing>
        <w:t>and/or Government Obligations sufficient to make payments on a series of Notes on the dates those payments are due and payable and satisfies certain other requirements, then, at the Company’s option, either of the following will occur:</w:t>
      </w:r>
    </w:p>
    <w:p>
      <w:pPr>
        <w:spacing w:after="0" w:line="40" w:lineRule="exact"/>
        <w:rPr>
          <w:sz w:val="20"/>
          <w:szCs w:val="20"/>
          <w:color w:val="auto"/>
        </w:rPr>
      </w:pPr>
    </w:p>
    <w:p>
      <w:pPr>
        <w:ind w:left="1140" w:right="619" w:hanging="328"/>
        <w:spacing w:after="0" w:line="282" w:lineRule="auto"/>
        <w:tabs>
          <w:tab w:leader="none" w:pos="11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it will be discharged from its obligations with respect to such series of Notes, except as described in the second succeeding paragraph below (“legal defeasance”); or</w:t>
      </w:r>
    </w:p>
    <w:p>
      <w:pPr>
        <w:spacing w:after="0" w:line="39" w:lineRule="exact"/>
        <w:rPr>
          <w:rFonts w:ascii="Arial" w:cs="Arial" w:eastAsia="Arial" w:hAnsi="Arial"/>
          <w:sz w:val="13"/>
          <w:szCs w:val="13"/>
          <w:color w:val="auto"/>
        </w:rPr>
      </w:pPr>
    </w:p>
    <w:p>
      <w:pPr>
        <w:ind w:left="1140" w:right="559" w:hanging="328"/>
        <w:spacing w:after="0" w:line="255" w:lineRule="auto"/>
        <w:tabs>
          <w:tab w:leader="none" w:pos="11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it and the Guarantor will no longer have any obligation to comply with the covenants described under “—Limitation on Liens” and “—Consolidation, Merger and Sale of Assets” with respect to such series of Notes (the “defeased covenants”) and the failure to comply with the defeased covenants would not constitute an Event of Default with respect to such series of Notes (“covenant defeasance”).</w:t>
      </w:r>
    </w:p>
    <w:p>
      <w:pPr>
        <w:spacing w:after="0" w:line="127" w:lineRule="exact"/>
        <w:rPr>
          <w:sz w:val="20"/>
          <w:szCs w:val="20"/>
          <w:color w:val="auto"/>
        </w:rPr>
      </w:pPr>
    </w:p>
    <w:p>
      <w:pPr>
        <w:ind w:left="420" w:right="639" w:firstLine="327"/>
        <w:spacing w:after="0" w:line="282" w:lineRule="auto"/>
        <w:rPr>
          <w:sz w:val="20"/>
          <w:szCs w:val="20"/>
          <w:color w:val="auto"/>
        </w:rPr>
      </w:pPr>
      <w:r>
        <w:rPr>
          <w:rFonts w:ascii="Arial" w:cs="Arial" w:eastAsia="Arial" w:hAnsi="Arial"/>
          <w:sz w:val="13"/>
          <w:szCs w:val="13"/>
          <w:color w:val="auto"/>
        </w:rPr>
        <w:t>We may exercise our legal defeasance option with respect to a series of Notes notwithstanding our prior exercise of our covenant defeasance option with respect to such series of Notes.</w:t>
      </w:r>
    </w:p>
    <w:p>
      <w:pPr>
        <w:spacing w:after="0" w:line="110" w:lineRule="exact"/>
        <w:rPr>
          <w:sz w:val="20"/>
          <w:szCs w:val="20"/>
          <w:color w:val="auto"/>
        </w:rPr>
      </w:pPr>
    </w:p>
    <w:p>
      <w:pPr>
        <w:ind w:left="420" w:right="439" w:firstLine="327"/>
        <w:spacing w:after="0" w:line="248" w:lineRule="auto"/>
        <w:rPr>
          <w:sz w:val="20"/>
          <w:szCs w:val="20"/>
          <w:color w:val="auto"/>
        </w:rPr>
      </w:pPr>
      <w:r>
        <w:rPr>
          <w:rFonts w:ascii="Arial" w:cs="Arial" w:eastAsia="Arial" w:hAnsi="Arial"/>
          <w:sz w:val="13"/>
          <w:szCs w:val="13"/>
          <w:color w:val="auto"/>
        </w:rPr>
        <w:t>If we exercise our legal defeasance option with respect to a series of Notes, the Company and the Guarantor will be deemed to have paid and discharged the entire indebtedness represented by such outstanding Notes and the applicable Guarantee, and to have satisfied all other obligations under such Notes, the applicable Guarantee and the Indenture with respect to such series of Notes, except as to</w:t>
      </w:r>
    </w:p>
    <w:p>
      <w:pPr>
        <w:jc w:val="both"/>
        <w:ind w:left="420" w:right="659" w:hanging="10"/>
        <w:spacing w:after="0" w:line="252" w:lineRule="auto"/>
        <w:tabs>
          <w:tab w:leader="none" w:pos="576"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Company’s obligations to register the transfer or exchange of such Notes, replace stolen, lost or mutilated Notes, pay Additional Amounts, maintain paying agencies, and hold moneys for payment in trust, and (ii) the obligation of the Company and the Guarantor to compensate and indemnify the Trustee.</w:t>
      </w:r>
    </w:p>
    <w:p>
      <w:pPr>
        <w:spacing w:after="0" w:line="129" w:lineRule="exact"/>
        <w:rPr>
          <w:sz w:val="20"/>
          <w:szCs w:val="20"/>
          <w:color w:val="auto"/>
        </w:rPr>
      </w:pPr>
    </w:p>
    <w:p>
      <w:pPr>
        <w:ind w:left="420" w:right="439" w:firstLine="327"/>
        <w:spacing w:after="0" w:line="249" w:lineRule="auto"/>
        <w:rPr>
          <w:sz w:val="20"/>
          <w:szCs w:val="20"/>
          <w:color w:val="auto"/>
        </w:rPr>
      </w:pPr>
      <w:r>
        <w:rPr>
          <w:rFonts w:ascii="Arial" w:cs="Arial" w:eastAsia="Arial" w:hAnsi="Arial"/>
          <w:sz w:val="13"/>
          <w:szCs w:val="13"/>
          <w:color w:val="auto"/>
        </w:rPr>
        <w:t>If we exercise our covenant defeasance option with respect to a series of Notes, the Company and the Guarantor will no longer have any obligation to comply with the defeased covenants with respect to such Notes, and the failure to comply with the defeased covenants would not constitute an Event of Default with respect to such series of Notes. Except as specified in the Indenture, however, the remainder of the Indenture and such series of Notes will be unaffected by the occurrence of covenant defeasance, and such Notes will continue to be deemed “outstanding” for all other purposes under the Indenture other than for the purposes of any direction, waiver, consent or declaration or act of holders (and the consequences of any thereof) in connection with any of the defeased covenants.</w:t>
      </w:r>
    </w:p>
    <w:p>
      <w:pPr>
        <w:spacing w:after="0" w:line="133" w:lineRule="exact"/>
        <w:rPr>
          <w:sz w:val="20"/>
          <w:szCs w:val="20"/>
          <w:color w:val="auto"/>
        </w:rPr>
      </w:pPr>
    </w:p>
    <w:p>
      <w:pPr>
        <w:ind w:left="420" w:right="639" w:firstLine="327"/>
        <w:spacing w:after="0" w:line="251" w:lineRule="auto"/>
        <w:rPr>
          <w:sz w:val="20"/>
          <w:szCs w:val="20"/>
          <w:color w:val="auto"/>
        </w:rPr>
      </w:pPr>
      <w:r>
        <w:rPr>
          <w:rFonts w:ascii="Arial" w:cs="Arial" w:eastAsia="Arial" w:hAnsi="Arial"/>
          <w:sz w:val="13"/>
          <w:szCs w:val="13"/>
          <w:color w:val="auto"/>
        </w:rPr>
        <w:t>In addition to the other requirements, we will be required to deliver to the Trustee an opinion of counsel or a tax ruling to the effect that the deposit and related defeasance would not cause the beneficial owners of the Notes to recognize income, gain or loss for</w:t>
      </w:r>
    </w:p>
    <w:p>
      <w:pPr>
        <w:ind w:left="420" w:right="559"/>
        <w:spacing w:after="0" w:line="263" w:lineRule="auto"/>
        <w:rPr>
          <w:sz w:val="20"/>
          <w:szCs w:val="20"/>
          <w:color w:val="auto"/>
        </w:rPr>
      </w:pPr>
      <w:r>
        <w:rPr>
          <w:rFonts w:ascii="Arial" w:cs="Arial" w:eastAsia="Arial" w:hAnsi="Arial"/>
          <w:sz w:val="13"/>
          <w:szCs w:val="13"/>
          <w:color w:val="auto"/>
        </w:rPr>
        <w:t>U.S. federal income tax purposes. If the Company elects legal defeasance, that opinion of counsel must be based upon a ruling from the U.S. Internal Revenue Service (or successor agency) or changes in law to that effect.</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Concerning the Trustee</w:t>
      </w:r>
    </w:p>
    <w:p>
      <w:pPr>
        <w:spacing w:after="0" w:line="83" w:lineRule="exact"/>
        <w:rPr>
          <w:sz w:val="20"/>
          <w:szCs w:val="20"/>
          <w:color w:val="auto"/>
        </w:rPr>
      </w:pPr>
    </w:p>
    <w:p>
      <w:pPr>
        <w:ind w:left="420" w:right="479" w:firstLine="327"/>
        <w:spacing w:after="0" w:line="282" w:lineRule="auto"/>
        <w:rPr>
          <w:sz w:val="20"/>
          <w:szCs w:val="20"/>
          <w:color w:val="auto"/>
        </w:rPr>
      </w:pPr>
      <w:r>
        <w:rPr>
          <w:rFonts w:ascii="Arial" w:cs="Arial" w:eastAsia="Arial" w:hAnsi="Arial"/>
          <w:sz w:val="13"/>
          <w:szCs w:val="13"/>
          <w:color w:val="auto"/>
        </w:rPr>
        <w:t>The Bank of New York Mellon is Trustee under the Indenture for all series of Notes. The Trustee performs services for the Guarantor and its subsidiaries in the ordinary course of business.</w:t>
      </w:r>
    </w:p>
    <w:p>
      <w:pPr>
        <w:spacing w:after="0" w:line="110" w:lineRule="exact"/>
        <w:rPr>
          <w:sz w:val="20"/>
          <w:szCs w:val="20"/>
          <w:color w:val="auto"/>
        </w:rPr>
      </w:pPr>
    </w:p>
    <w:p>
      <w:pPr>
        <w:ind w:left="420" w:right="499" w:firstLine="327"/>
        <w:spacing w:after="0" w:line="255" w:lineRule="auto"/>
        <w:rPr>
          <w:sz w:val="20"/>
          <w:szCs w:val="20"/>
          <w:color w:val="auto"/>
        </w:rPr>
      </w:pPr>
      <w:r>
        <w:rPr>
          <w:rFonts w:ascii="Arial" w:cs="Arial" w:eastAsia="Arial" w:hAnsi="Arial"/>
          <w:sz w:val="13"/>
          <w:szCs w:val="13"/>
          <w:color w:val="auto"/>
        </w:rPr>
        <w:t>If an Event of Default occurs and is continuing, the Trustee will be required to use the degree of care and skill of a prudent person in the conduct of such person’s own affairs. The Trustee will become obligated to exercise any of its powers under the Indenture at the request of any of the holders of the Notes of any series issued under the Indenture only after those holders have furnished the Trustee indemnity or security reasonably satisfactory to it.</w:t>
      </w:r>
    </w:p>
    <w:p>
      <w:pPr>
        <w:spacing w:after="0" w:line="127" w:lineRule="exact"/>
        <w:rPr>
          <w:sz w:val="20"/>
          <w:szCs w:val="20"/>
          <w:color w:val="auto"/>
        </w:rPr>
      </w:pPr>
    </w:p>
    <w:p>
      <w:pPr>
        <w:ind w:left="420" w:right="619" w:firstLine="327"/>
        <w:spacing w:after="0" w:line="282" w:lineRule="auto"/>
        <w:rPr>
          <w:sz w:val="20"/>
          <w:szCs w:val="20"/>
          <w:color w:val="auto"/>
        </w:rPr>
      </w:pPr>
      <w:r>
        <w:rPr>
          <w:rFonts w:ascii="Arial" w:cs="Arial" w:eastAsia="Arial" w:hAnsi="Arial"/>
          <w:sz w:val="13"/>
          <w:szCs w:val="13"/>
          <w:color w:val="auto"/>
        </w:rPr>
        <w:t>If the Trustee becomes a creditor of the Company, it will be subject to limitations in the Indenture on its rights to obtain payment of claims or to realize on certain property received for any such claim,</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S-25</w:t>
      </w:r>
    </w:p>
    <w:p>
      <w:pPr>
        <w:sectPr>
          <w:pgSz w:w="11900" w:h="16838" w:orient="portrait"/>
          <w:cols w:equalWidth="0" w:num="1">
            <w:col w:w="9019"/>
          </w:cols>
          <w:pgMar w:left="1440" w:top="237" w:right="1440" w:bottom="1440" w:gutter="0" w:footer="0" w:header="0"/>
        </w:sectPr>
      </w:pPr>
    </w:p>
    <w:bookmarkStart w:id="30" w:name="page31"/>
    <w:bookmarkEnd w:id="30"/>
    <w:p>
      <w:pPr>
        <w:ind w:left="420" w:right="599"/>
        <w:spacing w:after="0" w:line="26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5980" cy="31750"/>
                    </a:xfrm>
                    <a:prstGeom prst="rect">
                      <a:avLst/>
                    </a:prstGeom>
                    <a:noFill/>
                  </pic:spPr>
                </pic:pic>
              </a:graphicData>
            </a:graphic>
          </wp:anchor>
        </w:drawing>
        <w:t>as security or otherwise. The Trustee is permitted to engage in other transactions with us. If, however, it acquires any conflicting interest (as defined under the Trust Indenture Act) with respect to a series of Notes, it must eliminate such conflict, resign as trustee for such Notes or obtain an order from the SEC permitting it to remain as Trustee for such Notes.</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Paying Agent and Registrar for the Notes</w:t>
      </w:r>
    </w:p>
    <w:p>
      <w:pPr>
        <w:spacing w:after="0" w:line="83" w:lineRule="exact"/>
        <w:rPr>
          <w:sz w:val="20"/>
          <w:szCs w:val="20"/>
          <w:color w:val="auto"/>
        </w:rPr>
      </w:pPr>
    </w:p>
    <w:p>
      <w:pPr>
        <w:ind w:left="420" w:right="539" w:firstLine="327"/>
        <w:spacing w:after="0" w:line="251" w:lineRule="auto"/>
        <w:rPr>
          <w:sz w:val="20"/>
          <w:szCs w:val="20"/>
          <w:color w:val="auto"/>
        </w:rPr>
      </w:pPr>
      <w:r>
        <w:rPr>
          <w:rFonts w:ascii="Arial" w:cs="Arial" w:eastAsia="Arial" w:hAnsi="Arial"/>
          <w:sz w:val="13"/>
          <w:szCs w:val="13"/>
          <w:color w:val="auto"/>
        </w:rPr>
        <w:t>We will maintain one or more paying agents (each a “Paying Agent”) for the Notes in the Borough of Manhattan, City of New York. Upon written notice to the Trustee accompanied by an Officer’s Certificate, we may appoint one or more Paying Agents, other than the Trustee, for the Notes. If we fail to appoint or maintain another entity as Paying Agent in the Borough of Manhattan, City of New York, the Trustee will act as such. The Company, the Guarantor or any of the Guarantor’s subsidiaries, upon notice to the Trustee, may act as Paying Agent. The initial Paying Agent will be The Bank of New York Mellon in New York.</w:t>
      </w:r>
    </w:p>
    <w:p>
      <w:pPr>
        <w:spacing w:after="0" w:line="131" w:lineRule="exact"/>
        <w:rPr>
          <w:sz w:val="20"/>
          <w:szCs w:val="20"/>
          <w:color w:val="auto"/>
        </w:rPr>
      </w:pPr>
    </w:p>
    <w:p>
      <w:pPr>
        <w:ind w:left="420" w:right="459" w:firstLine="327"/>
        <w:spacing w:after="0" w:line="255" w:lineRule="auto"/>
        <w:rPr>
          <w:sz w:val="20"/>
          <w:szCs w:val="20"/>
          <w:color w:val="auto"/>
        </w:rPr>
      </w:pPr>
      <w:r>
        <w:rPr>
          <w:rFonts w:ascii="Arial" w:cs="Arial" w:eastAsia="Arial" w:hAnsi="Arial"/>
          <w:sz w:val="13"/>
          <w:szCs w:val="13"/>
          <w:color w:val="auto"/>
        </w:rPr>
        <w:t>We will also maintain a registrar (the “Registrar”) with an office in the Borough of Manhattan, City of New York. Upon written notice to the Trustee accompanied by an Officer’s Certificate, we may appoint one or more registrars, other than the Trustee, for the Notes. If we fail to appoint or maintain another entity as Registrar, the Trustee will act as such. The Company, the Guarantor or any of the Guarantor’s subsidiaries, upon notice to the Trustee, may act as Registrar. The initial Registrar will be The Bank of New York Mellon in New York.</w:t>
      </w:r>
    </w:p>
    <w:p>
      <w:pPr>
        <w:spacing w:after="0" w:line="127" w:lineRule="exact"/>
        <w:rPr>
          <w:sz w:val="20"/>
          <w:szCs w:val="20"/>
          <w:color w:val="auto"/>
        </w:rPr>
      </w:pPr>
    </w:p>
    <w:p>
      <w:pPr>
        <w:jc w:val="both"/>
        <w:ind w:left="420" w:right="499" w:firstLine="327"/>
        <w:spacing w:after="0" w:line="251" w:lineRule="auto"/>
        <w:rPr>
          <w:sz w:val="20"/>
          <w:szCs w:val="20"/>
          <w:color w:val="auto"/>
        </w:rPr>
      </w:pPr>
      <w:r>
        <w:rPr>
          <w:rFonts w:ascii="Arial" w:cs="Arial" w:eastAsia="Arial" w:hAnsi="Arial"/>
          <w:sz w:val="13"/>
          <w:szCs w:val="13"/>
          <w:color w:val="auto"/>
        </w:rPr>
        <w:t>We will also maintain a transfer agent with an office in the Borough of Manhattan, City of New York. Each transfer agent will perform the functions of a transfer agent. Upon written notice to the Trustee accompanied by an Officer’s Certificate, we may appoint one or more transfer agents, other than the Trustee, for the Notes. If we fail to appoint or maintain another entity as transfer agent, the Trustee will act as such. The Company, the Guarantor or any of the Guarantor’s subsidiaries, upon notice to the Trustee, may act as transfer agent. The initial transfer agent will be The Bank of New York Mellon in New York.</w:t>
      </w:r>
    </w:p>
    <w:p>
      <w:pPr>
        <w:spacing w:after="0" w:line="131" w:lineRule="exact"/>
        <w:rPr>
          <w:sz w:val="20"/>
          <w:szCs w:val="20"/>
          <w:color w:val="auto"/>
        </w:rPr>
      </w:pPr>
    </w:p>
    <w:p>
      <w:pPr>
        <w:ind w:left="420" w:right="679" w:firstLine="327"/>
        <w:spacing w:after="0" w:line="282" w:lineRule="auto"/>
        <w:rPr>
          <w:sz w:val="20"/>
          <w:szCs w:val="20"/>
          <w:color w:val="auto"/>
        </w:rPr>
      </w:pPr>
      <w:r>
        <w:rPr>
          <w:rFonts w:ascii="Arial" w:cs="Arial" w:eastAsia="Arial" w:hAnsi="Arial"/>
          <w:sz w:val="13"/>
          <w:szCs w:val="13"/>
          <w:color w:val="auto"/>
        </w:rPr>
        <w:t>The Registrar will maintain a register reflecting ownership of Notes outstanding from time to time and the Paying Agent will make payments on and facilitate transfer of Notes on our behalf.</w:t>
      </w:r>
    </w:p>
    <w:p>
      <w:pPr>
        <w:spacing w:after="0" w:line="11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We may change any Paying Agents, Registrars or transfer agents without prior notice to the holders of Notes.</w:t>
      </w:r>
    </w:p>
    <w:p>
      <w:pPr>
        <w:spacing w:after="0" w:line="240"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Further Issuances</w:t>
      </w:r>
    </w:p>
    <w:p>
      <w:pPr>
        <w:spacing w:after="0" w:line="83" w:lineRule="exact"/>
        <w:rPr>
          <w:sz w:val="20"/>
          <w:szCs w:val="20"/>
          <w:color w:val="auto"/>
        </w:rPr>
      </w:pPr>
    </w:p>
    <w:p>
      <w:pPr>
        <w:ind w:left="420" w:right="439" w:firstLine="327"/>
        <w:spacing w:after="0" w:line="247" w:lineRule="auto"/>
        <w:rPr>
          <w:sz w:val="20"/>
          <w:szCs w:val="20"/>
          <w:color w:val="auto"/>
        </w:rPr>
      </w:pPr>
      <w:r>
        <w:rPr>
          <w:rFonts w:ascii="Arial" w:cs="Arial" w:eastAsia="Arial" w:hAnsi="Arial"/>
          <w:sz w:val="13"/>
          <w:szCs w:val="13"/>
          <w:color w:val="auto"/>
        </w:rPr>
        <w:t>The Company may, from time to time, without notice to or consent of the registered holders of the Notes of a series, increase the principal amount of such Notes that may be issued under the Indenture and issue such increased principal amount (or any portion thereof), in which case any such additional Notes so issued will have the same form and terms (other than the date of issuance and initial interest payment date), and will carry the same right to receive accrued and unpaid interest, as the Notes of such series previously issued, and such additional Notes will form a single series with the previously issued Notes of such series, including for purposes of voting and redemptions; provided, however, that a separate CUSIP or ISIN would be issued for such additional Notes, unless the previously outstanding Notes of the series and such additional Notes are fungible for U.S. federal income tax purposes. Such additional Notes will also be guaranteed by the Guarantor (with the same ranking as the existing Guarantee for the Notes of such series).</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Book-Entry, Delivery and Form</w:t>
      </w:r>
    </w:p>
    <w:p>
      <w:pPr>
        <w:spacing w:after="0" w:line="83" w:lineRule="exact"/>
        <w:rPr>
          <w:sz w:val="20"/>
          <w:szCs w:val="20"/>
          <w:color w:val="auto"/>
        </w:rPr>
      </w:pPr>
    </w:p>
    <w:p>
      <w:pPr>
        <w:ind w:left="420" w:right="459" w:firstLine="327"/>
        <w:spacing w:after="0" w:line="282" w:lineRule="auto"/>
        <w:rPr>
          <w:sz w:val="20"/>
          <w:szCs w:val="20"/>
          <w:color w:val="auto"/>
        </w:rPr>
      </w:pPr>
      <w:r>
        <w:rPr>
          <w:rFonts w:ascii="Arial" w:cs="Arial" w:eastAsia="Arial" w:hAnsi="Arial"/>
          <w:sz w:val="13"/>
          <w:szCs w:val="13"/>
          <w:color w:val="auto"/>
        </w:rPr>
        <w:t>We will issue the Notes of each series in registered, global form (each, a “global Note”), without coupons, in minimum denominations of US$2,000 and integral multiples of US$1,000 in excess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S-26</w:t>
      </w:r>
    </w:p>
    <w:p>
      <w:pPr>
        <w:sectPr>
          <w:pgSz w:w="11900" w:h="16838" w:orient="portrait"/>
          <w:cols w:equalWidth="0" w:num="1">
            <w:col w:w="9019"/>
          </w:cols>
          <w:pgMar w:left="1440" w:top="237" w:right="1440" w:bottom="1440" w:gutter="0" w:footer="0" w:header="0"/>
        </w:sectPr>
      </w:pPr>
    </w:p>
    <w:bookmarkStart w:id="31" w:name="page32"/>
    <w:bookmarkEnd w:id="31"/>
    <w:p>
      <w:pPr>
        <w:ind w:left="4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thereof, that will be deposited with, or on behalf of, DTC. The global Notes will be registered in the name of Cede &amp; Co., DTC’s nominee.</w:t>
      </w:r>
    </w:p>
    <w:p>
      <w:pPr>
        <w:spacing w:after="0" w:line="162" w:lineRule="exact"/>
        <w:rPr>
          <w:sz w:val="20"/>
          <w:szCs w:val="20"/>
          <w:color w:val="auto"/>
        </w:rPr>
      </w:pPr>
    </w:p>
    <w:p>
      <w:pPr>
        <w:ind w:left="420" w:right="639" w:firstLine="327"/>
        <w:spacing w:after="0" w:line="282" w:lineRule="auto"/>
        <w:rPr>
          <w:sz w:val="20"/>
          <w:szCs w:val="20"/>
          <w:color w:val="auto"/>
        </w:rPr>
      </w:pPr>
      <w:r>
        <w:rPr>
          <w:rFonts w:ascii="Arial" w:cs="Arial" w:eastAsia="Arial" w:hAnsi="Arial"/>
          <w:sz w:val="13"/>
          <w:szCs w:val="13"/>
          <w:color w:val="auto"/>
        </w:rPr>
        <w:t>Beneficial interests in the global Notes will be represented through book-entry accounts of financial institutions acting on behalf of beneficial owners as direct or indirect participants in DTC.</w:t>
      </w:r>
    </w:p>
    <w:p>
      <w:pPr>
        <w:spacing w:after="0" w:line="110" w:lineRule="exact"/>
        <w:rPr>
          <w:sz w:val="20"/>
          <w:szCs w:val="20"/>
          <w:color w:val="auto"/>
        </w:rPr>
      </w:pPr>
    </w:p>
    <w:p>
      <w:pPr>
        <w:ind w:left="420" w:right="439" w:firstLine="327"/>
        <w:spacing w:after="0" w:line="246" w:lineRule="auto"/>
        <w:rPr>
          <w:sz w:val="20"/>
          <w:szCs w:val="20"/>
          <w:color w:val="auto"/>
        </w:rPr>
      </w:pPr>
      <w:r>
        <w:rPr>
          <w:rFonts w:ascii="Arial" w:cs="Arial" w:eastAsia="Arial" w:hAnsi="Arial"/>
          <w:sz w:val="13"/>
          <w:szCs w:val="13"/>
          <w:color w:val="auto"/>
        </w:rPr>
        <w:t>Investors may elect to hold their interests in the global Notes in DTC (in the United States) through its direct and indirect participants, including Clearstream or Euroclear. Investors may hold their interests in the global Notes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w:t>
      </w:r>
    </w:p>
    <w:p>
      <w:pPr>
        <w:spacing w:after="0" w:line="1" w:lineRule="exact"/>
        <w:rPr>
          <w:sz w:val="20"/>
          <w:szCs w:val="20"/>
          <w:color w:val="auto"/>
        </w:rPr>
      </w:pPr>
    </w:p>
    <w:p>
      <w:pPr>
        <w:ind w:left="420" w:right="459"/>
        <w:spacing w:after="0" w:line="252" w:lineRule="auto"/>
        <w:rPr>
          <w:sz w:val="20"/>
          <w:szCs w:val="20"/>
          <w:color w:val="auto"/>
        </w:rPr>
      </w:pPr>
      <w:r>
        <w:rPr>
          <w:rFonts w:ascii="Arial" w:cs="Arial" w:eastAsia="Arial" w:hAnsi="Arial"/>
          <w:sz w:val="13"/>
          <w:szCs w:val="13"/>
          <w:color w:val="auto"/>
        </w:rPr>
        <w:t>U.S. depositaries, which in turn will hold these interests in customers’ securities accounts in the depositaries’ names on the books of DTC. Beneficial interests in the global Notes will be held in authorized denominations. Except as set forth below, the global Notes may be transferred, in whole and not in part, only to another nominee of DTC or to a successor of DTC or its nominee.</w:t>
      </w:r>
    </w:p>
    <w:p>
      <w:pPr>
        <w:spacing w:after="0" w:line="12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Notes of a series represented by a global Note can be exchanged for definitive securities of such series in registered form only if:</w:t>
      </w:r>
    </w:p>
    <w:p>
      <w:pPr>
        <w:spacing w:after="0" w:line="91" w:lineRule="exact"/>
        <w:rPr>
          <w:sz w:val="20"/>
          <w:szCs w:val="20"/>
          <w:color w:val="auto"/>
        </w:rPr>
      </w:pPr>
    </w:p>
    <w:p>
      <w:pPr>
        <w:ind w:left="1140" w:right="459" w:hanging="328"/>
        <w:spacing w:after="0" w:line="262" w:lineRule="auto"/>
        <w:tabs>
          <w:tab w:leader="none" w:pos="11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DTC (a) notifies us that it is unwilling or unable to continue as depositary for the global Notes of such series or (b) has ceased to be a clearing agency registered under the Securities Exchange Act of 1934, as amended (the “Exchange Act”), and, in either case, we fail to appoint a successor depositary within 90 days of such event; or</w:t>
      </w:r>
    </w:p>
    <w:p>
      <w:pPr>
        <w:spacing w:after="0" w:line="52" w:lineRule="exact"/>
        <w:rPr>
          <w:rFonts w:ascii="Arial" w:cs="Arial" w:eastAsia="Arial" w:hAnsi="Arial"/>
          <w:sz w:val="13"/>
          <w:szCs w:val="13"/>
          <w:color w:val="auto"/>
        </w:rPr>
      </w:pPr>
    </w:p>
    <w:p>
      <w:pPr>
        <w:ind w:left="1140" w:right="859" w:hanging="328"/>
        <w:spacing w:after="0" w:line="282" w:lineRule="auto"/>
        <w:tabs>
          <w:tab w:leader="none" w:pos="11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 determine that such Notes will no longer be represented by a global Note and execute and deliver to the Trustee an Officer’s Certificate to such effect.</w:t>
      </w:r>
    </w:p>
    <w:p>
      <w:pPr>
        <w:spacing w:after="0" w:line="110" w:lineRule="exact"/>
        <w:rPr>
          <w:sz w:val="20"/>
          <w:szCs w:val="20"/>
          <w:color w:val="auto"/>
        </w:rPr>
      </w:pPr>
    </w:p>
    <w:p>
      <w:pPr>
        <w:jc w:val="both"/>
        <w:ind w:left="420" w:right="459" w:firstLine="327"/>
        <w:spacing w:after="0" w:line="262" w:lineRule="auto"/>
        <w:rPr>
          <w:sz w:val="20"/>
          <w:szCs w:val="20"/>
          <w:color w:val="auto"/>
        </w:rPr>
      </w:pPr>
      <w:r>
        <w:rPr>
          <w:rFonts w:ascii="Arial" w:cs="Arial" w:eastAsia="Arial" w:hAnsi="Arial"/>
          <w:sz w:val="13"/>
          <w:szCs w:val="13"/>
          <w:color w:val="auto"/>
        </w:rPr>
        <w:t>A global Note of a series that can be exchanged as described in the preceding sentence will be exchanged for definitive Notes of the same series issued in authorized denominations in registered form for the same aggregate amount. The definitive Notes will be registered in the names of the owners of the beneficial interests in the global Note as directed by DTC.</w:t>
      </w:r>
    </w:p>
    <w:p>
      <w:pPr>
        <w:spacing w:after="0" w:line="122" w:lineRule="exact"/>
        <w:rPr>
          <w:sz w:val="20"/>
          <w:szCs w:val="20"/>
          <w:color w:val="auto"/>
        </w:rPr>
      </w:pPr>
    </w:p>
    <w:p>
      <w:pPr>
        <w:ind w:left="420" w:right="639" w:firstLine="327"/>
        <w:spacing w:after="0" w:line="255" w:lineRule="auto"/>
        <w:rPr>
          <w:sz w:val="20"/>
          <w:szCs w:val="20"/>
          <w:color w:val="auto"/>
        </w:rPr>
      </w:pPr>
      <w:r>
        <w:rPr>
          <w:rFonts w:ascii="Arial" w:cs="Arial" w:eastAsia="Arial" w:hAnsi="Arial"/>
          <w:sz w:val="13"/>
          <w:szCs w:val="13"/>
          <w:color w:val="auto"/>
        </w:rPr>
        <w:t>We will make principal and interest payments on all Notes represented by a global Note to a Paying Agent which in turn will make payment to DTC or its nominee, as the case may be, as the sole registered owner and the sole holder of the Notes represented by a global Note for all purposes under the Indenture. Accordingly, we, the Guarantor, the Trustee, any Paying Agent, Registrar or transfer agent will have no responsibility or liability for:</w:t>
      </w:r>
    </w:p>
    <w:p>
      <w:pPr>
        <w:spacing w:after="0" w:line="57" w:lineRule="exact"/>
        <w:rPr>
          <w:sz w:val="20"/>
          <w:szCs w:val="20"/>
          <w:color w:val="auto"/>
        </w:rPr>
      </w:pPr>
    </w:p>
    <w:p>
      <w:pPr>
        <w:ind w:left="1140" w:right="1159" w:hanging="328"/>
        <w:spacing w:after="0" w:line="282" w:lineRule="auto"/>
        <w:tabs>
          <w:tab w:leader="none" w:pos="11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any aspect of DTC’s records relating to, or payments made on account of, beneficial ownership interests in a Note represented by a global Note;</w:t>
      </w:r>
    </w:p>
    <w:p>
      <w:pPr>
        <w:spacing w:after="0" w:line="39" w:lineRule="exact"/>
        <w:rPr>
          <w:rFonts w:ascii="Arial" w:cs="Arial" w:eastAsia="Arial" w:hAnsi="Arial"/>
          <w:sz w:val="13"/>
          <w:szCs w:val="13"/>
          <w:color w:val="auto"/>
        </w:rPr>
      </w:pPr>
    </w:p>
    <w:p>
      <w:pPr>
        <w:ind w:left="1140" w:right="439" w:hanging="328"/>
        <w:spacing w:after="0" w:line="282" w:lineRule="auto"/>
        <w:tabs>
          <w:tab w:leader="none" w:pos="11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any other aspect of the relationship between DTC and its participants or of the relationship between those participants and the owners of beneficial interests in a global Note held through those participants; or</w:t>
      </w:r>
    </w:p>
    <w:p>
      <w:pPr>
        <w:spacing w:after="0" w:line="39" w:lineRule="exact"/>
        <w:rPr>
          <w:rFonts w:ascii="Arial" w:cs="Arial" w:eastAsia="Arial" w:hAnsi="Arial"/>
          <w:sz w:val="13"/>
          <w:szCs w:val="13"/>
          <w:color w:val="auto"/>
        </w:rPr>
      </w:pPr>
    </w:p>
    <w:p>
      <w:pPr>
        <w:ind w:left="1140" w:hanging="328"/>
        <w:spacing w:after="0"/>
        <w:tabs>
          <w:tab w:leader="none" w:pos="11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maintenance, supervision or review of any of DTC’s records relating to those beneficial ownership interests.</w:t>
      </w:r>
    </w:p>
    <w:p>
      <w:pPr>
        <w:spacing w:after="0" w:line="162" w:lineRule="exact"/>
        <w:rPr>
          <w:sz w:val="20"/>
          <w:szCs w:val="20"/>
          <w:color w:val="auto"/>
        </w:rPr>
      </w:pPr>
    </w:p>
    <w:p>
      <w:pPr>
        <w:ind w:left="420" w:right="559" w:firstLine="327"/>
        <w:spacing w:after="0" w:line="255" w:lineRule="auto"/>
        <w:rPr>
          <w:sz w:val="20"/>
          <w:szCs w:val="20"/>
          <w:color w:val="auto"/>
        </w:rPr>
      </w:pPr>
      <w:r>
        <w:rPr>
          <w:rFonts w:ascii="Arial" w:cs="Arial" w:eastAsia="Arial" w:hAnsi="Arial"/>
          <w:sz w:val="13"/>
          <w:szCs w:val="13"/>
          <w:color w:val="auto"/>
        </w:rPr>
        <w:t>DTC has advised us that its current practice is to credit participants’ accounts on each payment date with payments in amounts proportionate to their respective beneficial interests in the principal amount of such global Note as shown on DTC’s records, upon DTC’s receipt of funds and corresponding detail information. The underwriters or agents for the Notes represented by a global Note will initially designate the accounts to be credited. Payments by participants to owners of</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S-27</w:t>
      </w:r>
    </w:p>
    <w:p>
      <w:pPr>
        <w:sectPr>
          <w:pgSz w:w="11900" w:h="16838" w:orient="portrait"/>
          <w:cols w:equalWidth="0" w:num="1">
            <w:col w:w="9019"/>
          </w:cols>
          <w:pgMar w:left="1440" w:top="237" w:right="1440" w:bottom="1440" w:gutter="0" w:footer="0" w:header="0"/>
        </w:sectPr>
      </w:pPr>
    </w:p>
    <w:bookmarkStart w:id="32" w:name="page33"/>
    <w:bookmarkEnd w:id="32"/>
    <w:p>
      <w:pPr>
        <w:jc w:val="both"/>
        <w:ind w:left="420" w:right="499"/>
        <w:spacing w:after="0" w:line="26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5980" cy="31750"/>
                    </a:xfrm>
                    <a:prstGeom prst="rect">
                      <a:avLst/>
                    </a:prstGeom>
                    <a:noFill/>
                  </pic:spPr>
                </pic:pic>
              </a:graphicData>
            </a:graphic>
          </wp:anchor>
        </w:drawing>
        <w:t>beneficial interests in a global Note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DTC</w:t>
      </w:r>
    </w:p>
    <w:p>
      <w:pPr>
        <w:spacing w:after="0" w:line="81" w:lineRule="exact"/>
        <w:rPr>
          <w:sz w:val="20"/>
          <w:szCs w:val="20"/>
          <w:color w:val="auto"/>
        </w:rPr>
      </w:pPr>
    </w:p>
    <w:p>
      <w:pPr>
        <w:ind w:left="420" w:right="459" w:firstLine="327"/>
        <w:spacing w:after="0" w:line="246" w:lineRule="auto"/>
        <w:rPr>
          <w:sz w:val="20"/>
          <w:szCs w:val="20"/>
          <w:color w:val="auto"/>
        </w:rPr>
      </w:pPr>
      <w:r>
        <w:rPr>
          <w:rFonts w:ascii="Arial" w:cs="Arial" w:eastAsia="Arial" w:hAnsi="Arial"/>
          <w:sz w:val="13"/>
          <w:szCs w:val="13"/>
          <w:color w:val="auto"/>
        </w:rPr>
        <w:t>So long as DTC or its nominee is the registered owner of a global Note, DTC or its nominee, as the case may be, will be considered the sole owner and holder of the Notes represented by that global Note for all purposes of the Notes. Except as set forth above, owners of beneficial interests in the Notes will not be entitled to have Notes registered in their names, will not receive or be entitled to receive physical delivery of the Notes in definitive form and will not be considered owners or holders of Notes under the Indenture. Accordingly, each person owning a beneficial interest in a global Note must rely on the procedures of DTC and, if that person is not one of its participating organizations (collectively, the “DTC Participants”), on the procedures of the participant through which that person owns its interest, to exercise any rights of a holder of Notes. The laws of some jurisdictions require that certain purchasers of securities take physical delivery of the securities in certificated form. These laws may impair the ability to transfer beneficial interests in a global Note. Beneficial owners may experience delays in receiving distributions on their Notes since distributions will initially be made to DTC and must then be transferred through the chain of intermediaries to the beneficial owner’s account.</w:t>
      </w:r>
    </w:p>
    <w:p>
      <w:pPr>
        <w:spacing w:after="0" w:line="133" w:lineRule="exact"/>
        <w:rPr>
          <w:sz w:val="20"/>
          <w:szCs w:val="20"/>
          <w:color w:val="auto"/>
        </w:rPr>
      </w:pPr>
    </w:p>
    <w:p>
      <w:pPr>
        <w:ind w:left="420" w:right="519" w:firstLine="327"/>
        <w:spacing w:after="0" w:line="252" w:lineRule="auto"/>
        <w:rPr>
          <w:sz w:val="20"/>
          <w:szCs w:val="20"/>
          <w:color w:val="auto"/>
        </w:rPr>
      </w:pPr>
      <w:r>
        <w:rPr>
          <w:rFonts w:ascii="Arial" w:cs="Arial" w:eastAsia="Arial" w:hAnsi="Arial"/>
          <w:sz w:val="13"/>
          <w:szCs w:val="13"/>
          <w:color w:val="auto"/>
        </w:rPr>
        <w:t>We understand that, under existing industry practices, if we request holders to take any action, or if an owner of a beneficial interest in a global Note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285" w:lineRule="exact"/>
        <w:rPr>
          <w:sz w:val="20"/>
          <w:szCs w:val="20"/>
          <w:color w:val="auto"/>
        </w:rPr>
      </w:pPr>
    </w:p>
    <w:p>
      <w:pPr>
        <w:ind w:left="420" w:right="459" w:firstLine="327"/>
        <w:spacing w:after="0" w:line="255" w:lineRule="auto"/>
        <w:rPr>
          <w:sz w:val="20"/>
          <w:szCs w:val="20"/>
          <w:color w:val="auto"/>
        </w:rPr>
      </w:pPr>
      <w:r>
        <w:rPr>
          <w:rFonts w:ascii="Arial" w:cs="Arial" w:eastAsia="Arial" w:hAnsi="Arial"/>
          <w:sz w:val="13"/>
          <w:szCs w:val="13"/>
          <w:color w:val="auto"/>
        </w:rPr>
        <w:t>Beneficial interests in a global Note will be shown on, and transfers of those ownership interests will be effected only through, records maintained by DTC and its participants for that global Note. The conveyance of notices and other communications by DTC to its participants and by its participants to owners of beneficial interests in the Notes will be governed by arrangements among them, subject to any statutory or regulatory requirements in effect.</w:t>
      </w:r>
    </w:p>
    <w:p>
      <w:pPr>
        <w:spacing w:after="0" w:line="127" w:lineRule="exact"/>
        <w:rPr>
          <w:sz w:val="20"/>
          <w:szCs w:val="20"/>
          <w:color w:val="auto"/>
        </w:rPr>
      </w:pPr>
    </w:p>
    <w:p>
      <w:pPr>
        <w:jc w:val="both"/>
        <w:ind w:left="420" w:right="499" w:firstLine="327"/>
        <w:spacing w:after="0" w:line="262" w:lineRule="auto"/>
        <w:rPr>
          <w:sz w:val="20"/>
          <w:szCs w:val="20"/>
          <w:color w:val="auto"/>
        </w:rPr>
      </w:pPr>
      <w:r>
        <w:rPr>
          <w:rFonts w:ascii="Arial" w:cs="Arial" w:eastAsia="Arial" w:hAnsi="Arial"/>
          <w:sz w:val="13"/>
          <w:szCs w:val="13"/>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22" w:lineRule="exact"/>
        <w:rPr>
          <w:sz w:val="20"/>
          <w:szCs w:val="20"/>
          <w:color w:val="auto"/>
        </w:rPr>
      </w:pPr>
    </w:p>
    <w:p>
      <w:pPr>
        <w:ind w:left="420" w:right="579" w:firstLine="327"/>
        <w:spacing w:after="0" w:line="255" w:lineRule="auto"/>
        <w:rPr>
          <w:sz w:val="20"/>
          <w:szCs w:val="20"/>
          <w:color w:val="auto"/>
        </w:rPr>
      </w:pPr>
      <w:r>
        <w:rPr>
          <w:rFonts w:ascii="Arial" w:cs="Arial" w:eastAsia="Arial" w:hAnsi="Arial"/>
          <w:sz w:val="13"/>
          <w:szCs w:val="13"/>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w:t>
      </w:r>
    </w:p>
    <w:p>
      <w:pPr>
        <w:spacing w:after="0" w:line="127" w:lineRule="exact"/>
        <w:rPr>
          <w:sz w:val="20"/>
          <w:szCs w:val="20"/>
          <w:color w:val="auto"/>
        </w:rPr>
      </w:pPr>
    </w:p>
    <w:p>
      <w:pPr>
        <w:ind w:left="420" w:right="459" w:firstLine="327"/>
        <w:spacing w:after="0" w:line="251" w:lineRule="auto"/>
        <w:rPr>
          <w:sz w:val="20"/>
          <w:szCs w:val="20"/>
          <w:color w:val="auto"/>
        </w:rPr>
      </w:pPr>
      <w:r>
        <w:rPr>
          <w:rFonts w:ascii="Arial" w:cs="Arial" w:eastAsia="Arial" w:hAnsi="Arial"/>
          <w:sz w:val="13"/>
          <w:szCs w:val="13"/>
          <w:color w:val="auto"/>
        </w:rPr>
        <w:t>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S-28</w:t>
      </w:r>
    </w:p>
    <w:p>
      <w:pPr>
        <w:sectPr>
          <w:pgSz w:w="11900" w:h="16838" w:orient="portrait"/>
          <w:cols w:equalWidth="0" w:num="1">
            <w:col w:w="9019"/>
          </w:cols>
          <w:pgMar w:left="1440" w:top="237" w:right="1440" w:bottom="1440" w:gutter="0" w:footer="0" w:header="0"/>
        </w:sectPr>
      </w:pPr>
    </w:p>
    <w:bookmarkStart w:id="33" w:name="page34"/>
    <w:bookmarkEnd w:id="33"/>
    <w:p>
      <w:pPr>
        <w:ind w:left="420" w:right="499" w:firstLine="327"/>
        <w:spacing w:after="0" w:line="28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The information in this section concerning DTC and DTC’s book-entry system has been obtained from sources that we believe to be reliable, but none of us, the Trustee or any of our respective agents takes any responsibility for the accuracy thereof.</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Clearstream</w:t>
      </w:r>
    </w:p>
    <w:p>
      <w:pPr>
        <w:spacing w:after="0" w:line="81" w:lineRule="exact"/>
        <w:rPr>
          <w:sz w:val="20"/>
          <w:szCs w:val="20"/>
          <w:color w:val="auto"/>
        </w:rPr>
      </w:pPr>
    </w:p>
    <w:p>
      <w:pPr>
        <w:ind w:left="420" w:right="439" w:firstLine="327"/>
        <w:spacing w:after="0" w:line="245" w:lineRule="auto"/>
        <w:rPr>
          <w:sz w:val="20"/>
          <w:szCs w:val="20"/>
          <w:color w:val="auto"/>
        </w:rPr>
      </w:pPr>
      <w:r>
        <w:rPr>
          <w:rFonts w:ascii="Arial" w:cs="Arial" w:eastAsia="Arial" w:hAnsi="Arial"/>
          <w:sz w:val="13"/>
          <w:szCs w:val="13"/>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w:t>
      </w:r>
      <w:r>
        <w:rPr>
          <w:rFonts w:ascii="Arial" w:cs="Arial" w:eastAsia="Arial" w:hAnsi="Arial"/>
          <w:sz w:val="13"/>
          <w:szCs w:val="13"/>
          <w:i w:val="1"/>
          <w:iCs w:val="1"/>
          <w:color w:val="auto"/>
        </w:rPr>
        <w:t>Commission de Surveillance du Secteur</w:t>
      </w:r>
      <w:r>
        <w:rPr>
          <w:rFonts w:ascii="Arial" w:cs="Arial" w:eastAsia="Arial" w:hAnsi="Arial"/>
          <w:sz w:val="13"/>
          <w:szCs w:val="13"/>
          <w:color w:val="auto"/>
        </w:rPr>
        <w:t xml:space="preserve"> </w:t>
      </w:r>
      <w:r>
        <w:rPr>
          <w:rFonts w:ascii="Arial" w:cs="Arial" w:eastAsia="Arial" w:hAnsi="Arial"/>
          <w:sz w:val="13"/>
          <w:szCs w:val="13"/>
          <w:i w:val="1"/>
          <w:iCs w:val="1"/>
          <w:color w:val="auto"/>
        </w:rPr>
        <w:t>Financier</w:t>
      </w:r>
      <w:r>
        <w:rPr>
          <w:rFonts w:ascii="Arial" w:cs="Arial" w:eastAsia="Arial" w:hAnsi="Arial"/>
          <w:sz w:val="13"/>
          <w:szCs w:val="13"/>
          <w:color w:val="auto"/>
        </w:rPr>
        <w:t>). Clearstream Participants are recognized financial institutions around the world, including underwriters, securities brokers and</w:t>
      </w:r>
      <w:r>
        <w:rPr>
          <w:rFonts w:ascii="Arial" w:cs="Arial" w:eastAsia="Arial" w:hAnsi="Arial"/>
          <w:sz w:val="13"/>
          <w:szCs w:val="13"/>
          <w:i w:val="1"/>
          <w:iCs w:val="1"/>
          <w:color w:val="auto"/>
        </w:rPr>
        <w:t xml:space="preserve"> </w:t>
      </w:r>
      <w:r>
        <w:rPr>
          <w:rFonts w:ascii="Arial" w:cs="Arial" w:eastAsia="Arial" w:hAnsi="Arial"/>
          <w:sz w:val="13"/>
          <w:szCs w:val="13"/>
          <w:color w:val="auto"/>
        </w:rPr>
        <w:t>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288" w:lineRule="exact"/>
        <w:rPr>
          <w:sz w:val="20"/>
          <w:szCs w:val="20"/>
          <w:color w:val="auto"/>
        </w:rPr>
      </w:pPr>
    </w:p>
    <w:p>
      <w:pPr>
        <w:ind w:left="420" w:right="1139" w:firstLine="327"/>
        <w:spacing w:after="0" w:line="282" w:lineRule="auto"/>
        <w:rPr>
          <w:sz w:val="20"/>
          <w:szCs w:val="20"/>
          <w:color w:val="auto"/>
        </w:rPr>
      </w:pPr>
      <w:r>
        <w:rPr>
          <w:rFonts w:ascii="Arial" w:cs="Arial" w:eastAsia="Arial" w:hAnsi="Arial"/>
          <w:sz w:val="13"/>
          <w:szCs w:val="13"/>
          <w:color w:val="auto"/>
        </w:rPr>
        <w:t>Distributions with respect to Notes held beneficially through Clearstream will be credited to cash accounts of Clearstream Participants in accordance with its rules and procedures, to the extent received by the U.S. depositary for Clearstream.</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Euroclear</w:t>
      </w:r>
    </w:p>
    <w:p>
      <w:pPr>
        <w:spacing w:after="0" w:line="81" w:lineRule="exact"/>
        <w:rPr>
          <w:sz w:val="20"/>
          <w:szCs w:val="20"/>
          <w:color w:val="auto"/>
        </w:rPr>
      </w:pPr>
    </w:p>
    <w:p>
      <w:pPr>
        <w:ind w:left="420" w:right="439" w:firstLine="327"/>
        <w:spacing w:after="0" w:line="245" w:lineRule="auto"/>
        <w:rPr>
          <w:sz w:val="20"/>
          <w:szCs w:val="20"/>
          <w:color w:val="auto"/>
        </w:rPr>
      </w:pPr>
      <w:r>
        <w:rPr>
          <w:rFonts w:ascii="Arial" w:cs="Arial" w:eastAsia="Arial" w:hAnsi="Arial"/>
          <w:sz w:val="13"/>
          <w:szCs w:val="13"/>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Euroclear is owned by Euroclear Clearance System Public Limited Company (ECSplc) and operated through Euroclear,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37" w:lineRule="exact"/>
        <w:rPr>
          <w:sz w:val="20"/>
          <w:szCs w:val="20"/>
          <w:color w:val="auto"/>
        </w:rPr>
      </w:pPr>
    </w:p>
    <w:p>
      <w:pPr>
        <w:ind w:left="420" w:right="799" w:firstLine="327"/>
        <w:spacing w:after="0" w:line="282" w:lineRule="auto"/>
        <w:rPr>
          <w:sz w:val="20"/>
          <w:szCs w:val="20"/>
          <w:color w:val="auto"/>
        </w:rPr>
      </w:pPr>
      <w:r>
        <w:rPr>
          <w:rFonts w:ascii="Arial" w:cs="Arial" w:eastAsia="Arial" w:hAnsi="Arial"/>
          <w:sz w:val="13"/>
          <w:szCs w:val="13"/>
          <w:color w:val="auto"/>
        </w:rPr>
        <w:t>The Euroclear Operator advises us that it is regulated and examined by the Belgian Banking and Finance Commission and the National Bank of Belgium.</w:t>
      </w:r>
    </w:p>
    <w:p>
      <w:pPr>
        <w:spacing w:after="0" w:line="110" w:lineRule="exact"/>
        <w:rPr>
          <w:sz w:val="20"/>
          <w:szCs w:val="20"/>
          <w:color w:val="auto"/>
        </w:rPr>
      </w:pPr>
    </w:p>
    <w:p>
      <w:pPr>
        <w:ind w:left="420" w:right="459" w:firstLine="327"/>
        <w:spacing w:after="0" w:line="262" w:lineRule="auto"/>
        <w:rPr>
          <w:sz w:val="20"/>
          <w:szCs w:val="20"/>
          <w:color w:val="auto"/>
        </w:rPr>
      </w:pPr>
      <w:r>
        <w:rPr>
          <w:rFonts w:ascii="Arial" w:cs="Arial" w:eastAsia="Arial" w:hAnsi="Arial"/>
          <w:sz w:val="13"/>
          <w:szCs w:val="13"/>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S-29</w:t>
      </w:r>
    </w:p>
    <w:p>
      <w:pPr>
        <w:sectPr>
          <w:pgSz w:w="11900" w:h="16838" w:orient="portrait"/>
          <w:cols w:equalWidth="0" w:num="1">
            <w:col w:w="9019"/>
          </w:cols>
          <w:pgMar w:left="1440" w:top="237" w:right="1440" w:bottom="1440" w:gutter="0" w:footer="0" w:header="0"/>
        </w:sectPr>
      </w:pPr>
    </w:p>
    <w:bookmarkStart w:id="34" w:name="page35"/>
    <w:bookmarkEnd w:id="34"/>
    <w:p>
      <w:pPr>
        <w:ind w:left="420" w:right="679"/>
        <w:spacing w:after="0" w:line="25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5980" cy="31750"/>
                    </a:xfrm>
                    <a:prstGeom prst="rect">
                      <a:avLst/>
                    </a:prstGeom>
                    <a:noFill/>
                  </pic:spPr>
                </pic:pic>
              </a:graphicData>
            </a:graphic>
          </wp:anchor>
        </w:drawing>
        <w:t>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27" w:lineRule="exact"/>
        <w:rPr>
          <w:sz w:val="20"/>
          <w:szCs w:val="20"/>
          <w:color w:val="auto"/>
        </w:rPr>
      </w:pPr>
    </w:p>
    <w:p>
      <w:pPr>
        <w:ind w:left="420" w:right="499" w:firstLine="327"/>
        <w:spacing w:after="0" w:line="282" w:lineRule="auto"/>
        <w:rPr>
          <w:sz w:val="20"/>
          <w:szCs w:val="20"/>
          <w:color w:val="auto"/>
        </w:rPr>
      </w:pPr>
      <w:r>
        <w:rPr>
          <w:rFonts w:ascii="Arial" w:cs="Arial" w:eastAsia="Arial" w:hAnsi="Arial"/>
          <w:sz w:val="13"/>
          <w:szCs w:val="13"/>
          <w:color w:val="auto"/>
        </w:rPr>
        <w:t>Distributions with respect to Notes held beneficially through Euroclear will be credited to the cash accounts of Euroclear Participants in accordance with the Terms and Conditions, to the extent received by the U.S. depositary for Euroclear.</w:t>
      </w:r>
    </w:p>
    <w:p>
      <w:pPr>
        <w:spacing w:after="0" w:line="110" w:lineRule="exact"/>
        <w:rPr>
          <w:sz w:val="20"/>
          <w:szCs w:val="20"/>
          <w:color w:val="auto"/>
        </w:rPr>
      </w:pPr>
    </w:p>
    <w:p>
      <w:pPr>
        <w:ind w:left="420" w:right="499" w:firstLine="327"/>
        <w:spacing w:after="0" w:line="255" w:lineRule="auto"/>
        <w:rPr>
          <w:sz w:val="20"/>
          <w:szCs w:val="20"/>
          <w:color w:val="auto"/>
        </w:rPr>
      </w:pPr>
      <w:r>
        <w:rPr>
          <w:rFonts w:ascii="Arial" w:cs="Arial" w:eastAsia="Arial" w:hAnsi="Arial"/>
          <w:sz w:val="13"/>
          <w:szCs w:val="13"/>
          <w:color w:val="auto"/>
        </w:rPr>
        <w:t>Euroclear has further advised us that investors that acquire, hold and transfer interests in the Notes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Notes.</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Global Clearance and Settlement Procedures</w:t>
      </w:r>
    </w:p>
    <w:p>
      <w:pPr>
        <w:spacing w:after="0" w:line="83" w:lineRule="exact"/>
        <w:rPr>
          <w:sz w:val="20"/>
          <w:szCs w:val="20"/>
          <w:color w:val="auto"/>
        </w:rPr>
      </w:pPr>
    </w:p>
    <w:p>
      <w:pPr>
        <w:ind w:left="420" w:right="499" w:firstLine="327"/>
        <w:spacing w:after="0" w:line="251" w:lineRule="auto"/>
        <w:rPr>
          <w:sz w:val="20"/>
          <w:szCs w:val="20"/>
          <w:color w:val="auto"/>
        </w:rPr>
      </w:pPr>
      <w:r>
        <w:rPr>
          <w:rFonts w:ascii="Arial" w:cs="Arial" w:eastAsia="Arial" w:hAnsi="Arial"/>
          <w:sz w:val="13"/>
          <w:szCs w:val="13"/>
          <w:color w:val="auto"/>
        </w:rPr>
        <w:t>Initial settlement for the Notes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31" w:lineRule="exact"/>
        <w:rPr>
          <w:sz w:val="20"/>
          <w:szCs w:val="20"/>
          <w:color w:val="auto"/>
        </w:rPr>
      </w:pPr>
    </w:p>
    <w:p>
      <w:pPr>
        <w:ind w:left="420" w:right="479" w:firstLine="327"/>
        <w:spacing w:after="0" w:line="246" w:lineRule="auto"/>
        <w:rPr>
          <w:sz w:val="20"/>
          <w:szCs w:val="20"/>
          <w:color w:val="auto"/>
        </w:rPr>
      </w:pPr>
      <w:r>
        <w:rPr>
          <w:rFonts w:ascii="Arial" w:cs="Arial" w:eastAsia="Arial" w:hAnsi="Arial"/>
          <w:sz w:val="13"/>
          <w:szCs w:val="13"/>
          <w:color w:val="auto"/>
        </w:rPr>
        <w:t>Cross-market transfers between persons holding directly or indirectly through DTC, on the one hand, and directly or indirectly through Clearstream Participants or Euroclear Participants, on the other hand,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Notes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36" w:lineRule="exact"/>
        <w:rPr>
          <w:sz w:val="20"/>
          <w:szCs w:val="20"/>
          <w:color w:val="auto"/>
        </w:rPr>
      </w:pPr>
    </w:p>
    <w:p>
      <w:pPr>
        <w:ind w:left="420" w:right="439" w:firstLine="327"/>
        <w:spacing w:after="0" w:line="249" w:lineRule="auto"/>
        <w:rPr>
          <w:sz w:val="20"/>
          <w:szCs w:val="20"/>
          <w:color w:val="auto"/>
        </w:rPr>
      </w:pPr>
      <w:r>
        <w:rPr>
          <w:rFonts w:ascii="Arial" w:cs="Arial" w:eastAsia="Arial" w:hAnsi="Arial"/>
          <w:sz w:val="13"/>
          <w:szCs w:val="13"/>
          <w:color w:val="auto"/>
        </w:rPr>
        <w:t>Because of time zone differences, credits of Notes received through Clearstream or Euroclear as a result of a transaction with a DTC Participant will be made during subsequent securities settlement processing and dated the business day following the DTC settlement date. Such credits or any transactions in such Notes settled during such processing will be reported to the relevant Euroclear Participants or Clearstream Participants on such business day. Cash received in Clearstream or Euroclear as a result of sales of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33" w:lineRule="exact"/>
        <w:rPr>
          <w:sz w:val="20"/>
          <w:szCs w:val="20"/>
          <w:color w:val="auto"/>
        </w:rPr>
      </w:pPr>
    </w:p>
    <w:p>
      <w:pPr>
        <w:jc w:val="both"/>
        <w:ind w:left="420" w:right="839" w:firstLine="327"/>
        <w:spacing w:after="0" w:line="262" w:lineRule="auto"/>
        <w:rPr>
          <w:sz w:val="20"/>
          <w:szCs w:val="20"/>
          <w:color w:val="auto"/>
        </w:rPr>
      </w:pPr>
      <w:r>
        <w:rPr>
          <w:rFonts w:ascii="Arial" w:cs="Arial" w:eastAsia="Arial" w:hAnsi="Arial"/>
          <w:sz w:val="13"/>
          <w:szCs w:val="13"/>
          <w:color w:val="auto"/>
        </w:rPr>
        <w:t>If the Notes are cleared only through Euroclear and Clearstream (and not DTC), you will be able to make and receive through Euroclear and Clearstream payments, deliveries, transfers, exchanges, notices, and other transactions involving any securities held through those systems only on days when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S-30</w:t>
      </w:r>
    </w:p>
    <w:p>
      <w:pPr>
        <w:sectPr>
          <w:pgSz w:w="11900" w:h="16838" w:orient="portrait"/>
          <w:cols w:equalWidth="0" w:num="1">
            <w:col w:w="9019"/>
          </w:cols>
          <w:pgMar w:left="1440" w:top="237" w:right="1440" w:bottom="1440" w:gutter="0" w:footer="0" w:header="0"/>
        </w:sectPr>
      </w:pPr>
    </w:p>
    <w:bookmarkStart w:id="35" w:name="page36"/>
    <w:bookmarkEnd w:id="35"/>
    <w:p>
      <w:pPr>
        <w:ind w:left="420" w:right="579"/>
        <w:spacing w:after="0" w:line="24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those systems are open for business. Those systems may not be open for business on days when banks, brokers, and other institutions are open for business in the United States. In addition, because of time 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33" w:lineRule="exact"/>
        <w:rPr>
          <w:sz w:val="20"/>
          <w:szCs w:val="20"/>
          <w:color w:val="auto"/>
        </w:rPr>
      </w:pPr>
    </w:p>
    <w:p>
      <w:pPr>
        <w:ind w:left="420" w:right="479" w:firstLine="327"/>
        <w:spacing w:after="0" w:line="251" w:lineRule="auto"/>
        <w:rPr>
          <w:sz w:val="20"/>
          <w:szCs w:val="20"/>
          <w:color w:val="auto"/>
        </w:rPr>
      </w:pPr>
      <w:r>
        <w:rPr>
          <w:rFonts w:ascii="Arial" w:cs="Arial" w:eastAsia="Arial" w:hAnsi="Arial"/>
          <w:sz w:val="13"/>
          <w:szCs w:val="13"/>
          <w:color w:val="auto"/>
        </w:rPr>
        <w:t>Although DTC, Clearstream and Euroclear have agreed to the foregoing procedures in order to facilitate transfers of Notes among participants of DTC, Clearstream and Euroclear, they are under no obligation to perform or continue to perform such procedures and such procedures may be modified or discontinued at any time. None of the Company, the Guarantor,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S-31</w:t>
      </w:r>
    </w:p>
    <w:p>
      <w:pPr>
        <w:sectPr>
          <w:pgSz w:w="11900" w:h="16838" w:orient="portrait"/>
          <w:cols w:equalWidth="0" w:num="1">
            <w:col w:w="9019"/>
          </w:cols>
          <w:pgMar w:left="1440" w:top="237" w:right="1440"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5980" cy="31750"/>
                    </a:xfrm>
                    <a:prstGeom prst="rect">
                      <a:avLst/>
                    </a:prstGeom>
                    <a:noFill/>
                  </pic:spPr>
                </pic:pic>
              </a:graphicData>
            </a:graphic>
          </wp:anchor>
        </w:drawing>
        <w:t>NON-U.S. FEDERAL INCOME TAX CONSIDERATIONS</w:t>
      </w:r>
    </w:p>
    <w:p>
      <w:pPr>
        <w:spacing w:after="0" w:line="164" w:lineRule="exact"/>
        <w:rPr>
          <w:sz w:val="20"/>
          <w:szCs w:val="20"/>
          <w:color w:val="auto"/>
        </w:rPr>
      </w:pPr>
    </w:p>
    <w:p>
      <w:pPr>
        <w:ind w:left="420" w:right="439" w:firstLine="327"/>
        <w:spacing w:after="0" w:line="251" w:lineRule="auto"/>
        <w:rPr>
          <w:sz w:val="20"/>
          <w:szCs w:val="20"/>
          <w:color w:val="auto"/>
        </w:rPr>
      </w:pPr>
      <w:r>
        <w:rPr>
          <w:rFonts w:ascii="Arial" w:cs="Arial" w:eastAsia="Arial" w:hAnsi="Arial"/>
          <w:sz w:val="13"/>
          <w:szCs w:val="13"/>
          <w:color w:val="auto"/>
        </w:rPr>
        <w:t>This summary solely addresses the principal Luxembourg tax consequences of the acquisition, ownership and disposal of the Notes and does not purport to describe every aspect of taxation that may be relevant to a particular holder. Tax matters are complex, and the tax consequences of the offer to a particular holder of Notes will depend in part on such holder’s circumstances. Accordingly, a holder is urged to consult his tax advisor for a full understanding of the tax consequences of the offer to him, including the applicability and effect of Luxembourg tax laws.</w:t>
      </w:r>
    </w:p>
    <w:p>
      <w:pPr>
        <w:spacing w:after="0" w:line="131" w:lineRule="exact"/>
        <w:rPr>
          <w:sz w:val="20"/>
          <w:szCs w:val="20"/>
          <w:color w:val="auto"/>
        </w:rPr>
      </w:pPr>
    </w:p>
    <w:p>
      <w:pPr>
        <w:ind w:left="420" w:right="639" w:firstLine="327"/>
        <w:spacing w:after="0" w:line="282" w:lineRule="auto"/>
        <w:rPr>
          <w:sz w:val="20"/>
          <w:szCs w:val="20"/>
          <w:color w:val="auto"/>
        </w:rPr>
      </w:pPr>
      <w:r>
        <w:rPr>
          <w:rFonts w:ascii="Arial" w:cs="Arial" w:eastAsia="Arial" w:hAnsi="Arial"/>
          <w:sz w:val="13"/>
          <w:szCs w:val="13"/>
          <w:color w:val="auto"/>
        </w:rPr>
        <w:t>Where in this summary English terms and expressions are used to refer to Luxembourg concepts, the meaning to be attributed to such terms and expressions shall be the meaning to be attributed to the equivalent Luxembourg concepts under Luxembourg tax law.</w:t>
      </w:r>
    </w:p>
    <w:p>
      <w:pPr>
        <w:spacing w:after="0" w:line="110" w:lineRule="exact"/>
        <w:rPr>
          <w:sz w:val="20"/>
          <w:szCs w:val="20"/>
          <w:color w:val="auto"/>
        </w:rPr>
      </w:pPr>
    </w:p>
    <w:p>
      <w:pPr>
        <w:jc w:val="both"/>
        <w:ind w:left="420" w:right="479" w:firstLine="327"/>
        <w:spacing w:after="0" w:line="262" w:lineRule="auto"/>
        <w:rPr>
          <w:sz w:val="20"/>
          <w:szCs w:val="20"/>
          <w:color w:val="auto"/>
        </w:rPr>
      </w:pPr>
      <w:r>
        <w:rPr>
          <w:rFonts w:ascii="Arial" w:cs="Arial" w:eastAsia="Arial" w:hAnsi="Arial"/>
          <w:sz w:val="13"/>
          <w:szCs w:val="13"/>
          <w:color w:val="auto"/>
        </w:rPr>
        <w:t>This summary is based on the tax law of Luxembourg (unpublished case law not included) as it stands at the date of this prospectus supplement. The tax law upon which this summary is based, is subject to changes, possibly with retroactive effect. Any such change may invalidate the contents of this summary, which will not be updated to reflect such change.</w:t>
      </w:r>
    </w:p>
    <w:p>
      <w:pPr>
        <w:spacing w:after="0" w:line="122" w:lineRule="exact"/>
        <w:rPr>
          <w:sz w:val="20"/>
          <w:szCs w:val="20"/>
          <w:color w:val="auto"/>
        </w:rPr>
      </w:pPr>
    </w:p>
    <w:p>
      <w:pPr>
        <w:ind w:left="420" w:right="539" w:firstLine="327"/>
        <w:spacing w:after="0" w:line="282" w:lineRule="auto"/>
        <w:rPr>
          <w:sz w:val="20"/>
          <w:szCs w:val="20"/>
          <w:color w:val="auto"/>
        </w:rPr>
      </w:pPr>
      <w:r>
        <w:rPr>
          <w:rFonts w:ascii="Arial" w:cs="Arial" w:eastAsia="Arial" w:hAnsi="Arial"/>
          <w:sz w:val="13"/>
          <w:szCs w:val="13"/>
          <w:color w:val="auto"/>
        </w:rPr>
        <w:t>This overview assumes that the notes are debt obligations of the Company for Luxembourg tax purposes and that each transaction with respect to the Notes is at arm’s length.</w:t>
      </w:r>
    </w:p>
    <w:p>
      <w:pPr>
        <w:spacing w:after="0" w:line="110"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The summary in this Luxembourg taxation paragraph does not address the Luxembourg tax consequences for a noteholder who:</w:t>
      </w:r>
    </w:p>
    <w:p>
      <w:pPr>
        <w:spacing w:after="0" w:line="91" w:lineRule="exact"/>
        <w:rPr>
          <w:sz w:val="20"/>
          <w:szCs w:val="20"/>
          <w:color w:val="auto"/>
        </w:rPr>
      </w:pPr>
    </w:p>
    <w:p>
      <w:pPr>
        <w:ind w:left="1140" w:right="439" w:hanging="409"/>
        <w:spacing w:after="0" w:line="251" w:lineRule="auto"/>
        <w:tabs>
          <w:tab w:leader="none" w:pos="11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is an investor as defined in a specific law (such as the law on family wealth management companies of 11 May 2007, as amended, the law on undertakings for collective investment of 17 December 2010, as amended, the law on specialized investment funds of 13 February 2007, as amended, the law on reserved alternative investment funds of 23 July 2016, the law on securitisation of 22 March 2004, as amended, the law on venture capital vehicles of 15 June 2004, as amended and the law on pension saving companies and associations of 13 July 2005);</w:t>
      </w:r>
    </w:p>
    <w:p>
      <w:pPr>
        <w:spacing w:after="0" w:line="61" w:lineRule="exact"/>
        <w:rPr>
          <w:rFonts w:ascii="Arial" w:cs="Arial" w:eastAsia="Arial" w:hAnsi="Arial"/>
          <w:sz w:val="13"/>
          <w:szCs w:val="13"/>
          <w:color w:val="auto"/>
        </w:rPr>
      </w:pPr>
    </w:p>
    <w:p>
      <w:pPr>
        <w:ind w:left="1140" w:hanging="409"/>
        <w:spacing w:after="0"/>
        <w:tabs>
          <w:tab w:leader="none" w:pos="11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is, in whole or in part, exempt from tax;</w:t>
      </w:r>
    </w:p>
    <w:p>
      <w:pPr>
        <w:spacing w:after="0" w:line="91" w:lineRule="exact"/>
        <w:rPr>
          <w:rFonts w:ascii="Arial" w:cs="Arial" w:eastAsia="Arial" w:hAnsi="Arial"/>
          <w:sz w:val="13"/>
          <w:szCs w:val="13"/>
          <w:color w:val="auto"/>
        </w:rPr>
      </w:pPr>
    </w:p>
    <w:p>
      <w:pPr>
        <w:ind w:left="1140" w:right="599" w:hanging="409"/>
        <w:spacing w:after="0" w:line="282" w:lineRule="auto"/>
        <w:tabs>
          <w:tab w:leader="none" w:pos="11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acquires, owns or disposes of the Notes in connection with a membership of a management board, a supervisory board, an employment relationship, a deemed employment relationship or management role; or</w:t>
      </w:r>
    </w:p>
    <w:p>
      <w:pPr>
        <w:spacing w:after="0" w:line="39" w:lineRule="exact"/>
        <w:rPr>
          <w:rFonts w:ascii="Arial" w:cs="Arial" w:eastAsia="Arial" w:hAnsi="Arial"/>
          <w:sz w:val="13"/>
          <w:szCs w:val="13"/>
          <w:color w:val="auto"/>
        </w:rPr>
      </w:pPr>
    </w:p>
    <w:p>
      <w:pPr>
        <w:ind w:left="1140" w:right="459" w:hanging="409"/>
        <w:spacing w:after="0" w:line="262" w:lineRule="auto"/>
        <w:tabs>
          <w:tab w:leader="none" w:pos="11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has a substantial interest in the Company or a deemed substantial interest in the Company for Luxembourg tax purposes. Generally, a person holds a substantial interest if such person owns or is deemed to own, directly or indirectly, more than 10% of the shares or interest in an entity.</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Withholding Tax</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Non-resident noteholders</w:t>
      </w:r>
    </w:p>
    <w:p>
      <w:pPr>
        <w:spacing w:after="0" w:line="81" w:lineRule="exact"/>
        <w:rPr>
          <w:sz w:val="20"/>
          <w:szCs w:val="20"/>
          <w:color w:val="auto"/>
        </w:rPr>
      </w:pPr>
    </w:p>
    <w:p>
      <w:pPr>
        <w:ind w:left="420" w:right="519" w:firstLine="327"/>
        <w:spacing w:after="0" w:line="262" w:lineRule="auto"/>
        <w:rPr>
          <w:sz w:val="20"/>
          <w:szCs w:val="20"/>
          <w:color w:val="auto"/>
        </w:rPr>
      </w:pPr>
      <w:r>
        <w:rPr>
          <w:rFonts w:ascii="Arial" w:cs="Arial" w:eastAsia="Arial" w:hAnsi="Arial"/>
          <w:sz w:val="13"/>
          <w:szCs w:val="13"/>
          <w:color w:val="auto"/>
        </w:rPr>
        <w:t>All payments of interest and principal under the Notes made to non-residents of Luxembourg may be made free from withholding or deduction of or for any taxes of whatever nature imposed, levied, withheld or assessed by Luxembourg or any political subdivision or taxing authority of or in Luxembourg.</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Individual resident noteholders</w:t>
      </w:r>
    </w:p>
    <w:p>
      <w:pPr>
        <w:spacing w:after="0" w:line="81" w:lineRule="exact"/>
        <w:rPr>
          <w:sz w:val="20"/>
          <w:szCs w:val="20"/>
          <w:color w:val="auto"/>
        </w:rPr>
      </w:pPr>
    </w:p>
    <w:p>
      <w:pPr>
        <w:ind w:left="420" w:right="499" w:firstLine="327"/>
        <w:spacing w:after="0" w:line="282" w:lineRule="auto"/>
        <w:rPr>
          <w:sz w:val="20"/>
          <w:szCs w:val="20"/>
          <w:color w:val="auto"/>
        </w:rPr>
      </w:pPr>
      <w:r>
        <w:rPr>
          <w:rFonts w:ascii="Arial" w:cs="Arial" w:eastAsia="Arial" w:hAnsi="Arial"/>
          <w:sz w:val="13"/>
          <w:szCs w:val="13"/>
          <w:color w:val="auto"/>
        </w:rPr>
        <w:t>Under the law of 23 December 2005 as amended (the “Relibi Law”), payments of interest and similar income made or deemed to be made to an individual who is resident in Luxembourg are subject to a withholding tax of 20% of the payment.</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S-32</w:t>
      </w:r>
    </w:p>
    <w:p>
      <w:pPr>
        <w:sectPr>
          <w:pgSz w:w="11900" w:h="16838" w:orient="portrait"/>
          <w:cols w:equalWidth="0" w:num="1">
            <w:col w:w="9019"/>
          </w:cols>
          <w:pgMar w:left="1440" w:top="235" w:right="1440" w:bottom="1440" w:gutter="0" w:footer="0" w:header="0"/>
        </w:sectPr>
      </w:pPr>
    </w:p>
    <w:bookmarkStart w:id="37" w:name="page38"/>
    <w:bookmarkEnd w:id="37"/>
    <w:p>
      <w:pPr>
        <w:ind w:left="4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Taxes on Income and Capital Gains</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Non-resident noteholders</w:t>
      </w:r>
    </w:p>
    <w:p>
      <w:pPr>
        <w:spacing w:after="0" w:line="81" w:lineRule="exact"/>
        <w:rPr>
          <w:sz w:val="20"/>
          <w:szCs w:val="20"/>
          <w:color w:val="auto"/>
        </w:rPr>
      </w:pPr>
    </w:p>
    <w:p>
      <w:pPr>
        <w:ind w:left="420" w:right="459" w:firstLine="327"/>
        <w:spacing w:after="0" w:line="262" w:lineRule="auto"/>
        <w:rPr>
          <w:sz w:val="20"/>
          <w:szCs w:val="20"/>
          <w:color w:val="auto"/>
        </w:rPr>
      </w:pPr>
      <w:r>
        <w:rPr>
          <w:rFonts w:ascii="Arial" w:cs="Arial" w:eastAsia="Arial" w:hAnsi="Arial"/>
          <w:sz w:val="13"/>
          <w:szCs w:val="13"/>
          <w:color w:val="auto"/>
        </w:rPr>
        <w:t>Non-resident noteholders that do not have a permanent establishment in Luxembourg to which the Notes or income thereon are attributable are not subject to Luxembourg income taxes in respect of any benefits derived or deemed to be derived in connection with the Notes.</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Resident noteholders</w:t>
      </w:r>
    </w:p>
    <w:p>
      <w:pPr>
        <w:spacing w:after="0" w:line="81" w:lineRule="exact"/>
        <w:rPr>
          <w:sz w:val="20"/>
          <w:szCs w:val="20"/>
          <w:color w:val="auto"/>
        </w:rPr>
      </w:pPr>
    </w:p>
    <w:p>
      <w:pPr>
        <w:ind w:left="420" w:right="459" w:firstLine="327"/>
        <w:spacing w:after="0" w:line="248" w:lineRule="auto"/>
        <w:rPr>
          <w:sz w:val="20"/>
          <w:szCs w:val="20"/>
          <w:color w:val="auto"/>
        </w:rPr>
      </w:pPr>
      <w:r>
        <w:rPr>
          <w:rFonts w:ascii="Arial" w:cs="Arial" w:eastAsia="Arial" w:hAnsi="Arial"/>
          <w:sz w:val="13"/>
          <w:szCs w:val="13"/>
          <w:i w:val="1"/>
          <w:iCs w:val="1"/>
          <w:color w:val="auto"/>
        </w:rPr>
        <w:t>Individuals</w:t>
      </w:r>
      <w:r>
        <w:rPr>
          <w:rFonts w:ascii="Arial" w:cs="Arial" w:eastAsia="Arial" w:hAnsi="Arial"/>
          <w:sz w:val="13"/>
          <w:szCs w:val="13"/>
          <w:color w:val="auto"/>
        </w:rPr>
        <w:t>. Any benefits derived or deemed to be derived from or in connection with Notes that are attributable to an enterprise from</w:t>
      </w:r>
      <w:r>
        <w:rPr>
          <w:rFonts w:ascii="Arial" w:cs="Arial" w:eastAsia="Arial" w:hAnsi="Arial"/>
          <w:sz w:val="13"/>
          <w:szCs w:val="13"/>
          <w:i w:val="1"/>
          <w:iCs w:val="1"/>
          <w:color w:val="auto"/>
        </w:rPr>
        <w:t xml:space="preserve"> </w:t>
      </w:r>
      <w:r>
        <w:rPr>
          <w:rFonts w:ascii="Arial" w:cs="Arial" w:eastAsia="Arial" w:hAnsi="Arial"/>
          <w:sz w:val="13"/>
          <w:szCs w:val="13"/>
          <w:color w:val="auto"/>
        </w:rPr>
        <w:t>which an individual derives profits, whether as an entrepreneur or pursuant to a co-entitlement to the net value of an enterprise, are generally subject to Luxembourg income tax. A resident individual who invests in the Notes as part of such person’s private wealth management, is subject to Luxembourg income tax in respect of interest and similar income (such as premiums or issue discounts) derived from the Notes, except if tax is levied on such income in accordance with the Relibi Law. A gain realised by a resident individual, acting in the course of the management of that person’s private wealth, upon the sale or disposal, in any form whatsoever, of Notes is not subject to Luxembourg income tax, provided this sale or disposal takes place more than six months after the Notes are acquired.</w:t>
      </w:r>
    </w:p>
    <w:p>
      <w:pPr>
        <w:spacing w:after="0" w:line="133" w:lineRule="exact"/>
        <w:rPr>
          <w:sz w:val="20"/>
          <w:szCs w:val="20"/>
          <w:color w:val="auto"/>
        </w:rPr>
      </w:pPr>
    </w:p>
    <w:p>
      <w:pPr>
        <w:ind w:left="420" w:right="459" w:firstLine="327"/>
        <w:spacing w:after="0" w:line="262" w:lineRule="auto"/>
        <w:rPr>
          <w:sz w:val="20"/>
          <w:szCs w:val="20"/>
          <w:color w:val="auto"/>
        </w:rPr>
      </w:pPr>
      <w:r>
        <w:rPr>
          <w:rFonts w:ascii="Arial" w:cs="Arial" w:eastAsia="Arial" w:hAnsi="Arial"/>
          <w:sz w:val="13"/>
          <w:szCs w:val="13"/>
          <w:color w:val="auto"/>
        </w:rPr>
        <w:t>However, any portion of such gain corresponding to accrued but unpaid interest is subject to Luxembourg income tax, except if tax is levied on such interest in accordance with the Relibi Law. Any benefit derived by a resident individual from the disposal of Notes prior to their acquisition is subject to income tax as well.</w:t>
      </w:r>
    </w:p>
    <w:p>
      <w:pPr>
        <w:spacing w:after="0" w:line="122" w:lineRule="exact"/>
        <w:rPr>
          <w:sz w:val="20"/>
          <w:szCs w:val="20"/>
          <w:color w:val="auto"/>
        </w:rPr>
      </w:pPr>
    </w:p>
    <w:p>
      <w:pPr>
        <w:ind w:left="420" w:right="499" w:firstLine="327"/>
        <w:spacing w:after="0" w:line="262" w:lineRule="auto"/>
        <w:rPr>
          <w:sz w:val="20"/>
          <w:szCs w:val="20"/>
          <w:color w:val="auto"/>
        </w:rPr>
      </w:pPr>
      <w:r>
        <w:rPr>
          <w:rFonts w:ascii="Arial" w:cs="Arial" w:eastAsia="Arial" w:hAnsi="Arial"/>
          <w:sz w:val="13"/>
          <w:szCs w:val="13"/>
          <w:i w:val="1"/>
          <w:iCs w:val="1"/>
          <w:color w:val="auto"/>
        </w:rPr>
        <w:t>Corporations</w:t>
      </w:r>
      <w:r>
        <w:rPr>
          <w:rFonts w:ascii="Arial" w:cs="Arial" w:eastAsia="Arial" w:hAnsi="Arial"/>
          <w:sz w:val="13"/>
          <w:szCs w:val="13"/>
          <w:color w:val="auto"/>
        </w:rPr>
        <w:t>. A corporate resident noteholder must include any benefits derived or deemed to be derived from or in connection with</w:t>
      </w:r>
      <w:r>
        <w:rPr>
          <w:rFonts w:ascii="Arial" w:cs="Arial" w:eastAsia="Arial" w:hAnsi="Arial"/>
          <w:sz w:val="13"/>
          <w:szCs w:val="13"/>
          <w:i w:val="1"/>
          <w:iCs w:val="1"/>
          <w:color w:val="auto"/>
        </w:rPr>
        <w:t xml:space="preserve"> </w:t>
      </w:r>
      <w:r>
        <w:rPr>
          <w:rFonts w:ascii="Arial" w:cs="Arial" w:eastAsia="Arial" w:hAnsi="Arial"/>
          <w:sz w:val="13"/>
          <w:szCs w:val="13"/>
          <w:color w:val="auto"/>
        </w:rPr>
        <w:t>the Notes, such as interest accrued or received, any redemption premium or issue discount, as well as any gain realized on the sale or disposal, in any form whatsoever, of the Notes, in its taxable income for Luxembourg income tax purposes.</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General</w:t>
      </w:r>
    </w:p>
    <w:p>
      <w:pPr>
        <w:spacing w:after="0" w:line="81" w:lineRule="exact"/>
        <w:rPr>
          <w:sz w:val="20"/>
          <w:szCs w:val="20"/>
          <w:color w:val="auto"/>
        </w:rPr>
      </w:pPr>
    </w:p>
    <w:p>
      <w:pPr>
        <w:ind w:left="420" w:right="499" w:firstLine="327"/>
        <w:spacing w:after="0" w:line="255" w:lineRule="auto"/>
        <w:rPr>
          <w:sz w:val="20"/>
          <w:szCs w:val="20"/>
          <w:color w:val="auto"/>
        </w:rPr>
      </w:pPr>
      <w:r>
        <w:rPr>
          <w:rFonts w:ascii="Arial" w:cs="Arial" w:eastAsia="Arial" w:hAnsi="Arial"/>
          <w:sz w:val="13"/>
          <w:szCs w:val="13"/>
          <w:color w:val="auto"/>
        </w:rPr>
        <w:t>If a noteholder is neither resident nor deemed to be resident in Luxembourg, such holder will for Luxembourg tax purposes not carry on or be deemed to carry on an enterprise, in whole or in part, through a permanent establishment or a permanent representative in Luxembourg by reason only of the execution of the documents relating to the issue of Notes or the performance by the Company of its obligations under such documents or under the Notes.</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Net Wealth Tax</w:t>
      </w:r>
    </w:p>
    <w:p>
      <w:pPr>
        <w:spacing w:after="0" w:line="83" w:lineRule="exact"/>
        <w:rPr>
          <w:sz w:val="20"/>
          <w:szCs w:val="20"/>
          <w:color w:val="auto"/>
        </w:rPr>
      </w:pPr>
    </w:p>
    <w:p>
      <w:pPr>
        <w:ind w:left="420" w:right="419" w:firstLine="327"/>
        <w:spacing w:after="0" w:line="254" w:lineRule="auto"/>
        <w:rPr>
          <w:sz w:val="20"/>
          <w:szCs w:val="20"/>
          <w:color w:val="auto"/>
        </w:rPr>
      </w:pPr>
      <w:r>
        <w:rPr>
          <w:rFonts w:ascii="Arial" w:cs="Arial" w:eastAsia="Arial" w:hAnsi="Arial"/>
          <w:sz w:val="13"/>
          <w:szCs w:val="13"/>
          <w:color w:val="auto"/>
        </w:rPr>
        <w:t xml:space="preserve">Corporate noteholders resident in Luxembourg and non-resident corporate noteholders that maintain a permanent establishment in Luxembourg to which such Notes are attributable are subject to annual net wealth tax on their unitary value (i.e., non-exempt assets minus liabilities and certain provisions as valued according to the Luxembourg valuation rules), levied at a rate of 0.5% if the unitary value does not exceed </w:t>
      </w:r>
      <w:r>
        <w:rPr>
          <w:rFonts w:ascii="Times New Roman" w:cs="Times New Roman" w:eastAsia="Times New Roman" w:hAnsi="Times New Roman"/>
          <w:sz w:val="13"/>
          <w:szCs w:val="13"/>
          <w:color w:val="auto"/>
        </w:rPr>
        <w:t>€</w:t>
      </w:r>
      <w:r>
        <w:rPr>
          <w:rFonts w:ascii="Arial" w:cs="Arial" w:eastAsia="Arial" w:hAnsi="Arial"/>
          <w:sz w:val="13"/>
          <w:szCs w:val="13"/>
          <w:color w:val="auto"/>
        </w:rPr>
        <w:t>500,000,000.</w:t>
      </w:r>
    </w:p>
    <w:p>
      <w:pPr>
        <w:spacing w:after="0" w:line="139" w:lineRule="exact"/>
        <w:rPr>
          <w:sz w:val="20"/>
          <w:szCs w:val="20"/>
          <w:color w:val="auto"/>
        </w:rPr>
      </w:pPr>
    </w:p>
    <w:p>
      <w:pPr>
        <w:ind w:left="740"/>
        <w:spacing w:after="0"/>
        <w:rPr>
          <w:sz w:val="20"/>
          <w:szCs w:val="20"/>
          <w:color w:val="auto"/>
        </w:rPr>
      </w:pPr>
      <w:r>
        <w:rPr>
          <w:rFonts w:ascii="Arial" w:cs="Arial" w:eastAsia="Arial" w:hAnsi="Arial"/>
          <w:sz w:val="13"/>
          <w:szCs w:val="13"/>
          <w:color w:val="auto"/>
        </w:rPr>
        <w:t>Individuals are not subject to Luxembourg net wealth tax.</w:t>
      </w:r>
    </w:p>
    <w:p>
      <w:pPr>
        <w:spacing w:after="0" w:line="240"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Inheritance and Gift Tax</w:t>
      </w:r>
    </w:p>
    <w:p>
      <w:pPr>
        <w:spacing w:after="0" w:line="83" w:lineRule="exact"/>
        <w:rPr>
          <w:sz w:val="20"/>
          <w:szCs w:val="20"/>
          <w:color w:val="auto"/>
        </w:rPr>
      </w:pPr>
    </w:p>
    <w:p>
      <w:pPr>
        <w:ind w:left="740"/>
        <w:spacing w:after="0"/>
        <w:rPr>
          <w:sz w:val="20"/>
          <w:szCs w:val="20"/>
          <w:color w:val="auto"/>
        </w:rPr>
      </w:pPr>
      <w:r>
        <w:rPr>
          <w:rFonts w:ascii="Arial" w:cs="Arial" w:eastAsia="Arial" w:hAnsi="Arial"/>
          <w:sz w:val="13"/>
          <w:szCs w:val="13"/>
          <w:color w:val="auto"/>
        </w:rPr>
        <w:t>Where the Notes are transferred for non-consideration:</w:t>
      </w:r>
    </w:p>
    <w:p>
      <w:pPr>
        <w:spacing w:after="0" w:line="91" w:lineRule="exact"/>
        <w:rPr>
          <w:sz w:val="20"/>
          <w:szCs w:val="20"/>
          <w:color w:val="auto"/>
        </w:rPr>
      </w:pPr>
    </w:p>
    <w:p>
      <w:pPr>
        <w:ind w:left="1140" w:right="859" w:hanging="409"/>
        <w:spacing w:after="0" w:line="282" w:lineRule="auto"/>
        <w:tabs>
          <w:tab w:leader="none" w:pos="11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no Luxembourg inheritance tax is levied on the transfer of the Notes upon the death of a noteholder in cases where the deceased was not a resident or a deemed resident of Luxembourg for inheritance tax purposes;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S-33</w:t>
      </w:r>
    </w:p>
    <w:p>
      <w:pPr>
        <w:sectPr>
          <w:pgSz w:w="11900" w:h="16838" w:orient="portrait"/>
          <w:cols w:equalWidth="0" w:num="1">
            <w:col w:w="9019"/>
          </w:cols>
          <w:pgMar w:left="1440" w:top="235" w:right="1440" w:bottom="1440" w:gutter="0" w:footer="0" w:header="0"/>
        </w:sectPr>
      </w:pPr>
    </w:p>
    <w:bookmarkStart w:id="38" w:name="page39"/>
    <w:bookmarkEnd w:id="38"/>
    <w:p>
      <w:pPr>
        <w:ind w:left="1140" w:right="539" w:hanging="409"/>
        <w:spacing w:after="0" w:line="262" w:lineRule="auto"/>
        <w:tabs>
          <w:tab w:leader="none" w:pos="1140" w:val="left"/>
        </w:tabs>
        <w:numPr>
          <w:ilvl w:val="0"/>
          <w:numId w:val="2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5980" cy="31750"/>
                    </a:xfrm>
                    <a:prstGeom prst="rect">
                      <a:avLst/>
                    </a:prstGeom>
                    <a:noFill/>
                  </pic:spPr>
                </pic:pic>
              </a:graphicData>
            </a:graphic>
          </wp:anchor>
        </w:drawing>
        <w:t>by way of gift, Luxembourg gift tax will be levied in the event that the gift is made pursuant to a notarial deed signed before a Luxembourg notary or produced for registration, directly or indirectly, before the Registration and Estates Department (</w:t>
      </w:r>
      <w:r>
        <w:rPr>
          <w:rFonts w:ascii="Arial" w:cs="Arial" w:eastAsia="Arial" w:hAnsi="Arial"/>
          <w:sz w:val="13"/>
          <w:szCs w:val="13"/>
          <w:i w:val="1"/>
          <w:iCs w:val="1"/>
          <w:color w:val="auto"/>
        </w:rPr>
        <w:t>Administration de l’enregistrement, des domaines et de la TVA</w:t>
      </w:r>
      <w:r>
        <w:rPr>
          <w:rFonts w:ascii="Arial" w:cs="Arial" w:eastAsia="Arial" w:hAnsi="Arial"/>
          <w:sz w:val="13"/>
          <w:szCs w:val="13"/>
          <w:color w:val="auto"/>
        </w:rPr>
        <w:t>).</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Other Taxes and Duties</w:t>
      </w:r>
    </w:p>
    <w:p>
      <w:pPr>
        <w:spacing w:after="0" w:line="83" w:lineRule="exact"/>
        <w:rPr>
          <w:sz w:val="20"/>
          <w:szCs w:val="20"/>
          <w:color w:val="auto"/>
        </w:rPr>
      </w:pPr>
    </w:p>
    <w:p>
      <w:pPr>
        <w:ind w:left="420" w:right="459" w:firstLine="327"/>
        <w:spacing w:after="0" w:line="262" w:lineRule="auto"/>
        <w:rPr>
          <w:sz w:val="20"/>
          <w:szCs w:val="20"/>
          <w:color w:val="auto"/>
        </w:rPr>
      </w:pPr>
      <w:r>
        <w:rPr>
          <w:rFonts w:ascii="Arial" w:cs="Arial" w:eastAsia="Arial" w:hAnsi="Arial"/>
          <w:sz w:val="13"/>
          <w:szCs w:val="13"/>
          <w:color w:val="auto"/>
        </w:rPr>
        <w:t>It is not compulsory that the Notes be filed, recorded, or enrolled with any court or other authority in Luxembourg. No registration tax, stamp duty or any other similar documentary tax or duty is due in respect of or in connection with the issue of Notes, the performance by the Company of its obligations under the Notes, or the transfer of the Notes.</w:t>
      </w:r>
    </w:p>
    <w:p>
      <w:pPr>
        <w:spacing w:after="0" w:line="122" w:lineRule="exact"/>
        <w:rPr>
          <w:sz w:val="20"/>
          <w:szCs w:val="20"/>
          <w:color w:val="auto"/>
        </w:rPr>
      </w:pPr>
    </w:p>
    <w:p>
      <w:pPr>
        <w:ind w:left="420" w:right="439" w:firstLine="327"/>
        <w:spacing w:after="0" w:line="255" w:lineRule="auto"/>
        <w:rPr>
          <w:sz w:val="20"/>
          <w:szCs w:val="20"/>
          <w:color w:val="auto"/>
        </w:rPr>
      </w:pPr>
      <w:r>
        <w:rPr>
          <w:rFonts w:ascii="Arial" w:cs="Arial" w:eastAsia="Arial" w:hAnsi="Arial"/>
          <w:sz w:val="13"/>
          <w:szCs w:val="13"/>
          <w:color w:val="auto"/>
        </w:rPr>
        <w:t>A fixed or proportional registration duty in Luxembourg may however apply upon registration of the Notes before the Registration and Estates Department (</w:t>
      </w:r>
      <w:r>
        <w:rPr>
          <w:rFonts w:ascii="Arial" w:cs="Arial" w:eastAsia="Arial" w:hAnsi="Arial"/>
          <w:sz w:val="13"/>
          <w:szCs w:val="13"/>
          <w:i w:val="1"/>
          <w:iCs w:val="1"/>
          <w:color w:val="auto"/>
        </w:rPr>
        <w:t>Administration de l’enregistrement, des domaines et de la TVA</w:t>
      </w:r>
      <w:r>
        <w:rPr>
          <w:rFonts w:ascii="Arial" w:cs="Arial" w:eastAsia="Arial" w:hAnsi="Arial"/>
          <w:sz w:val="13"/>
          <w:szCs w:val="13"/>
          <w:color w:val="auto"/>
        </w:rPr>
        <w:t>) in Luxembourg where (i) this registration is not required by law, or (ii) if the Notes are (a) enclosed to a compulsory registrable deed under Luxembourg law, or (b) deposited with the official records of a notary.</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FATCA</w:t>
      </w:r>
    </w:p>
    <w:p>
      <w:pPr>
        <w:spacing w:after="0" w:line="83" w:lineRule="exact"/>
        <w:rPr>
          <w:sz w:val="20"/>
          <w:szCs w:val="20"/>
          <w:color w:val="auto"/>
        </w:rPr>
      </w:pPr>
    </w:p>
    <w:p>
      <w:pPr>
        <w:ind w:left="420" w:right="739" w:firstLine="327"/>
        <w:spacing w:after="0" w:line="255" w:lineRule="auto"/>
        <w:rPr>
          <w:sz w:val="20"/>
          <w:szCs w:val="20"/>
          <w:color w:val="auto"/>
        </w:rPr>
      </w:pPr>
      <w:r>
        <w:rPr>
          <w:rFonts w:ascii="Arial" w:cs="Arial" w:eastAsia="Arial" w:hAnsi="Arial"/>
          <w:sz w:val="13"/>
          <w:szCs w:val="13"/>
          <w:color w:val="auto"/>
        </w:rPr>
        <w:t>The Foreign Account Tax Compliance Act (“FATCA”) was enacted into U.S. law in March 2010 as part of the Hiring Incentives to Restore Employment Act. FATCA aims at reducing tax evasion by U.S. citizens and requires, among other things, foreign financial institutions outside the United States (“FFIs”) to provide information about financial accounts held, directly or indirectly, by specified U.S. persons or face a 30% U.S. federal withholding tax imposed on certain U.S.-source payment (“FATCA Withholding”).</w:t>
      </w:r>
    </w:p>
    <w:p>
      <w:pPr>
        <w:spacing w:after="0" w:line="127" w:lineRule="exact"/>
        <w:rPr>
          <w:sz w:val="20"/>
          <w:szCs w:val="20"/>
          <w:color w:val="auto"/>
        </w:rPr>
      </w:pPr>
    </w:p>
    <w:p>
      <w:pPr>
        <w:ind w:left="420" w:right="459" w:firstLine="327"/>
        <w:spacing w:after="0" w:line="255" w:lineRule="auto"/>
        <w:rPr>
          <w:sz w:val="20"/>
          <w:szCs w:val="20"/>
          <w:color w:val="auto"/>
        </w:rPr>
      </w:pPr>
      <w:r>
        <w:rPr>
          <w:rFonts w:ascii="Arial" w:cs="Arial" w:eastAsia="Arial" w:hAnsi="Arial"/>
          <w:sz w:val="13"/>
          <w:szCs w:val="13"/>
          <w:color w:val="auto"/>
        </w:rPr>
        <w:t>To implement FATCA in Luxembourg, Luxembourg entered into a so-called Model 1 Intergovernmental Agreement (the “IGA”) with the U.S., and a memorandum of understanding in respect thereof, on 28 March 2014. The IGA was implemented under Luxembourg domestic law by Law of 24 July 2015 (the “Luxembourg FATCA Law”). Luxembourg FFIs that comply with the requirements of the IGA and the Luxembourg FATCA Law will not be subject to FATCA Withholding.</w:t>
      </w:r>
    </w:p>
    <w:p>
      <w:pPr>
        <w:spacing w:after="0" w:line="127" w:lineRule="exact"/>
        <w:rPr>
          <w:sz w:val="20"/>
          <w:szCs w:val="20"/>
          <w:color w:val="auto"/>
        </w:rPr>
      </w:pPr>
    </w:p>
    <w:p>
      <w:pPr>
        <w:ind w:left="420" w:right="619" w:firstLine="327"/>
        <w:spacing w:after="0" w:line="251" w:lineRule="auto"/>
        <w:rPr>
          <w:sz w:val="20"/>
          <w:szCs w:val="20"/>
          <w:color w:val="auto"/>
        </w:rPr>
      </w:pPr>
      <w:r>
        <w:rPr>
          <w:rFonts w:ascii="Arial" w:cs="Arial" w:eastAsia="Arial" w:hAnsi="Arial"/>
          <w:sz w:val="13"/>
          <w:szCs w:val="13"/>
          <w:color w:val="auto"/>
        </w:rPr>
        <w:t>Under the IGA and the Luxembourg FATCA Law, Luxembourg FFIs are required to perform certain necessary due diligence and monitoring of investors, and to report to the Luxembourg tax authorities on an annual basis information about financial accounts held by</w:t>
      </w:r>
    </w:p>
    <w:p>
      <w:pPr>
        <w:ind w:left="420" w:right="639" w:hanging="10"/>
        <w:spacing w:after="0" w:line="263" w:lineRule="auto"/>
        <w:tabs>
          <w:tab w:leader="none" w:pos="621" w:val="left"/>
        </w:tabs>
        <w:numPr>
          <w:ilvl w:val="0"/>
          <w:numId w:val="25"/>
        </w:numPr>
        <w:rPr>
          <w:rFonts w:ascii="Arial" w:cs="Arial" w:eastAsia="Arial" w:hAnsi="Arial"/>
          <w:sz w:val="13"/>
          <w:szCs w:val="13"/>
          <w:color w:val="auto"/>
        </w:rPr>
      </w:pPr>
      <w:r>
        <w:rPr>
          <w:rFonts w:ascii="Arial" w:cs="Arial" w:eastAsia="Arial" w:hAnsi="Arial"/>
          <w:sz w:val="13"/>
          <w:szCs w:val="13"/>
          <w:color w:val="auto"/>
        </w:rPr>
        <w:t>specified U.S. investors, (b) certain U.S.-controlled entity investors and (c) non-U.S. financial institution investors that do not comply with FATCA. Such information will subsequently be remitted by the Luxembourg tax authorities to the U.S. Internal Revenue Service.</w:t>
      </w:r>
    </w:p>
    <w:p>
      <w:pPr>
        <w:spacing w:after="0" w:line="122" w:lineRule="exact"/>
        <w:rPr>
          <w:sz w:val="20"/>
          <w:szCs w:val="20"/>
          <w:color w:val="auto"/>
        </w:rPr>
      </w:pPr>
    </w:p>
    <w:p>
      <w:pPr>
        <w:jc w:val="both"/>
        <w:ind w:left="420" w:right="759" w:firstLine="327"/>
        <w:spacing w:after="0" w:line="262" w:lineRule="auto"/>
        <w:rPr>
          <w:sz w:val="20"/>
          <w:szCs w:val="20"/>
          <w:color w:val="auto"/>
        </w:rPr>
      </w:pPr>
      <w:r>
        <w:rPr>
          <w:rFonts w:ascii="Arial" w:cs="Arial" w:eastAsia="Arial" w:hAnsi="Arial"/>
          <w:sz w:val="13"/>
          <w:szCs w:val="13"/>
          <w:color w:val="auto"/>
        </w:rPr>
        <w:t>Noteholders may be required to provide information to the Company to ensure the Company’s compliance with the IGA and the Luxembourg FATCA Law. In the event that a noteholder does not provide the required information, the Company may need to report financial account information of such noteholder to Luxembourg tax authorities.</w:t>
      </w:r>
    </w:p>
    <w:p>
      <w:pPr>
        <w:spacing w:after="0" w:line="122" w:lineRule="exact"/>
        <w:rPr>
          <w:sz w:val="20"/>
          <w:szCs w:val="20"/>
          <w:color w:val="auto"/>
        </w:rPr>
      </w:pPr>
    </w:p>
    <w:p>
      <w:pPr>
        <w:ind w:left="420" w:right="959" w:firstLine="327"/>
        <w:spacing w:after="0" w:line="282" w:lineRule="auto"/>
        <w:rPr>
          <w:sz w:val="20"/>
          <w:szCs w:val="20"/>
          <w:color w:val="auto"/>
        </w:rPr>
      </w:pPr>
      <w:r>
        <w:rPr>
          <w:rFonts w:ascii="Arial" w:cs="Arial" w:eastAsia="Arial" w:hAnsi="Arial"/>
          <w:sz w:val="13"/>
          <w:szCs w:val="13"/>
          <w:color w:val="auto"/>
        </w:rPr>
        <w:t>Noteholders should consult with their tax advisers regarding the effects of the IGA and the Luxembourg FATCA Law on their investment in the Notes.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Common Reporting Standard</w:t>
      </w:r>
    </w:p>
    <w:p>
      <w:pPr>
        <w:spacing w:after="0" w:line="83" w:lineRule="exact"/>
        <w:rPr>
          <w:sz w:val="20"/>
          <w:szCs w:val="20"/>
          <w:color w:val="auto"/>
        </w:rPr>
      </w:pPr>
    </w:p>
    <w:p>
      <w:pPr>
        <w:ind w:left="420" w:right="499" w:firstLine="327"/>
        <w:spacing w:after="0" w:line="282" w:lineRule="auto"/>
        <w:rPr>
          <w:sz w:val="20"/>
          <w:szCs w:val="20"/>
          <w:color w:val="auto"/>
        </w:rPr>
      </w:pPr>
      <w:r>
        <w:rPr>
          <w:rFonts w:ascii="Arial" w:cs="Arial" w:eastAsia="Arial" w:hAnsi="Arial"/>
          <w:sz w:val="13"/>
          <w:szCs w:val="13"/>
          <w:color w:val="auto"/>
        </w:rPr>
        <w:t>The Organisation for Economic Co-operation and Development has developed a new global standard for the automatic exchange of financial information between tax authorities (the “CRS”).</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S-34</w:t>
      </w:r>
    </w:p>
    <w:p>
      <w:pPr>
        <w:sectPr>
          <w:pgSz w:w="11900" w:h="16838" w:orient="portrait"/>
          <w:cols w:equalWidth="0" w:num="1">
            <w:col w:w="9019"/>
          </w:cols>
          <w:pgMar w:left="1440" w:top="237" w:right="1440" w:bottom="1440" w:gutter="0" w:footer="0" w:header="0"/>
        </w:sectPr>
      </w:pPr>
    </w:p>
    <w:bookmarkStart w:id="39" w:name="page40"/>
    <w:bookmarkEnd w:id="39"/>
    <w:p>
      <w:pPr>
        <w:ind w:left="420" w:right="659"/>
        <w:spacing w:after="0" w:line="25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5980" cy="31750"/>
                    </a:xfrm>
                    <a:prstGeom prst="rect">
                      <a:avLst/>
                    </a:prstGeom>
                    <a:noFill/>
                  </pic:spPr>
                </pic:pic>
              </a:graphicData>
            </a:graphic>
          </wp:anchor>
        </w:drawing>
        <w:t>Luxembourg is a signatory jurisdiction to the CRS and has conducted its first exchange of information with tax authorities of other signatory jurisdictions in September 2017, as regards reportable financial information gathered in relation to fiscal year 2016. The CRS has been implemented in Luxembourg via the law dated 18 December 2015 concerning the automatic exchange of information on financial accounts and tax matters and implementing the EU Directive 2014/107/EU.</w:t>
      </w:r>
    </w:p>
    <w:p>
      <w:pPr>
        <w:spacing w:after="0" w:line="127" w:lineRule="exact"/>
        <w:rPr>
          <w:sz w:val="20"/>
          <w:szCs w:val="20"/>
          <w:color w:val="auto"/>
        </w:rPr>
      </w:pPr>
    </w:p>
    <w:p>
      <w:pPr>
        <w:ind w:left="420" w:right="559" w:firstLine="327"/>
        <w:spacing w:after="0" w:line="255" w:lineRule="auto"/>
        <w:rPr>
          <w:sz w:val="20"/>
          <w:szCs w:val="20"/>
          <w:color w:val="auto"/>
        </w:rPr>
      </w:pPr>
      <w:r>
        <w:rPr>
          <w:rFonts w:ascii="Arial" w:cs="Arial" w:eastAsia="Arial" w:hAnsi="Arial"/>
          <w:sz w:val="13"/>
          <w:szCs w:val="13"/>
          <w:color w:val="auto"/>
        </w:rPr>
        <w:t>The regulations may impose obligations on the Company and the noteholders, if the Company is considered as a Reporting Financial Institution (e.g., an Investment Entity) under the CRS, so that the latter could be required to conduct due diligence and obtain (among other things) confirmation of the tax residency, tax identification number and CRS classification of noteholders in order to fulfil its own legal obligations.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S-35</w:t>
      </w:r>
    </w:p>
    <w:p>
      <w:pPr>
        <w:sectPr>
          <w:pgSz w:w="11900" w:h="16838" w:orient="portrait"/>
          <w:cols w:equalWidth="0" w:num="1">
            <w:col w:w="9019"/>
          </w:cols>
          <w:pgMar w:left="1440" w:top="237"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5980" cy="31750"/>
                    </a:xfrm>
                    <a:prstGeom prst="rect">
                      <a:avLst/>
                    </a:prstGeom>
                    <a:noFill/>
                  </pic:spPr>
                </pic:pic>
              </a:graphicData>
            </a:graphic>
          </wp:anchor>
        </w:drawing>
        <w:t>U.S. FEDERAL INCOME TAX CONSIDERATIONS</w:t>
      </w:r>
    </w:p>
    <w:p>
      <w:pPr>
        <w:spacing w:after="0" w:line="164" w:lineRule="exact"/>
        <w:rPr>
          <w:sz w:val="20"/>
          <w:szCs w:val="20"/>
          <w:color w:val="auto"/>
        </w:rPr>
      </w:pPr>
    </w:p>
    <w:p>
      <w:pPr>
        <w:ind w:left="420" w:right="539" w:firstLine="327"/>
        <w:spacing w:after="0" w:line="248" w:lineRule="auto"/>
        <w:rPr>
          <w:sz w:val="20"/>
          <w:szCs w:val="20"/>
          <w:color w:val="auto"/>
        </w:rPr>
      </w:pPr>
      <w:r>
        <w:rPr>
          <w:rFonts w:ascii="Arial" w:cs="Arial" w:eastAsia="Arial" w:hAnsi="Arial"/>
          <w:sz w:val="13"/>
          <w:szCs w:val="13"/>
          <w:color w:val="auto"/>
        </w:rPr>
        <w:t>The following is a summary of material U.S. federal income tax considerations relating to the ownership and disposition of Notes as of the date hereof, and does not purport to be a complete analysis of all the potential tax considerations relating thereto. Except where noted, this summary deals only with Notes that are held as capital assets (within the meaning of section 1221 of the Code) by a</w:t>
      </w:r>
    </w:p>
    <w:p>
      <w:pPr>
        <w:jc w:val="both"/>
        <w:ind w:left="420" w:right="519"/>
        <w:spacing w:after="0" w:line="252" w:lineRule="auto"/>
        <w:rPr>
          <w:sz w:val="20"/>
          <w:szCs w:val="20"/>
          <w:color w:val="auto"/>
        </w:rPr>
      </w:pPr>
      <w:r>
        <w:rPr>
          <w:rFonts w:ascii="Arial" w:cs="Arial" w:eastAsia="Arial" w:hAnsi="Arial"/>
          <w:sz w:val="13"/>
          <w:szCs w:val="13"/>
          <w:color w:val="auto"/>
        </w:rPr>
        <w:t>U.S. Holder (as defined below) that acquired the Notes upon original issuance at their “issue price” for cash (</w:t>
      </w:r>
      <w:r>
        <w:rPr>
          <w:rFonts w:ascii="Arial" w:cs="Arial" w:eastAsia="Arial" w:hAnsi="Arial"/>
          <w:sz w:val="13"/>
          <w:szCs w:val="13"/>
          <w:i w:val="1"/>
          <w:iCs w:val="1"/>
          <w:color w:val="auto"/>
        </w:rPr>
        <w:t>i.e.</w:t>
      </w:r>
      <w:r>
        <w:rPr>
          <w:rFonts w:ascii="Arial" w:cs="Arial" w:eastAsia="Arial" w:hAnsi="Arial"/>
          <w:sz w:val="13"/>
          <w:szCs w:val="13"/>
          <w:color w:val="auto"/>
        </w:rPr>
        <w:t>, the first price at which a substantial amount of Notes is sold for cash to purchasers, not including bond houses, brokers, or similar persons or organizations acting in the capacity of underwriters, placement agents, or wholesalers).</w:t>
      </w:r>
    </w:p>
    <w:p>
      <w:pPr>
        <w:spacing w:after="0" w:line="129" w:lineRule="exact"/>
        <w:rPr>
          <w:sz w:val="20"/>
          <w:szCs w:val="20"/>
          <w:color w:val="auto"/>
        </w:rPr>
      </w:pPr>
    </w:p>
    <w:p>
      <w:pPr>
        <w:ind w:left="420" w:right="459" w:firstLine="327"/>
        <w:spacing w:after="0" w:line="249" w:lineRule="auto"/>
        <w:rPr>
          <w:sz w:val="20"/>
          <w:szCs w:val="20"/>
          <w:color w:val="auto"/>
        </w:rPr>
      </w:pPr>
      <w:r>
        <w:rPr>
          <w:rFonts w:ascii="Arial" w:cs="Arial" w:eastAsia="Arial" w:hAnsi="Arial"/>
          <w:sz w:val="13"/>
          <w:szCs w:val="13"/>
          <w:color w:val="auto"/>
        </w:rPr>
        <w:t>For purposes of this summary, a “U.S. Holder” is a beneficial owner of a Note that, for U.S. federal income tax purposes, is: (a) an individual citizen or resident of the United States; (b) a corporation created or organized in or under the laws of the United States or any state or political subdivision thereof (including the District of Columbia); (c) an estate the income of which is subject to U.S. federal income taxation regardless of its source; or (d) a trust if (i) a court within the United States is able to exercise primary supervision over the trust’s administration and one or more United States persons have the authority to control all substantial decisions of the trust or (ii) such trust has a valid election in effect under applicable U.S. Treasury regulations to be treated as a United States person.</w:t>
      </w:r>
    </w:p>
    <w:p>
      <w:pPr>
        <w:spacing w:after="0" w:line="133" w:lineRule="exact"/>
        <w:rPr>
          <w:sz w:val="20"/>
          <w:szCs w:val="20"/>
          <w:color w:val="auto"/>
        </w:rPr>
      </w:pPr>
    </w:p>
    <w:p>
      <w:pPr>
        <w:ind w:left="420" w:right="639" w:firstLine="327"/>
        <w:spacing w:after="0" w:line="255" w:lineRule="auto"/>
        <w:rPr>
          <w:sz w:val="20"/>
          <w:szCs w:val="20"/>
          <w:color w:val="auto"/>
        </w:rPr>
      </w:pPr>
      <w:r>
        <w:rPr>
          <w:rFonts w:ascii="Arial" w:cs="Arial" w:eastAsia="Arial" w:hAnsi="Arial"/>
          <w:sz w:val="13"/>
          <w:szCs w:val="13"/>
          <w:color w:val="auto"/>
        </w:rPr>
        <w:t>If any entity or arrangement that is classified as a partnership for U.S. federal income tax purposes holds the Notes, the tax treatment of a partner generally will depend upon the status of the partner and the activities of the partnership. If you are a partnership considering an investment in the Notes, you and your partners should consult your tax advisors concerning the U.S. federal income tax consequences of the ownership and disposition of the Notes.</w:t>
      </w:r>
    </w:p>
    <w:p>
      <w:pPr>
        <w:spacing w:after="0" w:line="127" w:lineRule="exact"/>
        <w:rPr>
          <w:sz w:val="20"/>
          <w:szCs w:val="20"/>
          <w:color w:val="auto"/>
        </w:rPr>
      </w:pPr>
    </w:p>
    <w:p>
      <w:pPr>
        <w:ind w:left="420" w:right="439" w:firstLine="327"/>
        <w:spacing w:after="0" w:line="243" w:lineRule="auto"/>
        <w:rPr>
          <w:sz w:val="20"/>
          <w:szCs w:val="20"/>
          <w:color w:val="auto"/>
        </w:rPr>
      </w:pPr>
      <w:r>
        <w:rPr>
          <w:rFonts w:ascii="Arial" w:cs="Arial" w:eastAsia="Arial" w:hAnsi="Arial"/>
          <w:sz w:val="13"/>
          <w:szCs w:val="13"/>
          <w:color w:val="auto"/>
        </w:rPr>
        <w:t>This summary is based upon the Code, existing and proposed U.S. Treasury regulations promulgated thereunder, and rulings and judicial decisions as of the date hereof. Those authorities may be changed, perhaps retroactively, so as to result in United States federal income tax consequences different from those summarized below. We have not sought and do not intend to seek a ruling from the Internal Revenue Service (the “IRS”), on any aspect of these transactions. Accordingly, we cannot assure you that the IRS will agree with the views expressed in this summary, or that a court will not sustain any challenge to those views by the IRS in the event of litigation. This summary does not address all aspects of United States federal income taxes, including the consequences under any U.S. minimum tax rules or the net investment income tax, and does not deal with any state, local, non-U.S. or other tax considerations that may be relevant to beneficial owners of the Notes in light of their particular circumstances. In addition, it does not present a detailed description of the U.S. federal income tax consequences applicable to you if you are subject to special treatment under the U.S. federal income tax laws (including, for example, if you are a dealer in securities or currencies, a trader in securities that elects to use a mark-to-market method of tax accounting for your securities holdings, a bank or other financial institution, a government entity, a regulated investment company, a real estate investment trust, a grantor trust, an employee stock ownership plan, an individual retirement account or any other tax deferred account, a pass-through entity (or an owner of a pass-through entity), a corporation that accumulates earnings to avoid U.S. federal income tax, an insurance company, a tax-exempt organization, a former citizen or resident of the United States, a person that owns Notes that are a hedge or that are hedged against interest rate or currency risks, a person that owns Notes as part of a straddle, hedge, conversion, constructive sale or other integrated transaction for U.S. federal income tax purposes, a person that purchases or sells Notes as part of a wash sale for tax purposes, or a U.S. Holder whose functional currency for tax purposes is not the U.S. dollar) or a person subject to special tax accounting rules under Section 451(b) of the Code applicable to persons that maintain certain specified financial statements. A change in law may alter significantly the tax considerations that we describe in this summary.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S-36</w:t>
      </w:r>
    </w:p>
    <w:p>
      <w:pPr>
        <w:sectPr>
          <w:pgSz w:w="11900" w:h="16838" w:orient="portrait"/>
          <w:cols w:equalWidth="0" w:num="1">
            <w:col w:w="9019"/>
          </w:cols>
          <w:pgMar w:left="1440" w:top="235" w:right="1440" w:bottom="1440" w:gutter="0" w:footer="0" w:header="0"/>
        </w:sectPr>
      </w:pPr>
    </w:p>
    <w:bookmarkStart w:id="41" w:name="page42"/>
    <w:bookmarkEnd w:id="41"/>
    <w:p>
      <w:pPr>
        <w:ind w:left="420" w:right="499" w:firstLine="327"/>
        <w:spacing w:after="0" w:line="26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5980" cy="31750"/>
                    </a:xfrm>
                    <a:prstGeom prst="rect">
                      <a:avLst/>
                    </a:prstGeom>
                    <a:noFill/>
                  </pic:spPr>
                </pic:pic>
              </a:graphicData>
            </a:graphic>
          </wp:anchor>
        </w:drawing>
        <w:t>If you are considering the purchase of Notes, you should consult your tax advisors concerning the particular U.S. federal income tax consequences to you of the ownership and disposition of the Notes, as well as the consequences to you arising under the laws of any other taxing jurisdiction and the possible effects of changes in tax laws.</w:t>
      </w:r>
    </w:p>
    <w:p>
      <w:pPr>
        <w:spacing w:after="0" w:line="122" w:lineRule="exact"/>
        <w:rPr>
          <w:sz w:val="20"/>
          <w:szCs w:val="20"/>
          <w:color w:val="auto"/>
        </w:rPr>
      </w:pPr>
    </w:p>
    <w:p>
      <w:pPr>
        <w:ind w:left="420" w:right="419" w:firstLine="327"/>
        <w:spacing w:after="0" w:line="242" w:lineRule="auto"/>
        <w:rPr>
          <w:sz w:val="20"/>
          <w:szCs w:val="20"/>
          <w:color w:val="auto"/>
        </w:rPr>
      </w:pPr>
      <w:r>
        <w:rPr>
          <w:rFonts w:ascii="Arial" w:cs="Arial" w:eastAsia="Arial" w:hAnsi="Arial"/>
          <w:sz w:val="13"/>
          <w:szCs w:val="13"/>
          <w:b w:val="1"/>
          <w:bCs w:val="1"/>
          <w:i w:val="1"/>
          <w:iCs w:val="1"/>
          <w:color w:val="auto"/>
        </w:rPr>
        <w:t>Assumption by Subsidiary and Changes to the Issuer</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 assumption of the Company’s obligations as the issuer of the Notes by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 subsidiary of the Guarantor may be treated for U.S. federal income tax purposes as a taxable exchange of the Notes for new Notes issued by such subsidiary of the Guarantor. In addition, in certain circumstances, a merger, transfer, or other transaction described in “Description of the Notes—Consolidation, Merger and Sale of Assets” could be treated for U.S. federal income tax purposes as a taxable exchange of the Notes for new notes. In such events, you may be required to recognize taxable gain or loss for U.S. federal income tax purposes, generally in an amount equal to the difference between the “issue price” of the new notes (which will be the trading price of the Notes at such time if they are treated as traded on an established securities market) and your adjusted tax basis in the Notes, even though you continue to hold the Notes and receive no distribution in connection with the deemed disposition. Such gain or loss generally will be capital, and any loss could be disallowed under the wash sale rules. In addition, the new notes deemed issued in such a deemed exchange could be treated as issued with original issue discount (“OID”) if the new notes or the Notes are treated as traded on an established securities market at such time and the principal amount of the new notes were to exceed the new notes or the Notes’ trading price, as applicable. See “Description of the Notes—Assumption by a Subsidiary” for the information to be made available to holders in this regard. In such a case, U.S. Holders would be required to include such OID in their income as it accrues, in advance of the receipt of cash corresponding to such income, regardless of their regular method of tax accounting. Beneficial owners of the Notes who are</w:t>
      </w:r>
    </w:p>
    <w:p>
      <w:pPr>
        <w:spacing w:after="0" w:line="9" w:lineRule="exact"/>
        <w:rPr>
          <w:sz w:val="20"/>
          <w:szCs w:val="20"/>
          <w:color w:val="auto"/>
        </w:rPr>
      </w:pPr>
    </w:p>
    <w:p>
      <w:pPr>
        <w:ind w:left="420" w:right="659"/>
        <w:spacing w:after="0" w:line="252" w:lineRule="auto"/>
        <w:rPr>
          <w:sz w:val="20"/>
          <w:szCs w:val="20"/>
          <w:color w:val="auto"/>
        </w:rPr>
      </w:pPr>
      <w:r>
        <w:rPr>
          <w:rFonts w:ascii="Arial" w:cs="Arial" w:eastAsia="Arial" w:hAnsi="Arial"/>
          <w:sz w:val="13"/>
          <w:szCs w:val="13"/>
          <w:color w:val="auto"/>
        </w:rPr>
        <w:t>U.S. Holders should consult their tax advisors regarding the non-U.S. and U.S. federal, state and local income tax consequences of an assumption of the Company’s obligations as issuer of the Notes by a subsidiary of the Guarantor. See “Description of the Notes— Assumption by a Subsidiary” for additional information.</w:t>
      </w:r>
    </w:p>
    <w:p>
      <w:pPr>
        <w:spacing w:after="0" w:line="129" w:lineRule="exact"/>
        <w:rPr>
          <w:sz w:val="20"/>
          <w:szCs w:val="20"/>
          <w:color w:val="auto"/>
        </w:rPr>
      </w:pPr>
    </w:p>
    <w:p>
      <w:pPr>
        <w:jc w:val="both"/>
        <w:ind w:left="420" w:right="499" w:firstLine="327"/>
        <w:spacing w:after="0" w:line="262" w:lineRule="auto"/>
        <w:rPr>
          <w:sz w:val="20"/>
          <w:szCs w:val="20"/>
          <w:color w:val="auto"/>
        </w:rPr>
      </w:pPr>
      <w:r>
        <w:rPr>
          <w:rFonts w:ascii="Arial" w:cs="Arial" w:eastAsia="Arial" w:hAnsi="Arial"/>
          <w:sz w:val="13"/>
          <w:szCs w:val="13"/>
          <w:b w:val="1"/>
          <w:bCs w:val="1"/>
          <w:i w:val="1"/>
          <w:iCs w:val="1"/>
          <w:color w:val="auto"/>
        </w:rPr>
        <w:t>Interest</w:t>
      </w:r>
      <w:r>
        <w:rPr>
          <w:rFonts w:ascii="Arial" w:cs="Arial" w:eastAsia="Arial" w:hAnsi="Arial"/>
          <w:sz w:val="13"/>
          <w:szCs w:val="13"/>
          <w:color w:val="auto"/>
        </w:rPr>
        <w:t>. It is anticipated, and this discussion assumes, that the Notes will be issued without original issue discount for U.S. federal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income tax purposes. Interest on a Note (including Additional Amounts, if any) generally will be taxable to you as ordinary interest income as it accrues or is received by you in accordance with your usual method of accounting for U.S. federal income tax purposes.</w:t>
      </w:r>
    </w:p>
    <w:p>
      <w:pPr>
        <w:spacing w:after="0" w:line="122" w:lineRule="exact"/>
        <w:rPr>
          <w:sz w:val="20"/>
          <w:szCs w:val="20"/>
          <w:color w:val="auto"/>
        </w:rPr>
      </w:pPr>
    </w:p>
    <w:p>
      <w:pPr>
        <w:ind w:left="420" w:right="519" w:firstLine="327"/>
        <w:spacing w:after="0" w:line="255" w:lineRule="auto"/>
        <w:rPr>
          <w:sz w:val="20"/>
          <w:szCs w:val="20"/>
          <w:color w:val="auto"/>
        </w:rPr>
      </w:pPr>
      <w:r>
        <w:rPr>
          <w:rFonts w:ascii="Arial" w:cs="Arial" w:eastAsia="Arial" w:hAnsi="Arial"/>
          <w:sz w:val="13"/>
          <w:szCs w:val="13"/>
          <w:color w:val="auto"/>
        </w:rPr>
        <w:t>If withholding taxes are imposed in Luxembourg or in another jurisdiction, you will be treated as having actually received an amount equal to the amount of such taxes and as having paid such amount to the relevant taxing authority. As a result, the amount of income included in gross income may be greater than the amount of cash actually received. You should consult your tax advisors concerning the U.S. federal income tax consequences of the imposition of such taxes and the availability of any credit or deduction.</w:t>
      </w:r>
    </w:p>
    <w:p>
      <w:pPr>
        <w:spacing w:after="0" w:line="127" w:lineRule="exact"/>
        <w:rPr>
          <w:sz w:val="20"/>
          <w:szCs w:val="20"/>
          <w:color w:val="auto"/>
        </w:rPr>
      </w:pPr>
    </w:p>
    <w:p>
      <w:pPr>
        <w:ind w:left="420" w:right="439" w:firstLine="327"/>
        <w:spacing w:after="0" w:line="255" w:lineRule="auto"/>
        <w:rPr>
          <w:sz w:val="20"/>
          <w:szCs w:val="20"/>
          <w:color w:val="auto"/>
        </w:rPr>
      </w:pPr>
      <w:r>
        <w:rPr>
          <w:rFonts w:ascii="Arial" w:cs="Arial" w:eastAsia="Arial" w:hAnsi="Arial"/>
          <w:sz w:val="13"/>
          <w:szCs w:val="13"/>
          <w:color w:val="auto"/>
        </w:rPr>
        <w:t>Interest income (and Additional Amounts, if any) from the Notes generally will constitute foreign-source income, and generally will constitute “passive category income,” which may be relevant to you in calculating your foreign tax credit limitation. The limitation on foreign taxes eligible for credit is calculated separately with respect to specific classes of income. You should consult your tax advisors regarding the application of the U.S. foreign tax credit rules.</w:t>
      </w:r>
    </w:p>
    <w:p>
      <w:pPr>
        <w:spacing w:after="0" w:line="127" w:lineRule="exact"/>
        <w:rPr>
          <w:sz w:val="20"/>
          <w:szCs w:val="20"/>
          <w:color w:val="auto"/>
        </w:rPr>
      </w:pPr>
    </w:p>
    <w:p>
      <w:pPr>
        <w:ind w:left="420" w:right="519" w:firstLine="327"/>
        <w:spacing w:after="0" w:line="251" w:lineRule="auto"/>
        <w:rPr>
          <w:sz w:val="20"/>
          <w:szCs w:val="20"/>
          <w:color w:val="auto"/>
        </w:rPr>
      </w:pPr>
      <w:r>
        <w:rPr>
          <w:rFonts w:ascii="Arial" w:cs="Arial" w:eastAsia="Arial" w:hAnsi="Arial"/>
          <w:sz w:val="13"/>
          <w:szCs w:val="13"/>
          <w:b w:val="1"/>
          <w:bCs w:val="1"/>
          <w:i w:val="1"/>
          <w:iCs w:val="1"/>
          <w:color w:val="auto"/>
        </w:rPr>
        <w:t xml:space="preserve">Sale, Exchange, or Other Taxable Dispositions of Notes. </w:t>
      </w:r>
      <w:r>
        <w:rPr>
          <w:rFonts w:ascii="Arial" w:cs="Arial" w:eastAsia="Arial" w:hAnsi="Arial"/>
          <w:sz w:val="13"/>
          <w:szCs w:val="13"/>
          <w:color w:val="auto"/>
        </w:rPr>
        <w:t>If you are a U.S. Holder, upon the sale, exchange, or other taxable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disposition of a Note, you generally will recognize gain or loss for U.S. federal income tax purposes in an amount equal to the difference between (i) the amount of the cash and the fair market value of any property you receive on the sale, exchange, or other taxable disposition (less an amount attributable to any accrued but unpaid interest, which will be taxable as ordinary interest income to the extent not previously taken into income), and (ii) your adjusted tax basis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S-37</w:t>
      </w:r>
    </w:p>
    <w:p>
      <w:pPr>
        <w:sectPr>
          <w:pgSz w:w="11900" w:h="16838" w:orient="portrait"/>
          <w:cols w:equalWidth="0" w:num="1">
            <w:col w:w="9019"/>
          </w:cols>
          <w:pgMar w:left="1440" w:top="237" w:right="1440" w:bottom="1440" w:gutter="0" w:footer="0" w:header="0"/>
        </w:sectPr>
      </w:pPr>
    </w:p>
    <w:bookmarkStart w:id="42" w:name="page43"/>
    <w:bookmarkEnd w:id="42"/>
    <w:p>
      <w:pPr>
        <w:ind w:left="420" w:right="859"/>
        <w:spacing w:after="0" w:line="28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5980" cy="31750"/>
                    </a:xfrm>
                    <a:prstGeom prst="rect">
                      <a:avLst/>
                    </a:prstGeom>
                    <a:noFill/>
                  </pic:spPr>
                </pic:pic>
              </a:graphicData>
            </a:graphic>
          </wp:anchor>
        </w:drawing>
        <w:t>in the Note. Your adjusted tax basis in a Note generally will be equal to your cost for the Note (increased by any accrued but unpaid interest that you have previously taken into income).</w:t>
      </w:r>
    </w:p>
    <w:p>
      <w:pPr>
        <w:spacing w:after="0" w:line="110" w:lineRule="exact"/>
        <w:rPr>
          <w:sz w:val="20"/>
          <w:szCs w:val="20"/>
          <w:color w:val="auto"/>
        </w:rPr>
      </w:pPr>
    </w:p>
    <w:p>
      <w:pPr>
        <w:ind w:left="420" w:right="459" w:firstLine="327"/>
        <w:spacing w:after="0" w:line="251" w:lineRule="auto"/>
        <w:rPr>
          <w:sz w:val="20"/>
          <w:szCs w:val="20"/>
          <w:color w:val="auto"/>
        </w:rPr>
      </w:pPr>
      <w:r>
        <w:rPr>
          <w:rFonts w:ascii="Arial" w:cs="Arial" w:eastAsia="Arial" w:hAnsi="Arial"/>
          <w:sz w:val="13"/>
          <w:szCs w:val="13"/>
          <w:color w:val="auto"/>
        </w:rPr>
        <w:t>Such gain or loss generally will be treated as capital gain or loss, and will be treated as long-term capital gain or loss if your holding period for the Note exceeds one year at the time of the sale, exchange, or other taxable disposition. Long-term capital gains of non-corporate taxpayers are subject to reduced rates of taxation. The deductibility of capital losses is subject to limitations. Gain or loss, if any, generally will be U.S.-source income for purposes of computing your foreign tax credit limitation. You should consult your tax advisors as to the U.S. federal income tax and foreign tax credit implications of such sale, exchange, or other taxable disposition of a Note.</w:t>
      </w:r>
    </w:p>
    <w:p>
      <w:pPr>
        <w:spacing w:after="0" w:line="131" w:lineRule="exact"/>
        <w:rPr>
          <w:sz w:val="20"/>
          <w:szCs w:val="20"/>
          <w:color w:val="auto"/>
        </w:rPr>
      </w:pPr>
    </w:p>
    <w:p>
      <w:pPr>
        <w:jc w:val="both"/>
        <w:ind w:left="420" w:right="559" w:firstLine="327"/>
        <w:spacing w:after="0" w:line="255" w:lineRule="auto"/>
        <w:rPr>
          <w:sz w:val="20"/>
          <w:szCs w:val="20"/>
          <w:color w:val="auto"/>
        </w:rPr>
      </w:pPr>
      <w:r>
        <w:rPr>
          <w:rFonts w:ascii="Arial" w:cs="Arial" w:eastAsia="Arial" w:hAnsi="Arial"/>
          <w:sz w:val="13"/>
          <w:szCs w:val="13"/>
          <w:b w:val="1"/>
          <w:bCs w:val="1"/>
          <w:i w:val="1"/>
          <w:iCs w:val="1"/>
          <w:color w:val="auto"/>
        </w:rPr>
        <w:t>Information With Respect to Foreign Financial Assets</w:t>
      </w:r>
      <w:r>
        <w:rPr>
          <w:rFonts w:ascii="Arial" w:cs="Arial" w:eastAsia="Arial" w:hAnsi="Arial"/>
          <w:sz w:val="13"/>
          <w:szCs w:val="13"/>
          <w:color w:val="auto"/>
        </w:rPr>
        <w:t>. Certain U.S. Holders who are individuals (and certain specified entities)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that hold certain foreign financial assets (which may include the Notes) other than in an account at a financial institution may be required to report information relating to such assets to the IRS. Failure to report such information, if required, may result in substantial penalties. You should consult your tax advisor regarding the application of these rules to your ownership of the Notes.</w:t>
      </w:r>
    </w:p>
    <w:p>
      <w:pPr>
        <w:spacing w:after="0" w:line="127" w:lineRule="exact"/>
        <w:rPr>
          <w:sz w:val="20"/>
          <w:szCs w:val="20"/>
          <w:color w:val="auto"/>
        </w:rPr>
      </w:pPr>
    </w:p>
    <w:p>
      <w:pPr>
        <w:ind w:left="420" w:right="459" w:firstLine="327"/>
        <w:spacing w:after="0" w:line="251" w:lineRule="auto"/>
        <w:rPr>
          <w:sz w:val="20"/>
          <w:szCs w:val="20"/>
          <w:color w:val="auto"/>
        </w:rPr>
      </w:pPr>
      <w:r>
        <w:rPr>
          <w:rFonts w:ascii="Arial" w:cs="Arial" w:eastAsia="Arial" w:hAnsi="Arial"/>
          <w:sz w:val="13"/>
          <w:szCs w:val="13"/>
          <w:b w:val="1"/>
          <w:bCs w:val="1"/>
          <w:i w:val="1"/>
          <w:iCs w:val="1"/>
          <w:color w:val="auto"/>
        </w:rPr>
        <w:t>Information Reporting and Backup Withholding</w:t>
      </w:r>
      <w:r>
        <w:rPr>
          <w:rFonts w:ascii="Arial" w:cs="Arial" w:eastAsia="Arial" w:hAnsi="Arial"/>
          <w:sz w:val="13"/>
          <w:szCs w:val="13"/>
          <w:color w:val="auto"/>
        </w:rPr>
        <w:t>. Payments of interest and cash proceeds from sales or other taxable dispositions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that are made within the United States or through certain U.S.-related financial intermediaries may be subject to information reporting and backup withholding unless the U.S. Holder is an exempt recipient or, in the case of backup withholding, provides a correct taxpayer identification number and certifies that it is not subject to backup withholding and otherwise complies with applicable requirements of the backup withholding rules.</w:t>
      </w:r>
    </w:p>
    <w:p>
      <w:pPr>
        <w:spacing w:after="0" w:line="131" w:lineRule="exact"/>
        <w:rPr>
          <w:sz w:val="20"/>
          <w:szCs w:val="20"/>
          <w:color w:val="auto"/>
        </w:rPr>
      </w:pPr>
    </w:p>
    <w:p>
      <w:pPr>
        <w:jc w:val="both"/>
        <w:ind w:left="420" w:right="619" w:firstLine="327"/>
        <w:spacing w:after="0" w:line="262" w:lineRule="auto"/>
        <w:rPr>
          <w:sz w:val="20"/>
          <w:szCs w:val="20"/>
          <w:color w:val="auto"/>
        </w:rPr>
      </w:pPr>
      <w:r>
        <w:rPr>
          <w:rFonts w:ascii="Arial" w:cs="Arial" w:eastAsia="Arial" w:hAnsi="Arial"/>
          <w:sz w:val="13"/>
          <w:szCs w:val="13"/>
          <w:color w:val="auto"/>
        </w:rPr>
        <w:t>Backup withholding is not an additional tax. Any amounts withheld under the backup withholding rules may be allowed as a credit against your U.S. federal income tax liability and may entitle you to a refund, provided the required information is timely furnished to the IRS.</w:t>
      </w:r>
    </w:p>
    <w:p>
      <w:pPr>
        <w:spacing w:after="0" w:line="122" w:lineRule="exact"/>
        <w:rPr>
          <w:sz w:val="20"/>
          <w:szCs w:val="20"/>
          <w:color w:val="auto"/>
        </w:rPr>
      </w:pPr>
    </w:p>
    <w:p>
      <w:pPr>
        <w:ind w:left="420" w:right="499" w:firstLine="327"/>
        <w:spacing w:after="0" w:line="262" w:lineRule="auto"/>
        <w:rPr>
          <w:sz w:val="20"/>
          <w:szCs w:val="20"/>
          <w:color w:val="auto"/>
        </w:rPr>
      </w:pPr>
      <w:r>
        <w:rPr>
          <w:rFonts w:ascii="Arial" w:cs="Arial" w:eastAsia="Arial" w:hAnsi="Arial"/>
          <w:sz w:val="13"/>
          <w:szCs w:val="13"/>
          <w:color w:val="auto"/>
        </w:rPr>
        <w:t>The preceding discussion of certain U.S. federal income tax considerations is for general information only and is not tax advice. Accordingly, you should consult your tax advisor as to particular tax consequences to you of holding and disposing of the Notes, including the applicability and effect of any non-U.S., state, local or other tax laws, and of any pending or subsequent changes in applicable laws.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S-38</w:t>
      </w:r>
    </w:p>
    <w:p>
      <w:pPr>
        <w:sectPr>
          <w:pgSz w:w="11900" w:h="16838" w:orient="portrait"/>
          <w:cols w:equalWidth="0" w:num="1">
            <w:col w:w="9019"/>
          </w:cols>
          <w:pgMar w:left="1440" w:top="237" w:right="1440"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5980" cy="31750"/>
                    </a:xfrm>
                    <a:prstGeom prst="rect">
                      <a:avLst/>
                    </a:prstGeom>
                    <a:noFill/>
                  </pic:spPr>
                </pic:pic>
              </a:graphicData>
            </a:graphic>
          </wp:anchor>
        </w:drawing>
        <w:t>UNDERWRITING (CONFLICTS OF INTEREST)</w:t>
      </w:r>
    </w:p>
    <w:p>
      <w:pPr>
        <w:spacing w:after="0" w:line="164" w:lineRule="exact"/>
        <w:rPr>
          <w:sz w:val="20"/>
          <w:szCs w:val="20"/>
          <w:color w:val="auto"/>
        </w:rPr>
      </w:pPr>
    </w:p>
    <w:p>
      <w:pPr>
        <w:ind w:left="420" w:right="599" w:firstLine="327"/>
        <w:spacing w:after="0" w:line="255" w:lineRule="auto"/>
        <w:rPr>
          <w:sz w:val="20"/>
          <w:szCs w:val="20"/>
          <w:color w:val="auto"/>
        </w:rPr>
      </w:pPr>
      <w:r>
        <w:rPr>
          <w:rFonts w:ascii="Arial" w:cs="Arial" w:eastAsia="Arial" w:hAnsi="Arial"/>
          <w:sz w:val="13"/>
          <w:szCs w:val="13"/>
          <w:color w:val="auto"/>
        </w:rPr>
        <w:t>Subject to the terms and conditions contained in an underwriting agreement, dated as of the date of this prospectus supplement among us, the Guarantor and the underwriters named below, for whom J.P. Morgan Securities LLC, HSBC Securities (USA) Inc. and Standard Chartered Bank are acting as representatives, we have agreed to sell to each underwriter, and each underwriter has severally agreed to purchase from us, the principal amount of Notes that appears opposite its name in the table below:</w:t>
      </w:r>
    </w:p>
    <w:p>
      <w:pPr>
        <w:spacing w:after="0" w:line="147" w:lineRule="exact"/>
        <w:rPr>
          <w:sz w:val="20"/>
          <w:szCs w:val="20"/>
          <w:color w:val="auto"/>
        </w:rPr>
      </w:pPr>
    </w:p>
    <w:tbl>
      <w:tblPr>
        <w:tblLayout w:type="fixed"/>
        <w:tblInd w:w="1060" w:type="dxa"/>
        <w:tblCellMar>
          <w:top w:w="0" w:type="dxa"/>
          <w:left w:w="0" w:type="dxa"/>
          <w:bottom w:w="0" w:type="dxa"/>
          <w:right w:w="0" w:type="dxa"/>
        </w:tblCellMar>
      </w:tblPr>
      <w:tr>
        <w:trPr>
          <w:trHeight w:val="126"/>
        </w:trPr>
        <w:tc>
          <w:tcPr>
            <w:tcW w:w="29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Underwriters</w:t>
            </w:r>
          </w:p>
        </w:tc>
        <w:tc>
          <w:tcPr>
            <w:tcW w:w="1040" w:type="dxa"/>
            <w:vAlign w:val="bottom"/>
            <w:gridSpan w:val="3"/>
          </w:tcPr>
          <w:p>
            <w:pPr>
              <w:spacing w:after="0"/>
              <w:rPr>
                <w:sz w:val="20"/>
                <w:szCs w:val="20"/>
                <w:color w:val="auto"/>
              </w:rPr>
            </w:pPr>
            <w:r>
              <w:rPr>
                <w:rFonts w:ascii="Arial" w:cs="Arial" w:eastAsia="Arial" w:hAnsi="Arial"/>
                <w:sz w:val="11"/>
                <w:szCs w:val="11"/>
                <w:b w:val="1"/>
                <w:bCs w:val="1"/>
                <w:color w:val="auto"/>
                <w:w w:val="97"/>
              </w:rPr>
              <w:t>Principal Amount of</w:t>
            </w:r>
          </w:p>
        </w:tc>
        <w:tc>
          <w:tcPr>
            <w:tcW w:w="38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w w:val="93"/>
              </w:rPr>
              <w:t>Principal Amount of</w:t>
            </w:r>
          </w:p>
        </w:tc>
        <w:tc>
          <w:tcPr>
            <w:tcW w:w="400" w:type="dxa"/>
            <w:vAlign w:val="bottom"/>
          </w:tcPr>
          <w:p>
            <w:pPr>
              <w:spacing w:after="0"/>
              <w:rPr>
                <w:sz w:val="10"/>
                <w:szCs w:val="1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w w:val="97"/>
              </w:rPr>
              <w:t>Principal Amount of</w:t>
            </w:r>
          </w:p>
        </w:tc>
        <w:tc>
          <w:tcPr>
            <w:tcW w:w="0" w:type="dxa"/>
            <w:vAlign w:val="bottom"/>
          </w:tcPr>
          <w:p>
            <w:pPr>
              <w:spacing w:after="0"/>
              <w:rPr>
                <w:sz w:val="1"/>
                <w:szCs w:val="1"/>
                <w:color w:val="auto"/>
              </w:rPr>
            </w:pPr>
          </w:p>
        </w:tc>
      </w:tr>
      <w:tr>
        <w:trPr>
          <w:trHeight w:val="117"/>
        </w:trPr>
        <w:tc>
          <w:tcPr>
            <w:tcW w:w="2960" w:type="dxa"/>
            <w:vAlign w:val="bottom"/>
            <w:gridSpan w:val="2"/>
            <w:vMerge w:val="continue"/>
          </w:tcPr>
          <w:p>
            <w:pPr>
              <w:spacing w:after="0"/>
              <w:rPr>
                <w:sz w:val="10"/>
                <w:szCs w:val="10"/>
                <w:color w:val="auto"/>
              </w:rPr>
            </w:pPr>
          </w:p>
        </w:tc>
        <w:tc>
          <w:tcPr>
            <w:tcW w:w="1040" w:type="dxa"/>
            <w:vAlign w:val="bottom"/>
            <w:gridSpan w:val="3"/>
          </w:tcPr>
          <w:p>
            <w:pPr>
              <w:ind w:left="220"/>
              <w:spacing w:after="0" w:line="117" w:lineRule="exact"/>
              <w:rPr>
                <w:sz w:val="20"/>
                <w:szCs w:val="20"/>
                <w:color w:val="auto"/>
              </w:rPr>
            </w:pPr>
            <w:r>
              <w:rPr>
                <w:rFonts w:ascii="Arial" w:cs="Arial" w:eastAsia="Arial" w:hAnsi="Arial"/>
                <w:sz w:val="11"/>
                <w:szCs w:val="11"/>
                <w:b w:val="1"/>
                <w:bCs w:val="1"/>
                <w:color w:val="auto"/>
              </w:rPr>
              <w:t>2031 Notes</w:t>
            </w:r>
          </w:p>
        </w:tc>
        <w:tc>
          <w:tcPr>
            <w:tcW w:w="380" w:type="dxa"/>
            <w:vAlign w:val="bottom"/>
          </w:tcPr>
          <w:p>
            <w:pPr>
              <w:spacing w:after="0"/>
              <w:rPr>
                <w:sz w:val="10"/>
                <w:szCs w:val="10"/>
                <w:color w:val="auto"/>
              </w:rPr>
            </w:pPr>
          </w:p>
        </w:tc>
        <w:tc>
          <w:tcPr>
            <w:tcW w:w="1000" w:type="dxa"/>
            <w:vAlign w:val="bottom"/>
            <w:gridSpan w:val="2"/>
          </w:tcPr>
          <w:p>
            <w:pPr>
              <w:jc w:val="right"/>
              <w:ind w:right="160"/>
              <w:spacing w:after="0" w:line="117" w:lineRule="exact"/>
              <w:rPr>
                <w:sz w:val="20"/>
                <w:szCs w:val="20"/>
                <w:color w:val="auto"/>
              </w:rPr>
            </w:pPr>
            <w:r>
              <w:rPr>
                <w:rFonts w:ascii="Arial" w:cs="Arial" w:eastAsia="Arial" w:hAnsi="Arial"/>
                <w:sz w:val="11"/>
                <w:szCs w:val="11"/>
                <w:b w:val="1"/>
                <w:bCs w:val="1"/>
                <w:color w:val="auto"/>
              </w:rPr>
              <w:t>2033 Notes</w:t>
            </w:r>
          </w:p>
        </w:tc>
        <w:tc>
          <w:tcPr>
            <w:tcW w:w="400" w:type="dxa"/>
            <w:vAlign w:val="bottom"/>
          </w:tcPr>
          <w:p>
            <w:pPr>
              <w:spacing w:after="0"/>
              <w:rPr>
                <w:sz w:val="10"/>
                <w:szCs w:val="10"/>
                <w:color w:val="auto"/>
              </w:rPr>
            </w:pPr>
          </w:p>
        </w:tc>
        <w:tc>
          <w:tcPr>
            <w:tcW w:w="1100" w:type="dxa"/>
            <w:vAlign w:val="bottom"/>
            <w:gridSpan w:val="2"/>
          </w:tcPr>
          <w:p>
            <w:pPr>
              <w:jc w:val="right"/>
              <w:ind w:right="280"/>
              <w:spacing w:after="0" w:line="117" w:lineRule="exact"/>
              <w:rPr>
                <w:sz w:val="20"/>
                <w:szCs w:val="20"/>
                <w:color w:val="auto"/>
              </w:rPr>
            </w:pPr>
            <w:r>
              <w:rPr>
                <w:rFonts w:ascii="Arial" w:cs="Arial" w:eastAsia="Arial" w:hAnsi="Arial"/>
                <w:sz w:val="11"/>
                <w:szCs w:val="11"/>
                <w:b w:val="1"/>
                <w:bCs w:val="1"/>
                <w:color w:val="auto"/>
              </w:rPr>
              <w:t>2036 Notes</w:t>
            </w:r>
          </w:p>
        </w:tc>
        <w:tc>
          <w:tcPr>
            <w:tcW w:w="0" w:type="dxa"/>
            <w:vAlign w:val="bottom"/>
          </w:tcPr>
          <w:p>
            <w:pPr>
              <w:spacing w:after="0"/>
              <w:rPr>
                <w:sz w:val="1"/>
                <w:szCs w:val="1"/>
                <w:color w:val="auto"/>
              </w:rPr>
            </w:pPr>
          </w:p>
        </w:tc>
      </w:tr>
      <w:tr>
        <w:trPr>
          <w:trHeight w:val="20"/>
        </w:trPr>
        <w:tc>
          <w:tcPr>
            <w:tcW w:w="660" w:type="dxa"/>
            <w:vAlign w:val="bottom"/>
            <w:tcBorders>
              <w:bottom w:val="single" w:sz="8" w:color="CCEEFF"/>
            </w:tcBorders>
            <w:shd w:val="clear" w:color="auto" w:fill="000000"/>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960" w:type="dxa"/>
            <w:vAlign w:val="bottom"/>
            <w:gridSpan w:val="2"/>
            <w:shd w:val="clear" w:color="auto" w:fill="CCEEFF"/>
          </w:tcPr>
          <w:p>
            <w:pPr>
              <w:spacing w:after="0" w:line="121" w:lineRule="exact"/>
              <w:rPr>
                <w:sz w:val="20"/>
                <w:szCs w:val="20"/>
                <w:color w:val="auto"/>
              </w:rPr>
            </w:pPr>
            <w:r>
              <w:rPr>
                <w:rFonts w:ascii="Arial" w:cs="Arial" w:eastAsia="Arial" w:hAnsi="Arial"/>
                <w:sz w:val="12"/>
                <w:szCs w:val="12"/>
                <w:color w:val="auto"/>
              </w:rPr>
              <w:t>J.P. Morgan Securities LLC</w:t>
            </w:r>
          </w:p>
        </w:tc>
        <w:tc>
          <w:tcPr>
            <w:tcW w:w="2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US$</w:t>
            </w:r>
          </w:p>
        </w:tc>
        <w:tc>
          <w:tcPr>
            <w:tcW w:w="74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100,000,000</w:t>
            </w: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US$</w:t>
            </w:r>
          </w:p>
        </w:tc>
        <w:tc>
          <w:tcPr>
            <w:tcW w:w="7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100,000,000</w:t>
            </w:r>
          </w:p>
        </w:tc>
        <w:tc>
          <w:tcPr>
            <w:tcW w:w="40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US$200,000,000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960" w:type="dxa"/>
            <w:vAlign w:val="bottom"/>
            <w:gridSpan w:val="2"/>
          </w:tcPr>
          <w:p>
            <w:pPr>
              <w:spacing w:after="0"/>
              <w:rPr>
                <w:sz w:val="20"/>
                <w:szCs w:val="20"/>
                <w:color w:val="auto"/>
              </w:rPr>
            </w:pPr>
            <w:r>
              <w:rPr>
                <w:rFonts w:ascii="Arial" w:cs="Arial" w:eastAsia="Arial" w:hAnsi="Arial"/>
                <w:sz w:val="12"/>
                <w:szCs w:val="12"/>
                <w:color w:val="auto"/>
              </w:rPr>
              <w:t>HSBC Securities (USA) Inc.</w:t>
            </w:r>
          </w:p>
        </w:tc>
        <w:tc>
          <w:tcPr>
            <w:tcW w:w="28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100,000,000</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100,000,000</w:t>
            </w:r>
          </w:p>
        </w:tc>
        <w:tc>
          <w:tcPr>
            <w:tcW w:w="1460" w:type="dxa"/>
            <w:vAlign w:val="bottom"/>
            <w:gridSpan w:val="2"/>
          </w:tcPr>
          <w:p>
            <w:pPr>
              <w:jc w:val="right"/>
              <w:spacing w:after="0"/>
              <w:rPr>
                <w:sz w:val="20"/>
                <w:szCs w:val="20"/>
                <w:color w:val="auto"/>
              </w:rPr>
            </w:pPr>
            <w:r>
              <w:rPr>
                <w:rFonts w:ascii="Arial" w:cs="Arial" w:eastAsia="Arial" w:hAnsi="Arial"/>
                <w:sz w:val="12"/>
                <w:szCs w:val="12"/>
                <w:color w:val="auto"/>
              </w:rPr>
              <w:t>200,000,000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Standard Chartered Bank</w:t>
            </w:r>
          </w:p>
        </w:tc>
        <w:tc>
          <w:tcPr>
            <w:tcW w:w="2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100,000,000</w:t>
            </w: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100,000,000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200,000,000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960" w:type="dxa"/>
            <w:vAlign w:val="bottom"/>
            <w:gridSpan w:val="2"/>
          </w:tcPr>
          <w:p>
            <w:pPr>
              <w:spacing w:after="0"/>
              <w:rPr>
                <w:sz w:val="20"/>
                <w:szCs w:val="20"/>
                <w:color w:val="auto"/>
              </w:rPr>
            </w:pPr>
            <w:r>
              <w:rPr>
                <w:rFonts w:ascii="Arial" w:cs="Arial" w:eastAsia="Arial" w:hAnsi="Arial"/>
                <w:sz w:val="12"/>
                <w:szCs w:val="12"/>
                <w:color w:val="auto"/>
              </w:rPr>
              <w:t>BNP Paribas Securities Corp.</w:t>
            </w:r>
          </w:p>
        </w:tc>
        <w:tc>
          <w:tcPr>
            <w:tcW w:w="28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35,000,000</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35,000,000</w:t>
            </w:r>
          </w:p>
        </w:tc>
        <w:tc>
          <w:tcPr>
            <w:tcW w:w="1460" w:type="dxa"/>
            <w:vAlign w:val="bottom"/>
            <w:gridSpan w:val="2"/>
          </w:tcPr>
          <w:p>
            <w:pPr>
              <w:jc w:val="right"/>
              <w:spacing w:after="0"/>
              <w:rPr>
                <w:sz w:val="20"/>
                <w:szCs w:val="20"/>
                <w:color w:val="auto"/>
              </w:rPr>
            </w:pPr>
            <w:r>
              <w:rPr>
                <w:rFonts w:ascii="Arial" w:cs="Arial" w:eastAsia="Arial" w:hAnsi="Arial"/>
                <w:sz w:val="12"/>
                <w:szCs w:val="12"/>
                <w:color w:val="auto"/>
              </w:rPr>
              <w:t>70,000,000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BofA Securities, Inc.</w:t>
            </w:r>
          </w:p>
        </w:tc>
        <w:tc>
          <w:tcPr>
            <w:tcW w:w="2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35,000,000</w:t>
            </w: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35,000,000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70,000,000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960" w:type="dxa"/>
            <w:vAlign w:val="bottom"/>
            <w:gridSpan w:val="2"/>
          </w:tcPr>
          <w:p>
            <w:pPr>
              <w:spacing w:after="0"/>
              <w:rPr>
                <w:sz w:val="20"/>
                <w:szCs w:val="20"/>
                <w:color w:val="auto"/>
              </w:rPr>
            </w:pPr>
            <w:r>
              <w:rPr>
                <w:rFonts w:ascii="Arial" w:cs="Arial" w:eastAsia="Arial" w:hAnsi="Arial"/>
                <w:sz w:val="12"/>
                <w:szCs w:val="12"/>
                <w:color w:val="auto"/>
              </w:rPr>
              <w:t>Citigroup Global Markets Inc.</w:t>
            </w:r>
          </w:p>
        </w:tc>
        <w:tc>
          <w:tcPr>
            <w:tcW w:w="28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35,000,000</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35,000,000</w:t>
            </w:r>
          </w:p>
        </w:tc>
        <w:tc>
          <w:tcPr>
            <w:tcW w:w="1460" w:type="dxa"/>
            <w:vAlign w:val="bottom"/>
            <w:gridSpan w:val="2"/>
          </w:tcPr>
          <w:p>
            <w:pPr>
              <w:jc w:val="right"/>
              <w:spacing w:after="0"/>
              <w:rPr>
                <w:sz w:val="20"/>
                <w:szCs w:val="20"/>
                <w:color w:val="auto"/>
              </w:rPr>
            </w:pPr>
            <w:r>
              <w:rPr>
                <w:rFonts w:ascii="Arial" w:cs="Arial" w:eastAsia="Arial" w:hAnsi="Arial"/>
                <w:sz w:val="12"/>
                <w:szCs w:val="12"/>
                <w:color w:val="auto"/>
              </w:rPr>
              <w:t>70,000,000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Deutsche Bank Securities Inc.</w:t>
            </w:r>
          </w:p>
        </w:tc>
        <w:tc>
          <w:tcPr>
            <w:tcW w:w="2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35,000,000</w:t>
            </w: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35,000,000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70,000,000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960" w:type="dxa"/>
            <w:vAlign w:val="bottom"/>
            <w:gridSpan w:val="2"/>
          </w:tcPr>
          <w:p>
            <w:pPr>
              <w:spacing w:after="0"/>
              <w:rPr>
                <w:sz w:val="20"/>
                <w:szCs w:val="20"/>
                <w:color w:val="auto"/>
              </w:rPr>
            </w:pPr>
            <w:r>
              <w:rPr>
                <w:rFonts w:ascii="Arial" w:cs="Arial" w:eastAsia="Arial" w:hAnsi="Arial"/>
                <w:sz w:val="12"/>
                <w:szCs w:val="12"/>
                <w:color w:val="auto"/>
              </w:rPr>
              <w:t>BBVA Securities Inc.</w:t>
            </w:r>
          </w:p>
        </w:tc>
        <w:tc>
          <w:tcPr>
            <w:tcW w:w="28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15,000,000</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15,000,000</w:t>
            </w:r>
          </w:p>
        </w:tc>
        <w:tc>
          <w:tcPr>
            <w:tcW w:w="1460" w:type="dxa"/>
            <w:vAlign w:val="bottom"/>
            <w:gridSpan w:val="2"/>
          </w:tcPr>
          <w:p>
            <w:pPr>
              <w:jc w:val="right"/>
              <w:spacing w:after="0"/>
              <w:rPr>
                <w:sz w:val="20"/>
                <w:szCs w:val="20"/>
                <w:color w:val="auto"/>
              </w:rPr>
            </w:pPr>
            <w:r>
              <w:rPr>
                <w:rFonts w:ascii="Arial" w:cs="Arial" w:eastAsia="Arial" w:hAnsi="Arial"/>
                <w:sz w:val="12"/>
                <w:szCs w:val="12"/>
                <w:color w:val="auto"/>
              </w:rPr>
              <w:t>30,000,000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MUFG Securities Americas Inc.</w:t>
            </w:r>
          </w:p>
        </w:tc>
        <w:tc>
          <w:tcPr>
            <w:tcW w:w="2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15,000,000</w:t>
            </w: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15,000,000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30,000,000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960" w:type="dxa"/>
            <w:vAlign w:val="bottom"/>
            <w:gridSpan w:val="2"/>
          </w:tcPr>
          <w:p>
            <w:pPr>
              <w:spacing w:after="0"/>
              <w:rPr>
                <w:sz w:val="20"/>
                <w:szCs w:val="20"/>
                <w:color w:val="auto"/>
              </w:rPr>
            </w:pPr>
            <w:r>
              <w:rPr>
                <w:rFonts w:ascii="Arial" w:cs="Arial" w:eastAsia="Arial" w:hAnsi="Arial"/>
                <w:sz w:val="12"/>
                <w:szCs w:val="12"/>
                <w:color w:val="auto"/>
              </w:rPr>
              <w:t>SG Americas Securities, LLC</w:t>
            </w:r>
          </w:p>
        </w:tc>
        <w:tc>
          <w:tcPr>
            <w:tcW w:w="28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15,000,000</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15,000,000</w:t>
            </w:r>
          </w:p>
        </w:tc>
        <w:tc>
          <w:tcPr>
            <w:tcW w:w="1460" w:type="dxa"/>
            <w:vAlign w:val="bottom"/>
            <w:gridSpan w:val="2"/>
          </w:tcPr>
          <w:p>
            <w:pPr>
              <w:jc w:val="right"/>
              <w:spacing w:after="0"/>
              <w:rPr>
                <w:sz w:val="20"/>
                <w:szCs w:val="20"/>
                <w:color w:val="auto"/>
              </w:rPr>
            </w:pPr>
            <w:r>
              <w:rPr>
                <w:rFonts w:ascii="Arial" w:cs="Arial" w:eastAsia="Arial" w:hAnsi="Arial"/>
                <w:sz w:val="12"/>
                <w:szCs w:val="12"/>
                <w:color w:val="auto"/>
              </w:rPr>
              <w:t>30,000,000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UniCredit Capital Markets LLC</w:t>
            </w:r>
          </w:p>
        </w:tc>
        <w:tc>
          <w:tcPr>
            <w:tcW w:w="2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15,000,000</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15,000,000</w:t>
            </w:r>
          </w:p>
        </w:tc>
        <w:tc>
          <w:tcPr>
            <w:tcW w:w="40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30,000,000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60" w:type="dxa"/>
            <w:vAlign w:val="bottom"/>
            <w:gridSpan w:val="2"/>
          </w:tcPr>
          <w:p>
            <w:pPr>
              <w:ind w:left="240"/>
              <w:spacing w:after="0"/>
              <w:rPr>
                <w:sz w:val="20"/>
                <w:szCs w:val="20"/>
                <w:color w:val="auto"/>
              </w:rPr>
            </w:pPr>
            <w:r>
              <w:rPr>
                <w:rFonts w:ascii="Arial" w:cs="Arial" w:eastAsia="Arial" w:hAnsi="Arial"/>
                <w:sz w:val="12"/>
                <w:szCs w:val="12"/>
                <w:b w:val="1"/>
                <w:bCs w:val="1"/>
                <w:color w:val="auto"/>
              </w:rPr>
              <w:t>Total</w:t>
            </w:r>
          </w:p>
        </w:tc>
        <w:tc>
          <w:tcPr>
            <w:tcW w:w="280" w:type="dxa"/>
            <w:vAlign w:val="bottom"/>
          </w:tcPr>
          <w:p>
            <w:pPr>
              <w:spacing w:after="0"/>
              <w:rPr>
                <w:sz w:val="20"/>
                <w:szCs w:val="20"/>
                <w:color w:val="auto"/>
              </w:rPr>
            </w:pPr>
            <w:r>
              <w:rPr>
                <w:rFonts w:ascii="Arial" w:cs="Arial" w:eastAsia="Arial" w:hAnsi="Arial"/>
                <w:sz w:val="12"/>
                <w:szCs w:val="12"/>
                <w:b w:val="1"/>
                <w:bCs w:val="1"/>
                <w:u w:val="single" w:color="auto"/>
                <w:color w:val="auto"/>
              </w:rPr>
              <w:t>US</w:t>
            </w:r>
            <w:r>
              <w:rPr>
                <w:rFonts w:ascii="Arial" w:cs="Arial" w:eastAsia="Arial" w:hAnsi="Arial"/>
                <w:sz w:val="12"/>
                <w:szCs w:val="12"/>
                <w:b w:val="1"/>
                <w:bCs w:val="1"/>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500,000,000</w:t>
            </w:r>
          </w:p>
        </w:tc>
        <w:tc>
          <w:tcPr>
            <w:tcW w:w="660" w:type="dxa"/>
            <w:vAlign w:val="bottom"/>
            <w:gridSpan w:val="2"/>
          </w:tcPr>
          <w:p>
            <w:pPr>
              <w:ind w:left="380"/>
              <w:spacing w:after="0"/>
              <w:rPr>
                <w:sz w:val="20"/>
                <w:szCs w:val="20"/>
                <w:color w:val="auto"/>
              </w:rPr>
            </w:pPr>
            <w:r>
              <w:rPr>
                <w:rFonts w:ascii="Arial" w:cs="Arial" w:eastAsia="Arial" w:hAnsi="Arial"/>
                <w:sz w:val="12"/>
                <w:szCs w:val="12"/>
                <w:b w:val="1"/>
                <w:bCs w:val="1"/>
                <w:u w:val="single" w:color="auto"/>
                <w:color w:val="auto"/>
              </w:rPr>
              <w:t>US</w:t>
            </w:r>
            <w:r>
              <w:rPr>
                <w:rFonts w:ascii="Arial" w:cs="Arial" w:eastAsia="Arial" w:hAnsi="Arial"/>
                <w:sz w:val="12"/>
                <w:szCs w:val="12"/>
                <w:b w:val="1"/>
                <w:bCs w:val="1"/>
                <w:color w:val="auto"/>
              </w:rPr>
              <w:t>$</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500,000,000</w:t>
            </w:r>
          </w:p>
        </w:tc>
        <w:tc>
          <w:tcPr>
            <w:tcW w:w="40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2"/>
                <w:szCs w:val="12"/>
                <w:b w:val="1"/>
                <w:bCs w:val="1"/>
                <w:u w:val="single" w:color="auto"/>
                <w:color w:val="auto"/>
              </w:rPr>
              <w:t>US$</w:t>
            </w:r>
            <w:r>
              <w:rPr>
                <w:rFonts w:ascii="Arial" w:cs="Arial" w:eastAsia="Arial" w:hAnsi="Arial"/>
                <w:sz w:val="12"/>
                <w:szCs w:val="12"/>
                <w:b w:val="1"/>
                <w:bCs w:val="1"/>
                <w:color w:val="auto"/>
              </w:rPr>
              <w:t>1,000,000,000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420" w:right="479" w:firstLine="327"/>
        <w:spacing w:after="0" w:line="255" w:lineRule="auto"/>
        <w:rPr>
          <w:sz w:val="20"/>
          <w:szCs w:val="20"/>
          <w:color w:val="auto"/>
        </w:rPr>
      </w:pPr>
      <w:r>
        <w:rPr>
          <w:rFonts w:ascii="Arial" w:cs="Arial" w:eastAsia="Arial" w:hAnsi="Arial"/>
          <w:sz w:val="13"/>
          <w:szCs w:val="13"/>
          <w:color w:val="auto"/>
        </w:rPr>
        <w:t>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certain conditions. The underwriters are obligated to take and pay for all of the Notes offered by this prospectus supplement if any such Notes are taken.</w:t>
      </w:r>
    </w:p>
    <w:p>
      <w:pPr>
        <w:spacing w:after="0" w:line="127" w:lineRule="exact"/>
        <w:rPr>
          <w:sz w:val="20"/>
          <w:szCs w:val="20"/>
          <w:color w:val="auto"/>
        </w:rPr>
      </w:pPr>
    </w:p>
    <w:p>
      <w:pPr>
        <w:ind w:left="420" w:right="659" w:firstLine="327"/>
        <w:spacing w:after="0" w:line="248" w:lineRule="auto"/>
        <w:rPr>
          <w:sz w:val="20"/>
          <w:szCs w:val="20"/>
          <w:color w:val="auto"/>
        </w:rPr>
      </w:pPr>
      <w:r>
        <w:rPr>
          <w:rFonts w:ascii="Arial" w:cs="Arial" w:eastAsia="Arial" w:hAnsi="Arial"/>
          <w:sz w:val="13"/>
          <w:szCs w:val="13"/>
          <w:color w:val="auto"/>
        </w:rPr>
        <w:t>The underwriters initially propose to offer the Notes to the public at the public offering price that appears on the cover page of this prospectus supplement. In addition, the underwriters initially propose to offer the Notes to certain dealers at prices that represent a concession not in excess of 0.210% of the principal amount of the 2031 Notes, 0.240% of the principal amount of the 2033 Notes or</w:t>
      </w:r>
    </w:p>
    <w:p>
      <w:pPr>
        <w:ind w:left="420" w:right="499"/>
        <w:spacing w:after="0" w:line="248" w:lineRule="auto"/>
        <w:rPr>
          <w:sz w:val="20"/>
          <w:szCs w:val="20"/>
          <w:color w:val="auto"/>
        </w:rPr>
      </w:pPr>
      <w:r>
        <w:rPr>
          <w:rFonts w:ascii="Arial" w:cs="Arial" w:eastAsia="Arial" w:hAnsi="Arial"/>
          <w:sz w:val="13"/>
          <w:szCs w:val="13"/>
          <w:color w:val="auto"/>
        </w:rPr>
        <w:t>0.270% of the principal amount of the 2036 Notes. Any underwriter may allow, and any such dealer may reallow, a concession not in excess of 0.140% of the principal amount of the 2031 Notes, 0.160% of the principal amount of the 2033 Notes or 0.180% of the principal amount of the 2036 Notes to certain other dealers. After the initial offering of the Notes, the underwriters may from time to time vary the offering prices and other selling terms. The underwriters may offer and sell Notes through certain of their affiliates.</w:t>
      </w:r>
    </w:p>
    <w:p>
      <w:pPr>
        <w:spacing w:after="0" w:line="133" w:lineRule="exact"/>
        <w:rPr>
          <w:sz w:val="20"/>
          <w:szCs w:val="20"/>
          <w:color w:val="auto"/>
        </w:rPr>
      </w:pPr>
    </w:p>
    <w:p>
      <w:pPr>
        <w:ind w:left="740"/>
        <w:spacing w:after="0"/>
        <w:rPr>
          <w:sz w:val="20"/>
          <w:szCs w:val="20"/>
          <w:color w:val="auto"/>
        </w:rPr>
      </w:pPr>
      <w:r>
        <w:rPr>
          <w:rFonts w:ascii="Arial" w:cs="Arial" w:eastAsia="Arial" w:hAnsi="Arial"/>
          <w:sz w:val="13"/>
          <w:szCs w:val="13"/>
          <w:color w:val="auto"/>
        </w:rPr>
        <w:t>The following table shows the underwriting discount that we will pay to the underwriters in connection with the offering of the Notes:</w:t>
      </w:r>
    </w:p>
    <w:p>
      <w:pPr>
        <w:spacing w:after="0" w:line="188" w:lineRule="exact"/>
        <w:rPr>
          <w:sz w:val="20"/>
          <w:szCs w:val="20"/>
          <w:color w:val="auto"/>
        </w:rPr>
      </w:pPr>
    </w:p>
    <w:tbl>
      <w:tblPr>
        <w:tblLayout w:type="fixed"/>
        <w:tblInd w:w="1720" w:type="dxa"/>
        <w:tblCellMar>
          <w:top w:w="0" w:type="dxa"/>
          <w:left w:w="0" w:type="dxa"/>
          <w:bottom w:w="0" w:type="dxa"/>
          <w:right w:w="0" w:type="dxa"/>
        </w:tblCellMar>
      </w:tblPr>
      <w:tr>
        <w:trPr>
          <w:trHeight w:val="127"/>
        </w:trPr>
        <w:tc>
          <w:tcPr>
            <w:tcW w:w="1820" w:type="dxa"/>
            <w:vAlign w:val="bottom"/>
            <w:tcBorders>
              <w:bottom w:val="single" w:sz="8" w:color="CCEEFF"/>
            </w:tcBorders>
          </w:tcPr>
          <w:p>
            <w:pPr>
              <w:spacing w:after="0"/>
              <w:rPr>
                <w:sz w:val="11"/>
                <w:szCs w:val="11"/>
                <w:color w:val="auto"/>
              </w:rPr>
            </w:pPr>
          </w:p>
        </w:tc>
        <w:tc>
          <w:tcPr>
            <w:tcW w:w="272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Paid by Us</w:t>
            </w:r>
          </w:p>
        </w:tc>
        <w:tc>
          <w:tcPr>
            <w:tcW w:w="160" w:type="dxa"/>
            <w:vAlign w:val="bottom"/>
            <w:tcBorders>
              <w:bottom w:val="single" w:sz="8" w:color="CCEEFF"/>
            </w:tcBorders>
          </w:tcPr>
          <w:p>
            <w:pPr>
              <w:spacing w:after="0"/>
              <w:rPr>
                <w:sz w:val="11"/>
                <w:szCs w:val="11"/>
                <w:color w:val="auto"/>
              </w:rPr>
            </w:pPr>
          </w:p>
        </w:tc>
      </w:tr>
      <w:tr>
        <w:trPr>
          <w:trHeight w:val="141"/>
        </w:trPr>
        <w:tc>
          <w:tcPr>
            <w:tcW w:w="18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Per 2031 Note</w:t>
            </w:r>
          </w:p>
        </w:tc>
        <w:tc>
          <w:tcPr>
            <w:tcW w:w="27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0.350%</w:t>
            </w:r>
          </w:p>
        </w:tc>
      </w:tr>
      <w:tr>
        <w:trPr>
          <w:trHeight w:val="161"/>
        </w:trPr>
        <w:tc>
          <w:tcPr>
            <w:tcW w:w="1820" w:type="dxa"/>
            <w:vAlign w:val="bottom"/>
          </w:tcPr>
          <w:p>
            <w:pPr>
              <w:spacing w:after="0"/>
              <w:rPr>
                <w:sz w:val="20"/>
                <w:szCs w:val="20"/>
                <w:color w:val="auto"/>
              </w:rPr>
            </w:pPr>
            <w:r>
              <w:rPr>
                <w:rFonts w:ascii="Arial" w:cs="Arial" w:eastAsia="Arial" w:hAnsi="Arial"/>
                <w:sz w:val="13"/>
                <w:szCs w:val="13"/>
                <w:color w:val="auto"/>
              </w:rPr>
              <w:t>2031 Notes Total</w:t>
            </w:r>
          </w:p>
        </w:tc>
        <w:tc>
          <w:tcPr>
            <w:tcW w:w="3740" w:type="dxa"/>
            <w:vAlign w:val="bottom"/>
            <w:gridSpan w:val="3"/>
          </w:tcPr>
          <w:p>
            <w:pPr>
              <w:jc w:val="center"/>
              <w:ind w:left="2493"/>
              <w:spacing w:after="0"/>
              <w:rPr>
                <w:sz w:val="20"/>
                <w:szCs w:val="20"/>
                <w:color w:val="auto"/>
              </w:rPr>
            </w:pPr>
            <w:r>
              <w:rPr>
                <w:rFonts w:ascii="Arial" w:cs="Arial" w:eastAsia="Arial" w:hAnsi="Arial"/>
                <w:sz w:val="13"/>
                <w:szCs w:val="13"/>
                <w:color w:val="auto"/>
              </w:rPr>
              <w:t>US$1,750,000</w:t>
            </w:r>
          </w:p>
        </w:tc>
      </w:tr>
      <w:tr>
        <w:trPr>
          <w:trHeight w:val="161"/>
        </w:trPr>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Per 2033 Note</w:t>
            </w:r>
          </w:p>
        </w:tc>
        <w:tc>
          <w:tcPr>
            <w:tcW w:w="3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0.400%</w:t>
            </w:r>
          </w:p>
        </w:tc>
      </w:tr>
      <w:tr>
        <w:trPr>
          <w:trHeight w:val="161"/>
        </w:trPr>
        <w:tc>
          <w:tcPr>
            <w:tcW w:w="1820" w:type="dxa"/>
            <w:vAlign w:val="bottom"/>
          </w:tcPr>
          <w:p>
            <w:pPr>
              <w:spacing w:after="0"/>
              <w:rPr>
                <w:sz w:val="20"/>
                <w:szCs w:val="20"/>
                <w:color w:val="auto"/>
              </w:rPr>
            </w:pPr>
            <w:r>
              <w:rPr>
                <w:rFonts w:ascii="Arial" w:cs="Arial" w:eastAsia="Arial" w:hAnsi="Arial"/>
                <w:sz w:val="13"/>
                <w:szCs w:val="13"/>
                <w:color w:val="auto"/>
              </w:rPr>
              <w:t>2033 Notes Total</w:t>
            </w:r>
          </w:p>
        </w:tc>
        <w:tc>
          <w:tcPr>
            <w:tcW w:w="3740" w:type="dxa"/>
            <w:vAlign w:val="bottom"/>
            <w:gridSpan w:val="3"/>
          </w:tcPr>
          <w:p>
            <w:pPr>
              <w:jc w:val="center"/>
              <w:ind w:left="2493"/>
              <w:spacing w:after="0"/>
              <w:rPr>
                <w:sz w:val="20"/>
                <w:szCs w:val="20"/>
                <w:color w:val="auto"/>
              </w:rPr>
            </w:pPr>
            <w:r>
              <w:rPr>
                <w:rFonts w:ascii="Arial" w:cs="Arial" w:eastAsia="Arial" w:hAnsi="Arial"/>
                <w:sz w:val="13"/>
                <w:szCs w:val="13"/>
                <w:color w:val="auto"/>
              </w:rPr>
              <w:t>US$2,000,000</w:t>
            </w:r>
          </w:p>
        </w:tc>
      </w:tr>
      <w:tr>
        <w:trPr>
          <w:trHeight w:val="161"/>
        </w:trPr>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Per 2036 Note</w:t>
            </w:r>
          </w:p>
        </w:tc>
        <w:tc>
          <w:tcPr>
            <w:tcW w:w="3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0.450%</w:t>
            </w:r>
          </w:p>
        </w:tc>
      </w:tr>
      <w:tr>
        <w:trPr>
          <w:trHeight w:val="175"/>
        </w:trPr>
        <w:tc>
          <w:tcPr>
            <w:tcW w:w="1820" w:type="dxa"/>
            <w:vAlign w:val="bottom"/>
          </w:tcPr>
          <w:p>
            <w:pPr>
              <w:spacing w:after="0"/>
              <w:rPr>
                <w:sz w:val="20"/>
                <w:szCs w:val="20"/>
                <w:color w:val="auto"/>
              </w:rPr>
            </w:pPr>
            <w:r>
              <w:rPr>
                <w:rFonts w:ascii="Arial" w:cs="Arial" w:eastAsia="Arial" w:hAnsi="Arial"/>
                <w:sz w:val="13"/>
                <w:szCs w:val="13"/>
                <w:color w:val="auto"/>
              </w:rPr>
              <w:t>2036 Notes Total</w:t>
            </w:r>
          </w:p>
        </w:tc>
        <w:tc>
          <w:tcPr>
            <w:tcW w:w="3740" w:type="dxa"/>
            <w:vAlign w:val="bottom"/>
            <w:gridSpan w:val="3"/>
          </w:tcPr>
          <w:p>
            <w:pPr>
              <w:jc w:val="center"/>
              <w:ind w:left="2493"/>
              <w:spacing w:after="0"/>
              <w:rPr>
                <w:sz w:val="20"/>
                <w:szCs w:val="20"/>
                <w:color w:val="auto"/>
              </w:rPr>
            </w:pPr>
            <w:r>
              <w:rPr>
                <w:rFonts w:ascii="Arial" w:cs="Arial" w:eastAsia="Arial" w:hAnsi="Arial"/>
                <w:sz w:val="13"/>
                <w:szCs w:val="13"/>
                <w:color w:val="auto"/>
              </w:rPr>
              <w:t>US$4,500,000</w:t>
            </w:r>
          </w:p>
        </w:tc>
      </w:tr>
      <w:tr>
        <w:trPr>
          <w:trHeight w:val="258"/>
        </w:trPr>
        <w:tc>
          <w:tcPr>
            <w:tcW w:w="1820" w:type="dxa"/>
            <w:vAlign w:val="bottom"/>
          </w:tcPr>
          <w:p>
            <w:pPr>
              <w:spacing w:after="0"/>
              <w:rPr>
                <w:sz w:val="22"/>
                <w:szCs w:val="22"/>
                <w:color w:val="auto"/>
              </w:rPr>
            </w:pPr>
          </w:p>
        </w:tc>
        <w:tc>
          <w:tcPr>
            <w:tcW w:w="3740" w:type="dxa"/>
            <w:vAlign w:val="bottom"/>
            <w:gridSpan w:val="3"/>
          </w:tcPr>
          <w:p>
            <w:pPr>
              <w:jc w:val="right"/>
              <w:ind w:right="2640"/>
              <w:spacing w:after="0"/>
              <w:rPr>
                <w:sz w:val="20"/>
                <w:szCs w:val="20"/>
                <w:color w:val="auto"/>
              </w:rPr>
            </w:pPr>
            <w:r>
              <w:rPr>
                <w:rFonts w:ascii="Arial" w:cs="Arial" w:eastAsia="Arial" w:hAnsi="Arial"/>
                <w:sz w:val="13"/>
                <w:szCs w:val="13"/>
                <w:color w:val="auto"/>
              </w:rPr>
              <w:t>S-39</w:t>
            </w:r>
          </w:p>
        </w:tc>
      </w:tr>
    </w:tbl>
    <w:p>
      <w:pPr>
        <w:sectPr>
          <w:pgSz w:w="11900" w:h="16838" w:orient="portrait"/>
          <w:cols w:equalWidth="0" w:num="1">
            <w:col w:w="9019"/>
          </w:cols>
          <w:pgMar w:left="1440" w:top="235" w:right="1440" w:bottom="1440" w:gutter="0" w:footer="0" w:header="0"/>
        </w:sectPr>
      </w:pPr>
    </w:p>
    <w:bookmarkStart w:id="44" w:name="page45"/>
    <w:bookmarkEnd w:id="44"/>
    <w:p>
      <w:pPr>
        <w:ind w:left="420" w:right="899" w:firstLine="327"/>
        <w:spacing w:after="0" w:line="28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5980" cy="31750"/>
                    </a:xfrm>
                    <a:prstGeom prst="rect">
                      <a:avLst/>
                    </a:prstGeom>
                    <a:noFill/>
                  </pic:spPr>
                </pic:pic>
              </a:graphicData>
            </a:graphic>
          </wp:anchor>
        </w:drawing>
        <w:t>Expenses associated with this offering to be paid by us, other than underwriting discounts, are estimated to be approximately US$4 million.</w:t>
      </w:r>
    </w:p>
    <w:p>
      <w:pPr>
        <w:spacing w:after="0" w:line="110" w:lineRule="exact"/>
        <w:rPr>
          <w:sz w:val="20"/>
          <w:szCs w:val="20"/>
          <w:color w:val="auto"/>
        </w:rPr>
      </w:pPr>
    </w:p>
    <w:p>
      <w:pPr>
        <w:ind w:left="420" w:right="519" w:firstLine="327"/>
        <w:spacing w:after="0" w:line="282" w:lineRule="auto"/>
        <w:rPr>
          <w:sz w:val="20"/>
          <w:szCs w:val="20"/>
          <w:color w:val="auto"/>
        </w:rPr>
      </w:pPr>
      <w:r>
        <w:rPr>
          <w:rFonts w:ascii="Arial" w:cs="Arial" w:eastAsia="Arial" w:hAnsi="Arial"/>
          <w:sz w:val="13"/>
          <w:szCs w:val="13"/>
          <w:color w:val="auto"/>
        </w:rPr>
        <w:t>We have also agreed to indemnify the underwriters against certain liabilities, including liabilities under the Securities Act of 1933, as amended, or to contribute to payments which the underwriters may be required to make in respect of any such liabilities.</w:t>
      </w:r>
    </w:p>
    <w:p>
      <w:pPr>
        <w:spacing w:after="0" w:line="110" w:lineRule="exact"/>
        <w:rPr>
          <w:sz w:val="20"/>
          <w:szCs w:val="20"/>
          <w:color w:val="auto"/>
        </w:rPr>
      </w:pPr>
    </w:p>
    <w:p>
      <w:pPr>
        <w:ind w:left="420" w:right="439" w:firstLine="327"/>
        <w:spacing w:after="0" w:line="251" w:lineRule="auto"/>
        <w:rPr>
          <w:sz w:val="20"/>
          <w:szCs w:val="20"/>
          <w:color w:val="auto"/>
        </w:rPr>
      </w:pPr>
      <w:r>
        <w:rPr>
          <w:rFonts w:ascii="Arial" w:cs="Arial" w:eastAsia="Arial" w:hAnsi="Arial"/>
          <w:sz w:val="13"/>
          <w:szCs w:val="13"/>
          <w:color w:val="auto"/>
        </w:rPr>
        <w:t>The Notes are new issues of securities, and there is currently no established trading market for the Notes. We do not intend to apply for the Notes to be listed on any securities exchange or to arrange for the Notes to be quoted on any quotation system. The underwriters have advised us that they intend to make a market in the Notes, but they are not obligated to do so. The underwriters may discontinue any market making in the Notes at any time at their sole discretion. Accordingly, we cannot assure you that a liquid trading market will develop for the Notes, that you will be able to sell your Notes at a particular time or that the prices you receive when you sell will be favorable.</w:t>
      </w:r>
    </w:p>
    <w:p>
      <w:pPr>
        <w:spacing w:after="0" w:line="131" w:lineRule="exact"/>
        <w:rPr>
          <w:sz w:val="20"/>
          <w:szCs w:val="20"/>
          <w:color w:val="auto"/>
        </w:rPr>
      </w:pPr>
    </w:p>
    <w:p>
      <w:pPr>
        <w:ind w:left="420" w:right="439" w:firstLine="327"/>
        <w:spacing w:after="0" w:line="248" w:lineRule="auto"/>
        <w:rPr>
          <w:sz w:val="20"/>
          <w:szCs w:val="20"/>
          <w:color w:val="auto"/>
        </w:rPr>
      </w:pPr>
      <w:r>
        <w:rPr>
          <w:rFonts w:ascii="Arial" w:cs="Arial" w:eastAsia="Arial" w:hAnsi="Arial"/>
          <w:sz w:val="13"/>
          <w:szCs w:val="13"/>
          <w:color w:val="auto"/>
        </w:rPr>
        <w:t>In connection with the offering of the Notes, the underwriters may engage in transactions that stabilize, maintain or otherwise affect the price of the Notes. Specifically, the underwriters may overallot in connection with the offering, creating a short position. In addition, the underwriters may bid for, and purchase, the Notes in the open market to cover short positions or to stabilize the price of the Notes. Any of these activities may stabilize or maintain the market price of the Notes above independent market levels, but no representation is made hereby that the underwriters will engage in any of those transactions or of the magnitude of any effect that the transactions described above may have on the market price of the Notes. The underwriters will not be required to engage in these activities, and if they engage in these activities, they may end any of these activities at any time without notice.</w:t>
      </w:r>
    </w:p>
    <w:p>
      <w:pPr>
        <w:spacing w:after="0" w:line="133" w:lineRule="exact"/>
        <w:rPr>
          <w:sz w:val="20"/>
          <w:szCs w:val="20"/>
          <w:color w:val="auto"/>
        </w:rPr>
      </w:pPr>
    </w:p>
    <w:p>
      <w:pPr>
        <w:ind w:left="420" w:right="619" w:firstLine="327"/>
        <w:spacing w:after="0" w:line="282" w:lineRule="auto"/>
        <w:rPr>
          <w:sz w:val="20"/>
          <w:szCs w:val="20"/>
          <w:color w:val="auto"/>
        </w:rPr>
      </w:pPr>
      <w:r>
        <w:rPr>
          <w:rFonts w:ascii="Arial" w:cs="Arial" w:eastAsia="Arial" w:hAnsi="Arial"/>
          <w:sz w:val="13"/>
          <w:szCs w:val="13"/>
          <w:color w:val="auto"/>
        </w:rPr>
        <w:t>To the extent any underwriter that is not a U.S.-registered broker-dealer intends to effect sales of the Notes in the United States, it will do so through one or more U.S.-registered broker-dealers in accordance with the applicable U.S. securities laws and regulations.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Selling Restrictions</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Canada</w:t>
      </w:r>
    </w:p>
    <w:p>
      <w:pPr>
        <w:spacing w:after="0" w:line="81" w:lineRule="exact"/>
        <w:rPr>
          <w:sz w:val="20"/>
          <w:szCs w:val="20"/>
          <w:color w:val="auto"/>
        </w:rPr>
      </w:pPr>
    </w:p>
    <w:p>
      <w:pPr>
        <w:ind w:left="420" w:right="499" w:firstLine="327"/>
        <w:spacing w:after="0" w:line="251" w:lineRule="auto"/>
        <w:rPr>
          <w:sz w:val="20"/>
          <w:szCs w:val="20"/>
          <w:color w:val="auto"/>
        </w:rPr>
      </w:pPr>
      <w:r>
        <w:rPr>
          <w:rFonts w:ascii="Arial" w:cs="Arial" w:eastAsia="Arial" w:hAnsi="Arial"/>
          <w:sz w:val="13"/>
          <w:szCs w:val="13"/>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31" w:lineRule="exact"/>
        <w:rPr>
          <w:sz w:val="20"/>
          <w:szCs w:val="20"/>
          <w:color w:val="auto"/>
        </w:rPr>
      </w:pPr>
    </w:p>
    <w:p>
      <w:pPr>
        <w:ind w:left="420" w:right="419" w:firstLine="327"/>
        <w:spacing w:after="0" w:line="251" w:lineRule="auto"/>
        <w:rPr>
          <w:sz w:val="20"/>
          <w:szCs w:val="20"/>
          <w:color w:val="auto"/>
        </w:rPr>
      </w:pPr>
      <w:r>
        <w:rPr>
          <w:rFonts w:ascii="Arial" w:cs="Arial" w:eastAsia="Arial" w:hAnsi="Arial"/>
          <w:sz w:val="13"/>
          <w:szCs w:val="13"/>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31" w:lineRule="exact"/>
        <w:rPr>
          <w:sz w:val="20"/>
          <w:szCs w:val="20"/>
          <w:color w:val="auto"/>
        </w:rPr>
      </w:pPr>
    </w:p>
    <w:p>
      <w:pPr>
        <w:ind w:left="420" w:right="719" w:firstLine="327"/>
        <w:spacing w:after="0" w:line="282" w:lineRule="auto"/>
        <w:rPr>
          <w:sz w:val="20"/>
          <w:szCs w:val="20"/>
          <w:color w:val="auto"/>
        </w:rPr>
      </w:pPr>
      <w:r>
        <w:rPr>
          <w:rFonts w:ascii="Arial" w:cs="Arial" w:eastAsia="Arial" w:hAnsi="Arial"/>
          <w:sz w:val="13"/>
          <w:szCs w:val="13"/>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S-40</w:t>
      </w:r>
    </w:p>
    <w:p>
      <w:pPr>
        <w:sectPr>
          <w:pgSz w:w="11900" w:h="16838" w:orient="portrait"/>
          <w:cols w:equalWidth="0" w:num="1">
            <w:col w:w="9019"/>
          </w:cols>
          <w:pgMar w:left="1440" w:top="237" w:right="1440" w:bottom="1440" w:gutter="0" w:footer="0" w:header="0"/>
        </w:sectPr>
      </w:pPr>
    </w:p>
    <w:bookmarkStart w:id="45" w:name="page46"/>
    <w:bookmarkEnd w:id="45"/>
    <w:p>
      <w:pPr>
        <w:ind w:left="420"/>
        <w:spacing w:after="0"/>
        <w:rPr>
          <w:sz w:val="20"/>
          <w:szCs w:val="20"/>
          <w:color w:val="auto"/>
        </w:rPr>
      </w:pPr>
      <w:r>
        <w:rPr>
          <w:rFonts w:ascii="Arial" w:cs="Arial" w:eastAsia="Arial" w:hAnsi="Arial"/>
          <w:sz w:val="13"/>
          <w:szCs w:val="13"/>
          <w:b w:val="1"/>
          <w:bCs w:val="1"/>
          <w:i w:val="1"/>
          <w:i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5980" cy="31750"/>
                    </a:xfrm>
                    <a:prstGeom prst="rect">
                      <a:avLst/>
                    </a:prstGeom>
                    <a:noFill/>
                  </pic:spPr>
                </pic:pic>
              </a:graphicData>
            </a:graphic>
          </wp:anchor>
        </w:drawing>
        <w:t>European Economic Area</w:t>
      </w:r>
    </w:p>
    <w:p>
      <w:pPr>
        <w:spacing w:after="0" w:line="81" w:lineRule="exact"/>
        <w:rPr>
          <w:sz w:val="20"/>
          <w:szCs w:val="20"/>
          <w:color w:val="auto"/>
        </w:rPr>
      </w:pPr>
    </w:p>
    <w:p>
      <w:pPr>
        <w:ind w:left="420" w:right="419" w:firstLine="327"/>
        <w:spacing w:after="0" w:line="246" w:lineRule="auto"/>
        <w:rPr>
          <w:sz w:val="20"/>
          <w:szCs w:val="20"/>
          <w:color w:val="auto"/>
        </w:rPr>
      </w:pPr>
      <w:r>
        <w:rPr>
          <w:rFonts w:ascii="Arial" w:cs="Arial" w:eastAsia="Arial" w:hAnsi="Arial"/>
          <w:sz w:val="13"/>
          <w:szCs w:val="13"/>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Article 2 of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36" w:lineRule="exact"/>
        <w:rPr>
          <w:sz w:val="20"/>
          <w:szCs w:val="20"/>
          <w:color w:val="auto"/>
        </w:rPr>
      </w:pPr>
    </w:p>
    <w:p>
      <w:pPr>
        <w:ind w:left="420" w:right="619" w:firstLine="327"/>
        <w:spacing w:after="0" w:line="262" w:lineRule="auto"/>
        <w:rPr>
          <w:sz w:val="20"/>
          <w:szCs w:val="20"/>
          <w:color w:val="auto"/>
        </w:rPr>
      </w:pPr>
      <w:r>
        <w:rPr>
          <w:rFonts w:ascii="Arial" w:cs="Arial" w:eastAsia="Arial" w:hAnsi="Arial"/>
          <w:sz w:val="13"/>
          <w:szCs w:val="13"/>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United Kingdom</w:t>
      </w:r>
    </w:p>
    <w:p>
      <w:pPr>
        <w:spacing w:after="0" w:line="81" w:lineRule="exact"/>
        <w:rPr>
          <w:sz w:val="20"/>
          <w:szCs w:val="20"/>
          <w:color w:val="auto"/>
        </w:rPr>
      </w:pPr>
    </w:p>
    <w:p>
      <w:pPr>
        <w:ind w:left="420" w:right="499" w:firstLine="327"/>
        <w:spacing w:after="0" w:line="251" w:lineRule="auto"/>
        <w:rPr>
          <w:sz w:val="20"/>
          <w:szCs w:val="20"/>
          <w:color w:val="auto"/>
        </w:rPr>
      </w:pPr>
      <w:r>
        <w:rPr>
          <w:rFonts w:ascii="Arial" w:cs="Arial" w:eastAsia="Arial" w:hAnsi="Arial"/>
          <w:sz w:val="13"/>
          <w:szCs w:val="13"/>
          <w:color w:val="auto"/>
        </w:rPr>
        <w:t>The Notes are not intended to be offered, sold or otherwise made available to and should not be offered, sold or otherwise made available to any retail investor in the United Kingdom (“U.K.”). For these purposes, a retail investor means a person who is neither: (i) a professional client, as defined in point (8) of Article 2(1) of Regulation (EU) No 600/2014 as it forms part of domestic law by virtue of the European Union Withdrawal Act 2018 (“EUWA”); nor (ii) a qualified investor as defined in paragraph 15 of Schedule 1 to the Public Offers and Admissions to Trading Regulations 2024.</w:t>
      </w:r>
    </w:p>
    <w:p>
      <w:pPr>
        <w:spacing w:after="0" w:line="131" w:lineRule="exact"/>
        <w:rPr>
          <w:sz w:val="20"/>
          <w:szCs w:val="20"/>
          <w:color w:val="auto"/>
        </w:rPr>
      </w:pPr>
    </w:p>
    <w:p>
      <w:pPr>
        <w:ind w:left="420" w:right="459" w:firstLine="327"/>
        <w:spacing w:after="0" w:line="255" w:lineRule="auto"/>
        <w:rPr>
          <w:sz w:val="20"/>
          <w:szCs w:val="20"/>
          <w:color w:val="auto"/>
        </w:rPr>
      </w:pPr>
      <w:r>
        <w:rPr>
          <w:rFonts w:ascii="Arial" w:cs="Arial" w:eastAsia="Arial" w:hAnsi="Arial"/>
          <w:sz w:val="13"/>
          <w:szCs w:val="13"/>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27" w:lineRule="exact"/>
        <w:rPr>
          <w:sz w:val="20"/>
          <w:szCs w:val="20"/>
          <w:color w:val="auto"/>
        </w:rPr>
      </w:pPr>
    </w:p>
    <w:p>
      <w:pPr>
        <w:ind w:left="420" w:right="439" w:firstLine="327"/>
        <w:spacing w:after="0" w:line="246" w:lineRule="auto"/>
        <w:rPr>
          <w:sz w:val="20"/>
          <w:szCs w:val="20"/>
          <w:color w:val="auto"/>
        </w:rPr>
      </w:pPr>
      <w:r>
        <w:rPr>
          <w:rFonts w:ascii="Arial" w:cs="Arial" w:eastAsia="Arial" w:hAnsi="Arial"/>
          <w:sz w:val="13"/>
          <w:szCs w:val="13"/>
          <w:color w:val="auto"/>
        </w:rPr>
        <w:t>This prospectus supplement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Luxembourg</w:t>
      </w:r>
    </w:p>
    <w:p>
      <w:pPr>
        <w:spacing w:after="0" w:line="81" w:lineRule="exact"/>
        <w:rPr>
          <w:sz w:val="20"/>
          <w:szCs w:val="20"/>
          <w:color w:val="auto"/>
        </w:rPr>
      </w:pPr>
    </w:p>
    <w:p>
      <w:pPr>
        <w:ind w:left="420" w:right="619" w:firstLine="327"/>
        <w:spacing w:after="0" w:line="282" w:lineRule="auto"/>
        <w:rPr>
          <w:sz w:val="20"/>
          <w:szCs w:val="20"/>
          <w:color w:val="auto"/>
        </w:rPr>
      </w:pPr>
      <w:r>
        <w:rPr>
          <w:rFonts w:ascii="Arial" w:cs="Arial" w:eastAsia="Arial" w:hAnsi="Arial"/>
          <w:sz w:val="13"/>
          <w:szCs w:val="13"/>
          <w:color w:val="auto"/>
        </w:rPr>
        <w:t>This prospectus supplement has not been approved by and will not be submitted for approval to the Luxembourg Financial Sector Authority (</w:t>
      </w:r>
      <w:r>
        <w:rPr>
          <w:rFonts w:ascii="Arial" w:cs="Arial" w:eastAsia="Arial" w:hAnsi="Arial"/>
          <w:sz w:val="13"/>
          <w:szCs w:val="13"/>
          <w:i w:val="1"/>
          <w:iCs w:val="1"/>
          <w:color w:val="auto"/>
        </w:rPr>
        <w:t>Commission de Surveillance du Secteur Financier</w:t>
      </w:r>
      <w:r>
        <w:rPr>
          <w:rFonts w:ascii="Arial" w:cs="Arial" w:eastAsia="Arial" w:hAnsi="Arial"/>
          <w:sz w:val="13"/>
          <w:szCs w:val="13"/>
          <w:color w:val="auto"/>
        </w:rPr>
        <w:t>) (the</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S-41</w:t>
      </w:r>
    </w:p>
    <w:p>
      <w:pPr>
        <w:sectPr>
          <w:pgSz w:w="11900" w:h="16838" w:orient="portrait"/>
          <w:cols w:equalWidth="0" w:num="1">
            <w:col w:w="9019"/>
          </w:cols>
          <w:pgMar w:left="1440" w:top="237" w:right="1440" w:bottom="1440" w:gutter="0" w:footer="0" w:header="0"/>
        </w:sectPr>
      </w:pPr>
    </w:p>
    <w:bookmarkStart w:id="46" w:name="page47"/>
    <w:bookmarkEnd w:id="46"/>
    <w:p>
      <w:pPr>
        <w:ind w:left="420" w:right="519"/>
        <w:spacing w:after="0" w:line="24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5980" cy="31750"/>
                    </a:xfrm>
                    <a:prstGeom prst="rect">
                      <a:avLst/>
                    </a:prstGeom>
                    <a:noFill/>
                  </pic:spPr>
                </pic:pic>
              </a:graphicData>
            </a:graphic>
          </wp:anchor>
        </w:drawing>
        <w:t>“CSSF”), or a competent authority of another Member State of the EEA for notification to the CSSF, for purposes of public offering or sale in Luxembourg. Accordingly, the Notes may not be offered or sold to the public in Luxembourg, directly or indirectly, and neither this prospectus supplement, the Indenture nor any other circular, prospectus, form of application, advertisement or other material related to such offer may be distributed, or otherwise be made available in or from, or published in, Luxembourg except in circumstances where the offer benefits from an exemption to or constitutes a transaction otherwise not subject to the requirement to publish a prospectus for the purposes of the Prospectus Regulation and the Luxembourg law of 16 July 2019 on prospectuses for securities.</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Switzerland</w:t>
      </w:r>
    </w:p>
    <w:p>
      <w:pPr>
        <w:spacing w:after="0" w:line="81" w:lineRule="exact"/>
        <w:rPr>
          <w:sz w:val="20"/>
          <w:szCs w:val="20"/>
          <w:color w:val="auto"/>
        </w:rPr>
      </w:pPr>
    </w:p>
    <w:p>
      <w:pPr>
        <w:ind w:left="420" w:right="479" w:firstLine="327"/>
        <w:spacing w:after="0" w:line="249" w:lineRule="auto"/>
        <w:rPr>
          <w:sz w:val="20"/>
          <w:szCs w:val="20"/>
          <w:color w:val="auto"/>
        </w:rPr>
      </w:pPr>
      <w:r>
        <w:rPr>
          <w:rFonts w:ascii="Arial" w:cs="Arial" w:eastAsia="Arial" w:hAnsi="Arial"/>
          <w:sz w:val="13"/>
          <w:szCs w:val="13"/>
          <w:color w:val="auto"/>
        </w:rPr>
        <w:t>This prospectus supplement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Hong Kong</w:t>
      </w:r>
    </w:p>
    <w:p>
      <w:pPr>
        <w:spacing w:after="0" w:line="81" w:lineRule="exact"/>
        <w:rPr>
          <w:sz w:val="20"/>
          <w:szCs w:val="20"/>
          <w:color w:val="auto"/>
        </w:rPr>
      </w:pPr>
    </w:p>
    <w:p>
      <w:pPr>
        <w:ind w:left="420" w:right="499" w:firstLine="327"/>
        <w:spacing w:after="0" w:line="251" w:lineRule="auto"/>
        <w:rPr>
          <w:sz w:val="20"/>
          <w:szCs w:val="20"/>
          <w:color w:val="auto"/>
        </w:rPr>
      </w:pPr>
      <w:r>
        <w:rPr>
          <w:rFonts w:ascii="Arial" w:cs="Arial" w:eastAsia="Arial" w:hAnsi="Arial"/>
          <w:sz w:val="13"/>
          <w:szCs w:val="13"/>
          <w:color w:val="auto"/>
        </w:rPr>
        <w:t>The Notes have not and may not be offered or sold in Hong Kong by means of any document other than (i) to “professional investors” as defined in the Securities and Futures Ordinance (Cap. 571, Laws of Hong Kong) (“SFO”) and any rules made thereunder, or</w:t>
      </w:r>
    </w:p>
    <w:p>
      <w:pPr>
        <w:ind w:left="420" w:right="439" w:hanging="10"/>
        <w:spacing w:after="0" w:line="245" w:lineRule="auto"/>
        <w:tabs>
          <w:tab w:leader="none" w:pos="606"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 other circumstances which do not result in the document being a “prospectus” as defined in the Companies (Winding Up and Miscellaneous Provisions) Ordinance (Cap. 32, Laws of Hong Kong) or which do not constitute an offer to the public within the meaning of that Ordinance, and no advertisement, invitation or document relating to the Notes has been or may be issued or has been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Japan</w:t>
      </w:r>
    </w:p>
    <w:p>
      <w:pPr>
        <w:spacing w:after="0" w:line="81" w:lineRule="exact"/>
        <w:rPr>
          <w:sz w:val="20"/>
          <w:szCs w:val="20"/>
          <w:color w:val="auto"/>
        </w:rPr>
      </w:pPr>
    </w:p>
    <w:p>
      <w:pPr>
        <w:ind w:left="420" w:right="519" w:firstLine="327"/>
        <w:spacing w:after="0" w:line="249" w:lineRule="auto"/>
        <w:rPr>
          <w:sz w:val="20"/>
          <w:szCs w:val="20"/>
          <w:color w:val="auto"/>
        </w:rPr>
      </w:pPr>
      <w:r>
        <w:rPr>
          <w:rFonts w:ascii="Arial" w:cs="Arial" w:eastAsia="Arial" w:hAnsi="Arial"/>
          <w:sz w:val="13"/>
          <w:szCs w:val="13"/>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Singapore</w:t>
      </w:r>
    </w:p>
    <w:p>
      <w:pPr>
        <w:spacing w:after="0" w:line="81" w:lineRule="exact"/>
        <w:rPr>
          <w:sz w:val="20"/>
          <w:szCs w:val="20"/>
          <w:color w:val="auto"/>
        </w:rPr>
      </w:pPr>
    </w:p>
    <w:p>
      <w:pPr>
        <w:ind w:left="420" w:right="619" w:firstLine="327"/>
        <w:spacing w:after="0" w:line="262" w:lineRule="auto"/>
        <w:rPr>
          <w:sz w:val="20"/>
          <w:szCs w:val="20"/>
          <w:color w:val="auto"/>
        </w:rPr>
      </w:pPr>
      <w:r>
        <w:rPr>
          <w:rFonts w:ascii="Arial" w:cs="Arial" w:eastAsia="Arial" w:hAnsi="Arial"/>
          <w:sz w:val="13"/>
          <w:szCs w:val="13"/>
          <w:color w:val="auto"/>
        </w:rPr>
        <w:t>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purchase, of the Notes may not be circulated or distributed, nor may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S-42</w:t>
      </w:r>
    </w:p>
    <w:p>
      <w:pPr>
        <w:sectPr>
          <w:pgSz w:w="11900" w:h="16838" w:orient="portrait"/>
          <w:cols w:equalWidth="0" w:num="1">
            <w:col w:w="9019"/>
          </w:cols>
          <w:pgMar w:left="1440" w:top="237" w:right="1440" w:bottom="1440" w:gutter="0" w:footer="0" w:header="0"/>
        </w:sectPr>
      </w:pPr>
    </w:p>
    <w:bookmarkStart w:id="47" w:name="page48"/>
    <w:bookmarkEnd w:id="47"/>
    <w:p>
      <w:pPr>
        <w:ind w:left="420" w:right="439"/>
        <w:spacing w:after="0" w:line="25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5980" cy="31750"/>
                    </a:xfrm>
                    <a:prstGeom prst="rect">
                      <a:avLst/>
                    </a:prstGeom>
                    <a:noFill/>
                  </pic:spPr>
                </pic:pic>
              </a:graphicData>
            </a:graphic>
          </wp:anchor>
        </w:drawing>
        <w:t>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31" w:lineRule="exact"/>
        <w:rPr>
          <w:sz w:val="20"/>
          <w:szCs w:val="20"/>
          <w:color w:val="auto"/>
        </w:rPr>
      </w:pPr>
    </w:p>
    <w:p>
      <w:pPr>
        <w:ind w:left="420" w:right="499" w:firstLine="327"/>
        <w:spacing w:after="0" w:line="245" w:lineRule="auto"/>
        <w:rPr>
          <w:sz w:val="20"/>
          <w:szCs w:val="20"/>
          <w:color w:val="auto"/>
        </w:rPr>
      </w:pPr>
      <w:r>
        <w:rPr>
          <w:rFonts w:ascii="Arial" w:cs="Arial" w:eastAsia="Arial" w:hAnsi="Arial"/>
          <w:sz w:val="13"/>
          <w:szCs w:val="13"/>
          <w:color w:val="auto"/>
        </w:rPr>
        <w:t>Where the Notes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transferable for six months after that corporation or that trust has acquired the Notes pursuant to an offer made under Section 275 of the SFA except: (1) to an institutional investor or to a relevant person defined in Section 275(2) of the SFA or to any person arising from an offer referred to in Section 275(1A) or Section 276(4)(i)(B) of the SFA, (2) where no consideration is given for the transfer, (3) where the transfer is by operation of law, (4) as specified in Section 276(7) of the SFA; or (5) as specified in Regulation 37A of the Securities and Futures (Offers of Investments) (Securities and Securities-based Derivatives Contracts) Regulations 2018 of Singapore.</w:t>
      </w:r>
    </w:p>
    <w:p>
      <w:pPr>
        <w:spacing w:after="0" w:line="29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Singapore Securities and Futures Act Product Classification—Solely for the purposes of its obligations pursuant to sections 309B(1)</w:t>
      </w:r>
    </w:p>
    <w:p>
      <w:pPr>
        <w:spacing w:after="0" w:line="13" w:lineRule="exact"/>
        <w:rPr>
          <w:sz w:val="20"/>
          <w:szCs w:val="20"/>
          <w:color w:val="auto"/>
        </w:rPr>
      </w:pPr>
    </w:p>
    <w:p>
      <w:pPr>
        <w:ind w:left="420" w:right="439" w:hanging="10"/>
        <w:spacing w:after="0" w:line="247" w:lineRule="auto"/>
        <w:tabs>
          <w:tab w:leader="none" w:pos="621" w:val="left"/>
        </w:tabs>
        <w:numPr>
          <w:ilvl w:val="0"/>
          <w:numId w:val="27"/>
        </w:numPr>
        <w:rPr>
          <w:rFonts w:ascii="Arial" w:cs="Arial" w:eastAsia="Arial" w:hAnsi="Arial"/>
          <w:sz w:val="13"/>
          <w:szCs w:val="13"/>
          <w:color w:val="auto"/>
        </w:rPr>
      </w:pPr>
      <w:r>
        <w:rPr>
          <w:rFonts w:ascii="Arial" w:cs="Arial" w:eastAsia="Arial" w:hAnsi="Arial"/>
          <w:sz w:val="13"/>
          <w:szCs w:val="13"/>
          <w:color w:val="auto"/>
        </w:rPr>
        <w:t>and 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366"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Taiwan</w:t>
      </w:r>
    </w:p>
    <w:p>
      <w:pPr>
        <w:spacing w:after="0" w:line="81" w:lineRule="exact"/>
        <w:rPr>
          <w:sz w:val="20"/>
          <w:szCs w:val="20"/>
          <w:color w:val="auto"/>
        </w:rPr>
      </w:pPr>
    </w:p>
    <w:p>
      <w:pPr>
        <w:ind w:left="420" w:right="479" w:firstLine="327"/>
        <w:spacing w:after="0" w:line="247" w:lineRule="auto"/>
        <w:rPr>
          <w:sz w:val="20"/>
          <w:szCs w:val="20"/>
          <w:color w:val="auto"/>
        </w:rPr>
      </w:pPr>
      <w:r>
        <w:rPr>
          <w:rFonts w:ascii="Arial" w:cs="Arial" w:eastAsia="Arial" w:hAnsi="Arial"/>
          <w:sz w:val="13"/>
          <w:szCs w:val="13"/>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368"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United Arab Emirates</w:t>
      </w:r>
    </w:p>
    <w:p>
      <w:pPr>
        <w:spacing w:after="0" w:line="81" w:lineRule="exact"/>
        <w:rPr>
          <w:sz w:val="20"/>
          <w:szCs w:val="20"/>
          <w:color w:val="auto"/>
        </w:rPr>
      </w:pPr>
    </w:p>
    <w:p>
      <w:pPr>
        <w:ind w:left="420" w:right="439" w:firstLine="327"/>
        <w:spacing w:after="0" w:line="249" w:lineRule="auto"/>
        <w:rPr>
          <w:sz w:val="20"/>
          <w:szCs w:val="20"/>
          <w:color w:val="auto"/>
        </w:rPr>
      </w:pPr>
      <w:r>
        <w:rPr>
          <w:rFonts w:ascii="Arial" w:cs="Arial" w:eastAsia="Arial" w:hAnsi="Arial"/>
          <w:sz w:val="13"/>
          <w:szCs w:val="13"/>
          <w:color w:val="auto"/>
        </w:rPr>
        <w:t>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and the accompanying prospectus do not constitute a public offer of securities in the United Arab Emirates (including the Abu Dhabi Global Market and the Dubai International Financial Centre) and are not intended to be a public offer. This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S-43</w:t>
      </w:r>
    </w:p>
    <w:p>
      <w:pPr>
        <w:sectPr>
          <w:pgSz w:w="11900" w:h="16838" w:orient="portrait"/>
          <w:cols w:equalWidth="0" w:num="1">
            <w:col w:w="9019"/>
          </w:cols>
          <w:pgMar w:left="1440" w:top="237" w:right="1440" w:bottom="1440" w:gutter="0" w:footer="0" w:header="0"/>
        </w:sectPr>
      </w:pPr>
    </w:p>
    <w:bookmarkStart w:id="48" w:name="page49"/>
    <w:bookmarkEnd w:id="48"/>
    <w:p>
      <w:pPr>
        <w:ind w:left="420" w:right="639"/>
        <w:spacing w:after="0" w:line="28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5980" cy="31750"/>
                    </a:xfrm>
                    <a:prstGeom prst="rect">
                      <a:avLst/>
                    </a:prstGeom>
                    <a:noFill/>
                  </pic:spPr>
                </pic:pic>
              </a:graphicData>
            </a:graphic>
          </wp:anchor>
        </w:drawing>
        <w:t>prospectus supplement and the accompanying prospectus have not been approved by or filed with the Central Bank of the United Arab Emirates, the Securities Commodities Authority, the Financial Services Regulatory Authority or the Dubai Financial Services Authority.</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Settlement and Sale of the Notes</w:t>
      </w:r>
    </w:p>
    <w:p>
      <w:pPr>
        <w:spacing w:after="0" w:line="83" w:lineRule="exact"/>
        <w:rPr>
          <w:sz w:val="20"/>
          <w:szCs w:val="20"/>
          <w:color w:val="auto"/>
        </w:rPr>
      </w:pPr>
    </w:p>
    <w:p>
      <w:pPr>
        <w:ind w:left="420" w:right="519" w:firstLine="327"/>
        <w:spacing w:after="0" w:line="252" w:lineRule="auto"/>
        <w:rPr>
          <w:sz w:val="20"/>
          <w:szCs w:val="20"/>
          <w:color w:val="auto"/>
        </w:rPr>
      </w:pPr>
      <w:r>
        <w:rPr>
          <w:rFonts w:ascii="Arial" w:cs="Arial" w:eastAsia="Arial" w:hAnsi="Arial"/>
          <w:sz w:val="13"/>
          <w:szCs w:val="13"/>
          <w:color w:val="auto"/>
        </w:rPr>
        <w:t>We expect to deliver the Notes against payment for the Notes on or about the date specified in the last paragraph of the cover page of this prospectus supplement, which will be the fifth business day following the date of the pricing of the Notes. Since trades in the secondary market generally settle in one business day, purchasers who wish to trade Notes prior to the business day before delivery will be required, by virtue of the fact that the Notes initially will settle in T+5, to specify alternative settlement arrangements to prevent a failed settlement.</w:t>
      </w:r>
    </w:p>
    <w:p>
      <w:pPr>
        <w:spacing w:after="0" w:line="363"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Other Relationships</w:t>
      </w:r>
    </w:p>
    <w:p>
      <w:pPr>
        <w:spacing w:after="0" w:line="83" w:lineRule="exact"/>
        <w:rPr>
          <w:sz w:val="20"/>
          <w:szCs w:val="20"/>
          <w:color w:val="auto"/>
        </w:rPr>
      </w:pPr>
    </w:p>
    <w:p>
      <w:pPr>
        <w:ind w:left="420" w:right="539" w:firstLine="327"/>
        <w:spacing w:after="0" w:line="262" w:lineRule="auto"/>
        <w:rPr>
          <w:sz w:val="20"/>
          <w:szCs w:val="20"/>
          <w:color w:val="auto"/>
        </w:rPr>
      </w:pPr>
      <w:r>
        <w:rPr>
          <w:rFonts w:ascii="Arial" w:cs="Arial" w:eastAsia="Arial" w:hAnsi="Arial"/>
          <w:sz w:val="13"/>
          <w:szCs w:val="13"/>
          <w:color w:val="auto"/>
        </w:rPr>
        <w:t>From time to time in the ordinary course of their respective businesses, certain of the underwriters and their affiliates have engaged in and may in the future engage in commercial banking, derivatives and/or financial advisory, investment banking and other commercial transactions and services with us and our affiliates for which they have received or will receive customary fees and commissions.</w:t>
      </w:r>
    </w:p>
    <w:p>
      <w:pPr>
        <w:spacing w:after="0" w:line="122" w:lineRule="exact"/>
        <w:rPr>
          <w:sz w:val="20"/>
          <w:szCs w:val="20"/>
          <w:color w:val="auto"/>
        </w:rPr>
      </w:pPr>
    </w:p>
    <w:p>
      <w:pPr>
        <w:ind w:left="420" w:right="459" w:firstLine="327"/>
        <w:spacing w:after="0" w:line="245" w:lineRule="auto"/>
        <w:rPr>
          <w:sz w:val="20"/>
          <w:szCs w:val="20"/>
          <w:color w:val="auto"/>
        </w:rPr>
      </w:pPr>
      <w:r>
        <w:rPr>
          <w:rFonts w:ascii="Arial" w:cs="Arial" w:eastAsia="Arial" w:hAnsi="Arial"/>
          <w:sz w:val="13"/>
          <w:szCs w:val="13"/>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Conflicts of Interest</w:t>
      </w:r>
    </w:p>
    <w:p>
      <w:pPr>
        <w:spacing w:after="0" w:line="83" w:lineRule="exact"/>
        <w:rPr>
          <w:sz w:val="20"/>
          <w:szCs w:val="20"/>
          <w:color w:val="auto"/>
        </w:rPr>
      </w:pPr>
    </w:p>
    <w:p>
      <w:pPr>
        <w:ind w:left="420" w:right="419" w:firstLine="327"/>
        <w:spacing w:after="0" w:line="248" w:lineRule="auto"/>
        <w:rPr>
          <w:sz w:val="20"/>
          <w:szCs w:val="20"/>
          <w:color w:val="auto"/>
        </w:rPr>
      </w:pPr>
      <w:r>
        <w:rPr>
          <w:rFonts w:ascii="Arial" w:cs="Arial" w:eastAsia="Arial" w:hAnsi="Arial"/>
          <w:sz w:val="13"/>
          <w:szCs w:val="13"/>
          <w:color w:val="auto"/>
        </w:rPr>
        <w:t>Certain of the underwriters and/or their affiliates may hold a portion of our 1.375% Guaranteed Notes due 2026 that are being repaid or otherwise retired and may receive a portion of the net proceeds of this offering. In such event, it is possible that one or more of the underwriters or their affiliates may receive more than 5% of the net proceeds of this offering, not including underwriting compensation, thus creating a conflict of interest within the meaning of FINRA Rule 5121. Accordingly, this offering is being made in compliance with the requirements of FINRA Rule 5121. In such event, the underwriters will not confirm sales of the notes to accounts over which they exercise discretionary authority without the prior written approval of the customer. The appointment of a “qualified independent underwriter” is not necessary in connection with this offering as the notes are investment grade rated securities.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S-44</w:t>
      </w:r>
    </w:p>
    <w:p>
      <w:pPr>
        <w:sectPr>
          <w:pgSz w:w="11900" w:h="16838" w:orient="portrait"/>
          <w:cols w:equalWidth="0" w:num="1">
            <w:col w:w="9019"/>
          </w:cols>
          <w:pgMar w:left="1440" w:top="237"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5980" cy="31750"/>
                    </a:xfrm>
                    <a:prstGeom prst="rect">
                      <a:avLst/>
                    </a:prstGeom>
                    <a:noFill/>
                  </pic:spPr>
                </pic:pic>
              </a:graphicData>
            </a:graphic>
          </wp:anchor>
        </w:drawing>
        <w:t>LEGAL MATTERS</w:t>
      </w:r>
    </w:p>
    <w:p>
      <w:pPr>
        <w:spacing w:after="0" w:line="164" w:lineRule="exact"/>
        <w:rPr>
          <w:sz w:val="20"/>
          <w:szCs w:val="20"/>
          <w:color w:val="auto"/>
        </w:rPr>
      </w:pPr>
    </w:p>
    <w:p>
      <w:pPr>
        <w:ind w:left="420" w:right="699" w:firstLine="327"/>
        <w:spacing w:after="0" w:line="262" w:lineRule="auto"/>
        <w:rPr>
          <w:sz w:val="20"/>
          <w:szCs w:val="20"/>
          <w:color w:val="auto"/>
        </w:rPr>
      </w:pPr>
      <w:r>
        <w:rPr>
          <w:rFonts w:ascii="Arial" w:cs="Arial" w:eastAsia="Arial" w:hAnsi="Arial"/>
          <w:sz w:val="13"/>
          <w:szCs w:val="13"/>
          <w:color w:val="auto"/>
        </w:rPr>
        <w:t>Certain legal matters in connection with the Notes and Guarantees offered hereby will be passed upon for us by Gibson, Dunn &amp; Crutcher LLP, New York, New York, LOYENS &amp; LOEFF LUXEMBOURG SARL, Luxembourg, and STvB Advocaten (Europe) N.V., Amsterdam, The Netherlands, and for the underwriters by Davis Polk &amp; Wardwell LLP, New York, New York.</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EXPERTS</w:t>
      </w:r>
    </w:p>
    <w:p>
      <w:pPr>
        <w:spacing w:after="0" w:line="164" w:lineRule="exact"/>
        <w:rPr>
          <w:sz w:val="20"/>
          <w:szCs w:val="20"/>
          <w:color w:val="auto"/>
        </w:rPr>
      </w:pPr>
    </w:p>
    <w:p>
      <w:pPr>
        <w:ind w:left="420" w:right="539" w:firstLine="327"/>
        <w:spacing w:after="0" w:line="251" w:lineRule="auto"/>
        <w:rPr>
          <w:sz w:val="20"/>
          <w:szCs w:val="20"/>
          <w:color w:val="auto"/>
        </w:rPr>
      </w:pPr>
      <w:r>
        <w:rPr>
          <w:rFonts w:ascii="Arial" w:cs="Arial" w:eastAsia="Arial" w:hAnsi="Arial"/>
          <w:sz w:val="13"/>
          <w:szCs w:val="13"/>
          <w:color w:val="auto"/>
        </w:rPr>
        <w:t>The financial statements and management’s assessment of the effectiveness of internal control over financial reporting (which is included in Management’s Report on Internal Control over Financial Reporting) incorporated in this prospectus by reference to SLB Limited’s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WHERE YOU CAN FIND MORE INFORMATION</w:t>
      </w:r>
    </w:p>
    <w:p>
      <w:pPr>
        <w:spacing w:after="0" w:line="164" w:lineRule="exact"/>
        <w:rPr>
          <w:sz w:val="20"/>
          <w:szCs w:val="20"/>
          <w:color w:val="auto"/>
        </w:rPr>
      </w:pPr>
    </w:p>
    <w:p>
      <w:pPr>
        <w:ind w:left="420" w:right="579" w:firstLine="327"/>
        <w:spacing w:after="0" w:line="269" w:lineRule="auto"/>
        <w:rPr>
          <w:sz w:val="20"/>
          <w:szCs w:val="20"/>
          <w:color w:val="auto"/>
        </w:rPr>
      </w:pPr>
      <w:r>
        <w:rPr>
          <w:rFonts w:ascii="Arial" w:cs="Arial" w:eastAsia="Arial" w:hAnsi="Arial"/>
          <w:sz w:val="13"/>
          <w:szCs w:val="13"/>
          <w:color w:val="auto"/>
        </w:rPr>
        <w:t>The Guarantor files annual, quarterly and current reports, proxy statements and other information with the SEC. You may read and download its filings over the Internet from several commercial document retrieval services, as well as at the SEC’s website at www.sec.gov.</w:t>
      </w:r>
    </w:p>
    <w:p>
      <w:pPr>
        <w:spacing w:after="0" w:line="277" w:lineRule="exact"/>
        <w:rPr>
          <w:sz w:val="20"/>
          <w:szCs w:val="20"/>
          <w:color w:val="auto"/>
        </w:rPr>
      </w:pPr>
    </w:p>
    <w:p>
      <w:pPr>
        <w:ind w:left="420" w:right="599" w:firstLine="327"/>
        <w:spacing w:after="0" w:line="262" w:lineRule="auto"/>
        <w:rPr>
          <w:sz w:val="20"/>
          <w:szCs w:val="20"/>
          <w:color w:val="auto"/>
        </w:rPr>
      </w:pPr>
      <w:r>
        <w:rPr>
          <w:rFonts w:ascii="Arial" w:cs="Arial" w:eastAsia="Arial" w:hAnsi="Arial"/>
          <w:sz w:val="13"/>
          <w:szCs w:val="13"/>
          <w:color w:val="auto"/>
        </w:rPr>
        <w:t>In addition, the Guarantor’s SEC filings are available free of charge through its Investor Relations website at www.investorcenter.slb.com, as soon as reasonably practicable after such material is filed with or furnished to the SEC. Copies are also available, without charge, from SLB Investor Relations, 5599 San Felipe, Houston, Texas 77056.</w:t>
      </w:r>
    </w:p>
    <w:p>
      <w:pPr>
        <w:spacing w:after="0" w:line="122" w:lineRule="exact"/>
        <w:rPr>
          <w:sz w:val="20"/>
          <w:szCs w:val="20"/>
          <w:color w:val="auto"/>
        </w:rPr>
      </w:pPr>
    </w:p>
    <w:p>
      <w:pPr>
        <w:ind w:left="420" w:right="759" w:firstLine="327"/>
        <w:spacing w:after="0" w:line="262" w:lineRule="auto"/>
        <w:rPr>
          <w:sz w:val="20"/>
          <w:szCs w:val="20"/>
          <w:color w:val="auto"/>
        </w:rPr>
      </w:pPr>
      <w:r>
        <w:rPr>
          <w:rFonts w:ascii="Arial" w:cs="Arial" w:eastAsia="Arial" w:hAnsi="Arial"/>
          <w:sz w:val="13"/>
          <w:szCs w:val="13"/>
          <w:color w:val="auto"/>
        </w:rPr>
        <w:t>Please note that any internet addresses provided in this prospectus supplement are for informational purposes only and are not intended to be hyperlinks. Accordingly, no information found or provided at such internet addresses (including any information on or accessible through the Guarantor’s website) is intended or deemed to be incorporated by reference herein.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S-45</w:t>
      </w:r>
    </w:p>
    <w:p>
      <w:pPr>
        <w:sectPr>
          <w:pgSz w:w="11900" w:h="16838" w:orient="portrait"/>
          <w:cols w:equalWidth="0" w:num="1">
            <w:col w:w="9019"/>
          </w:cols>
          <w:pgMar w:left="1440" w:top="235"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5980" cy="31750"/>
                    </a:xfrm>
                    <a:prstGeom prst="rect">
                      <a:avLst/>
                    </a:prstGeom>
                    <a:noFill/>
                  </pic:spPr>
                </pic:pic>
              </a:graphicData>
            </a:graphic>
          </wp:anchor>
        </w:drawing>
        <w:t>INCORPORATION OF DOCUMENTS BY REFERENCE</w:t>
      </w:r>
    </w:p>
    <w:p>
      <w:pPr>
        <w:spacing w:after="0" w:line="164" w:lineRule="exact"/>
        <w:rPr>
          <w:sz w:val="20"/>
          <w:szCs w:val="20"/>
          <w:color w:val="auto"/>
        </w:rPr>
      </w:pPr>
    </w:p>
    <w:p>
      <w:pPr>
        <w:ind w:left="420" w:right="459" w:firstLine="327"/>
        <w:spacing w:after="0" w:line="250" w:lineRule="auto"/>
        <w:rPr>
          <w:sz w:val="20"/>
          <w:szCs w:val="20"/>
          <w:color w:val="auto"/>
        </w:rPr>
      </w:pPr>
      <w:r>
        <w:rPr>
          <w:rFonts w:ascii="Arial" w:cs="Arial" w:eastAsia="Arial" w:hAnsi="Arial"/>
          <w:sz w:val="13"/>
          <w:szCs w:val="13"/>
          <w:color w:val="auto"/>
        </w:rPr>
        <w:t>The SEC allows us to incorporate information into this prospectus supplement and the accompanying prospectus by reference, which means that we can disclose important information to you by referring you to another document that the Guarantor has filed separately with the SEC. The information incorporated by reference is deemed to be part of this prospectus supplement and the accompanying prospectus, except for any information superseded by information contained directly in this prospectus supplement or the accompanying prospectus. These documents contain important information about the SLB Group and its financial condition, business and results.</w:t>
      </w:r>
    </w:p>
    <w:p>
      <w:pPr>
        <w:spacing w:after="0" w:line="285" w:lineRule="exact"/>
        <w:rPr>
          <w:sz w:val="20"/>
          <w:szCs w:val="20"/>
          <w:color w:val="auto"/>
        </w:rPr>
      </w:pPr>
    </w:p>
    <w:p>
      <w:pPr>
        <w:ind w:left="420" w:right="439" w:firstLine="327"/>
        <w:spacing w:after="0" w:line="251" w:lineRule="auto"/>
        <w:rPr>
          <w:sz w:val="20"/>
          <w:szCs w:val="20"/>
          <w:color w:val="auto"/>
        </w:rPr>
      </w:pPr>
      <w:r>
        <w:rPr>
          <w:rFonts w:ascii="Arial" w:cs="Arial" w:eastAsia="Arial" w:hAnsi="Arial"/>
          <w:sz w:val="13"/>
          <w:szCs w:val="13"/>
          <w:color w:val="auto"/>
        </w:rPr>
        <w:t>We are incorporating by reference into this prospectus supplement and the accompanying prospectus the following documents listed below and any other filings made by the Guarantor under Section 13(a), 13(c), 14 or 15(d) of the Exchange Act on or after the date of this prospectus supplement and prior to the termination of this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61" w:lineRule="exact"/>
        <w:rPr>
          <w:sz w:val="20"/>
          <w:szCs w:val="20"/>
          <w:color w:val="auto"/>
        </w:rPr>
      </w:pPr>
    </w:p>
    <w:p>
      <w:pPr>
        <w:ind w:left="1140" w:right="579" w:hanging="328"/>
        <w:spacing w:after="0" w:line="262" w:lineRule="auto"/>
        <w:tabs>
          <w:tab w:leader="none" w:pos="11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 xml:space="preserve">the Guarantor’s Annual Report on </w:t>
      </w:r>
      <w:hyperlink r:id="rId65">
        <w:r>
          <w:rPr>
            <w:rFonts w:ascii="Arial" w:cs="Arial" w:eastAsia="Arial" w:hAnsi="Arial"/>
            <w:sz w:val="13"/>
            <w:szCs w:val="13"/>
            <w:u w:val="single" w:color="auto"/>
            <w:color w:val="0000EE"/>
          </w:rPr>
          <w:t>Form 10-K</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for the fiscal year ended December 31, 2025, as filed with the SEC on January 23, 2026 (including the portions of the Guarantor’s proxy statement for its 2026 annual meeting of shareholders, as filed with the SEC on February 26, 2026, and incorporated by reference therein);</w:t>
      </w:r>
    </w:p>
    <w:p>
      <w:pPr>
        <w:spacing w:after="0" w:line="52" w:lineRule="exact"/>
        <w:rPr>
          <w:rFonts w:ascii="Arial" w:cs="Arial" w:eastAsia="Arial" w:hAnsi="Arial"/>
          <w:sz w:val="13"/>
          <w:szCs w:val="13"/>
          <w:color w:val="auto"/>
        </w:rPr>
      </w:pPr>
    </w:p>
    <w:p>
      <w:pPr>
        <w:ind w:left="1140" w:right="459" w:hanging="328"/>
        <w:spacing w:after="0" w:line="282" w:lineRule="auto"/>
        <w:tabs>
          <w:tab w:leader="none" w:pos="1140" w:val="left"/>
        </w:tabs>
        <w:numPr>
          <w:ilvl w:val="0"/>
          <w:numId w:val="28"/>
        </w:numPr>
        <w:rPr>
          <w:rFonts w:ascii="Arial" w:cs="Arial" w:eastAsia="Arial" w:hAnsi="Arial"/>
          <w:sz w:val="13"/>
          <w:szCs w:val="13"/>
          <w:color w:val="0000EE"/>
        </w:rPr>
      </w:pPr>
      <w:hyperlink r:id="rId66">
        <w:r>
          <w:rPr>
            <w:rFonts w:ascii="Arial" w:cs="Arial" w:eastAsia="Arial" w:hAnsi="Arial"/>
            <w:sz w:val="13"/>
            <w:szCs w:val="13"/>
            <w:color w:val="auto"/>
          </w:rPr>
          <w:t xml:space="preserve">the Guarantor’s Quarterly Report on Form 10-Q for the fiscal quarter ended March 31, 2026, as filed with the SEC on </w:t>
        </w:r>
        <w:r>
          <w:rPr>
            <w:rFonts w:ascii="Arial" w:cs="Arial" w:eastAsia="Arial" w:hAnsi="Arial"/>
            <w:sz w:val="13"/>
            <w:szCs w:val="13"/>
            <w:u w:val="single" w:color="auto"/>
            <w:color w:val="0000EE"/>
          </w:rPr>
          <w:t>April 29,</w:t>
        </w:r>
      </w:hyperlink>
      <w:r>
        <w:rPr>
          <w:rFonts w:ascii="Arial" w:cs="Arial" w:eastAsia="Arial" w:hAnsi="Arial"/>
          <w:sz w:val="13"/>
          <w:szCs w:val="13"/>
          <w:color w:val="auto"/>
        </w:rPr>
        <w:t xml:space="preserve"> </w:t>
      </w:r>
      <w:hyperlink r:id="rId66">
        <w:r>
          <w:rPr>
            <w:rFonts w:ascii="Arial" w:cs="Arial" w:eastAsia="Arial" w:hAnsi="Arial"/>
            <w:sz w:val="13"/>
            <w:szCs w:val="13"/>
            <w:u w:val="single" w:color="auto"/>
            <w:color w:val="0000EE"/>
          </w:rPr>
          <w:t>2026</w:t>
        </w:r>
        <w:r>
          <w:rPr>
            <w:rFonts w:ascii="Arial" w:cs="Arial" w:eastAsia="Arial" w:hAnsi="Arial"/>
            <w:sz w:val="13"/>
            <w:szCs w:val="13"/>
            <w:color w:val="000000"/>
          </w:rPr>
          <w:t>; and</w:t>
        </w:r>
      </w:hyperlink>
    </w:p>
    <w:p>
      <w:pPr>
        <w:spacing w:after="0" w:line="39" w:lineRule="exact"/>
        <w:rPr>
          <w:rFonts w:ascii="Arial" w:cs="Arial" w:eastAsia="Arial" w:hAnsi="Arial"/>
          <w:sz w:val="13"/>
          <w:szCs w:val="13"/>
          <w:color w:val="0000EE"/>
        </w:rPr>
      </w:pPr>
    </w:p>
    <w:p>
      <w:pPr>
        <w:ind w:left="1140" w:hanging="328"/>
        <w:spacing w:after="0"/>
        <w:tabs>
          <w:tab w:leader="none" w:pos="11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 xml:space="preserve">the Guarantor’s Current Report on </w:t>
      </w:r>
      <w:hyperlink r:id="rId67">
        <w:r>
          <w:rPr>
            <w:rFonts w:ascii="Arial" w:cs="Arial" w:eastAsia="Arial" w:hAnsi="Arial"/>
            <w:sz w:val="13"/>
            <w:szCs w:val="13"/>
            <w:u w:val="single" w:color="auto"/>
            <w:color w:val="0000EE"/>
          </w:rPr>
          <w:t>Form 8-K</w:t>
        </w:r>
      </w:hyperlink>
      <w:r>
        <w:rPr>
          <w:rFonts w:ascii="Arial" w:cs="Arial" w:eastAsia="Arial" w:hAnsi="Arial"/>
          <w:sz w:val="13"/>
          <w:szCs w:val="13"/>
          <w:color w:val="auto"/>
        </w:rPr>
        <w:t>, as filed with the SEC on April 8, 2026.</w:t>
      </w:r>
    </w:p>
    <w:p>
      <w:pPr>
        <w:spacing w:after="0" w:line="162" w:lineRule="exact"/>
        <w:rPr>
          <w:rFonts w:ascii="Arial" w:cs="Arial" w:eastAsia="Arial" w:hAnsi="Arial"/>
          <w:sz w:val="13"/>
          <w:szCs w:val="13"/>
          <w:color w:val="auto"/>
        </w:rPr>
      </w:pPr>
    </w:p>
    <w:p>
      <w:pPr>
        <w:ind w:left="420" w:right="519" w:firstLine="327"/>
        <w:spacing w:after="0" w:line="248" w:lineRule="auto"/>
        <w:rPr>
          <w:sz w:val="20"/>
          <w:szCs w:val="20"/>
          <w:color w:val="auto"/>
        </w:rPr>
      </w:pPr>
      <w:r>
        <w:rPr>
          <w:rFonts w:ascii="Arial" w:cs="Arial" w:eastAsia="Arial" w:hAnsi="Arial"/>
          <w:sz w:val="13"/>
          <w:szCs w:val="13"/>
          <w:color w:val="auto"/>
        </w:rPr>
        <w:t>Any statement contained in this prospectus supplement and accompanying prospectus or in a document incorporated or deemed to be incorporated by reference in this prospectus supplement and accompanying prospectus will be deemed to be modified or superseded for purposes of this prospectus supplement to the extent that a statement contained in this prospectus supplement and accompanying prospectus or in any other document subsequently filed with the SEC which is or is deemed to be incorporated by reference in this prospectus supplement and accompanying prospectus modifies or supersedes such statement. No such statement so modified or superseded will be deemed, except as so modified or superseded, to constitute a part of this prospectus supplement and accompanying prospectus.</w:t>
      </w:r>
    </w:p>
    <w:p>
      <w:pPr>
        <w:spacing w:after="0" w:line="133" w:lineRule="exact"/>
        <w:rPr>
          <w:rFonts w:ascii="Arial" w:cs="Arial" w:eastAsia="Arial" w:hAnsi="Arial"/>
          <w:sz w:val="13"/>
          <w:szCs w:val="13"/>
          <w:color w:val="auto"/>
        </w:rPr>
      </w:pPr>
    </w:p>
    <w:p>
      <w:pPr>
        <w:ind w:left="420" w:right="479" w:firstLine="327"/>
        <w:spacing w:after="0" w:line="262" w:lineRule="auto"/>
        <w:rPr>
          <w:sz w:val="20"/>
          <w:szCs w:val="20"/>
          <w:color w:val="auto"/>
        </w:rPr>
      </w:pPr>
      <w:r>
        <w:rPr>
          <w:rFonts w:ascii="Arial" w:cs="Arial" w:eastAsia="Arial" w:hAnsi="Arial"/>
          <w:sz w:val="13"/>
          <w:szCs w:val="13"/>
          <w:color w:val="auto"/>
        </w:rPr>
        <w:t>If information in any of these incorporated documents conflicts with information in this prospectus supplement or the accompanying prospectus you should rely on the most recent information. If information in an incorporated document conflicts with information in another incorporated document, you should rely on the information in the most recent incorporated document.</w:t>
      </w:r>
    </w:p>
    <w:p>
      <w:pPr>
        <w:spacing w:after="0" w:line="122" w:lineRule="exact"/>
        <w:rPr>
          <w:rFonts w:ascii="Arial" w:cs="Arial" w:eastAsia="Arial" w:hAnsi="Arial"/>
          <w:sz w:val="13"/>
          <w:szCs w:val="13"/>
          <w:color w:val="auto"/>
        </w:rPr>
      </w:pPr>
    </w:p>
    <w:p>
      <w:pPr>
        <w:ind w:left="420" w:right="479" w:firstLine="327"/>
        <w:spacing w:after="0" w:line="262" w:lineRule="auto"/>
        <w:rPr>
          <w:sz w:val="20"/>
          <w:szCs w:val="20"/>
          <w:color w:val="auto"/>
        </w:rPr>
      </w:pPr>
      <w:r>
        <w:rPr>
          <w:rFonts w:ascii="Arial" w:cs="Arial" w:eastAsia="Arial" w:hAnsi="Arial"/>
          <w:sz w:val="13"/>
          <w:szCs w:val="13"/>
          <w:color w:val="auto"/>
        </w:rPr>
        <w:t>You may request a copy of any document that we incorporate by reference at no cost, excluding all exhibits to such incorporated documents unless we have specifically incorporated by reference such exhibits either in this prospectus supplement or the accompanying prospectus or in the incorporated document, by making such a request in writing or by telephone to the following address:</w:t>
      </w:r>
    </w:p>
    <w:p>
      <w:pPr>
        <w:spacing w:after="0" w:line="122" w:lineRule="exact"/>
        <w:rPr>
          <w:rFonts w:ascii="Arial" w:cs="Arial" w:eastAsia="Arial" w:hAnsi="Arial"/>
          <w:sz w:val="13"/>
          <w:szCs w:val="13"/>
          <w:color w:val="auto"/>
        </w:rPr>
      </w:pPr>
    </w:p>
    <w:p>
      <w:pPr>
        <w:jc w:val="center"/>
        <w:spacing w:after="0"/>
        <w:rPr>
          <w:sz w:val="20"/>
          <w:szCs w:val="20"/>
          <w:color w:val="auto"/>
        </w:rPr>
      </w:pPr>
      <w:r>
        <w:rPr>
          <w:rFonts w:ascii="Arial" w:cs="Arial" w:eastAsia="Arial" w:hAnsi="Arial"/>
          <w:sz w:val="13"/>
          <w:szCs w:val="13"/>
          <w:color w:val="auto"/>
        </w:rPr>
        <w:t>SLB Limited</w:t>
      </w:r>
    </w:p>
    <w:p>
      <w:pPr>
        <w:spacing w:after="0" w:line="13" w:lineRule="exact"/>
        <w:rPr>
          <w:rFonts w:ascii="Arial" w:cs="Arial" w:eastAsia="Arial" w:hAnsi="Arial"/>
          <w:sz w:val="13"/>
          <w:szCs w:val="13"/>
          <w:color w:val="auto"/>
        </w:rPr>
      </w:pPr>
    </w:p>
    <w:p>
      <w:pPr>
        <w:jc w:val="center"/>
        <w:spacing w:after="0"/>
        <w:rPr>
          <w:sz w:val="20"/>
          <w:szCs w:val="20"/>
          <w:color w:val="auto"/>
        </w:rPr>
      </w:pPr>
      <w:r>
        <w:rPr>
          <w:rFonts w:ascii="Arial" w:cs="Arial" w:eastAsia="Arial" w:hAnsi="Arial"/>
          <w:sz w:val="13"/>
          <w:szCs w:val="13"/>
          <w:color w:val="auto"/>
        </w:rPr>
        <w:t>5599 San Felipe</w:t>
      </w:r>
    </w:p>
    <w:p>
      <w:pPr>
        <w:spacing w:after="0" w:line="1" w:lineRule="exact"/>
        <w:rPr>
          <w:rFonts w:ascii="Arial" w:cs="Arial" w:eastAsia="Arial" w:hAnsi="Arial"/>
          <w:sz w:val="13"/>
          <w:szCs w:val="13"/>
          <w:color w:val="auto"/>
        </w:rPr>
      </w:pPr>
    </w:p>
    <w:p>
      <w:pPr>
        <w:jc w:val="center"/>
        <w:spacing w:after="0"/>
        <w:rPr>
          <w:sz w:val="20"/>
          <w:szCs w:val="20"/>
          <w:color w:val="auto"/>
        </w:rPr>
      </w:pPr>
      <w:r>
        <w:rPr>
          <w:rFonts w:ascii="Arial" w:cs="Arial" w:eastAsia="Arial" w:hAnsi="Arial"/>
          <w:sz w:val="13"/>
          <w:szCs w:val="13"/>
          <w:color w:val="auto"/>
        </w:rPr>
        <w:t>Houston, Texas 77056</w:t>
      </w:r>
    </w:p>
    <w:p>
      <w:pPr>
        <w:spacing w:after="0" w:line="1" w:lineRule="exact"/>
        <w:rPr>
          <w:rFonts w:ascii="Arial" w:cs="Arial" w:eastAsia="Arial" w:hAnsi="Arial"/>
          <w:sz w:val="13"/>
          <w:szCs w:val="13"/>
          <w:color w:val="auto"/>
        </w:rPr>
      </w:pPr>
    </w:p>
    <w:p>
      <w:pPr>
        <w:ind w:left="4400" w:hanging="353"/>
        <w:spacing w:after="0"/>
        <w:tabs>
          <w:tab w:leader="none" w:pos="44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375-3535</w:t>
      </w:r>
    </w:p>
    <w:p>
      <w:pPr>
        <w:spacing w:after="0" w:line="1" w:lineRule="exact"/>
        <w:rPr>
          <w:rFonts w:ascii="Arial" w:cs="Arial" w:eastAsia="Arial" w:hAnsi="Arial"/>
          <w:sz w:val="13"/>
          <w:szCs w:val="13"/>
          <w:color w:val="auto"/>
        </w:rPr>
      </w:pPr>
    </w:p>
    <w:p>
      <w:pPr>
        <w:ind w:left="3660"/>
        <w:spacing w:after="0"/>
        <w:rPr>
          <w:rFonts w:ascii="Arial" w:cs="Arial" w:eastAsia="Arial" w:hAnsi="Arial"/>
          <w:sz w:val="13"/>
          <w:szCs w:val="13"/>
          <w:color w:val="auto"/>
        </w:rPr>
      </w:pPr>
      <w:r>
        <w:rPr>
          <w:rFonts w:ascii="Arial" w:cs="Arial" w:eastAsia="Arial" w:hAnsi="Arial"/>
          <w:sz w:val="13"/>
          <w:szCs w:val="13"/>
          <w:color w:val="auto"/>
        </w:rPr>
        <w:t>Attention: Investor Relations</w:t>
      </w:r>
    </w:p>
    <w:p>
      <w:pPr>
        <w:spacing w:after="0" w:line="150" w:lineRule="exact"/>
        <w:rPr>
          <w:rFonts w:ascii="Arial" w:cs="Arial" w:eastAsia="Arial" w:hAnsi="Arial"/>
          <w:sz w:val="13"/>
          <w:szCs w:val="13"/>
          <w:color w:val="auto"/>
        </w:rPr>
      </w:pPr>
    </w:p>
    <w:p>
      <w:pPr>
        <w:ind w:left="420" w:right="1019" w:firstLine="327"/>
        <w:spacing w:after="0" w:line="282" w:lineRule="auto"/>
        <w:rPr>
          <w:sz w:val="20"/>
          <w:szCs w:val="20"/>
          <w:color w:val="auto"/>
        </w:rPr>
      </w:pPr>
      <w:r>
        <w:rPr>
          <w:rFonts w:ascii="Arial" w:cs="Arial" w:eastAsia="Arial" w:hAnsi="Arial"/>
          <w:sz w:val="13"/>
          <w:szCs w:val="13"/>
          <w:color w:val="auto"/>
        </w:rPr>
        <w:t>Except as provided above, no other information (including information on our website) is incorporated by reference into this prospectus supplement and accompanying prospectus.</w:t>
      </w:r>
    </w:p>
    <w:p>
      <w:pPr>
        <w:spacing w:after="0" w:line="60" w:lineRule="exact"/>
        <w:rPr>
          <w:rFonts w:ascii="Arial" w:cs="Arial" w:eastAsia="Arial" w:hAnsi="Arial"/>
          <w:sz w:val="13"/>
          <w:szCs w:val="13"/>
          <w:color w:val="auto"/>
        </w:rPr>
      </w:pPr>
    </w:p>
    <w:p>
      <w:pPr>
        <w:jc w:val="center"/>
        <w:spacing w:after="0"/>
        <w:rPr>
          <w:sz w:val="20"/>
          <w:szCs w:val="20"/>
          <w:color w:val="auto"/>
        </w:rPr>
      </w:pPr>
      <w:r>
        <w:rPr>
          <w:rFonts w:ascii="Arial" w:cs="Arial" w:eastAsia="Arial" w:hAnsi="Arial"/>
          <w:sz w:val="13"/>
          <w:szCs w:val="13"/>
          <w:color w:val="auto"/>
        </w:rPr>
        <w:t>S-46</w:t>
      </w:r>
    </w:p>
    <w:p>
      <w:pPr>
        <w:sectPr>
          <w:pgSz w:w="11900" w:h="16838" w:orient="portrait"/>
          <w:cols w:equalWidth="0" w:num="1">
            <w:col w:w="9019"/>
          </w:cols>
          <w:pgMar w:left="1440" w:top="235" w:right="1440" w:bottom="1440" w:gutter="0" w:footer="0" w:header="0"/>
        </w:sectPr>
      </w:pPr>
    </w:p>
    <w:bookmarkStart w:id="51" w:name="page52"/>
    <w:bookmarkEnd w:id="51"/>
    <w:p>
      <w:pPr>
        <w:ind w:left="4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05980" cy="31750"/>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2392045</wp:posOffset>
            </wp:positionH>
            <wp:positionV relativeFrom="paragraph">
              <wp:posOffset>124460</wp:posOffset>
            </wp:positionV>
            <wp:extent cx="936625" cy="5670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936625" cy="567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Schlumberger Investment S.A.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Senior Debt Securities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Fully and Unconditionally Guaranteed by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SLB N.V. (SLB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2315210</wp:posOffset>
            </wp:positionH>
            <wp:positionV relativeFrom="paragraph">
              <wp:posOffset>166370</wp:posOffset>
            </wp:positionV>
            <wp:extent cx="108966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1089660" cy="6350"/>
                    </a:xfrm>
                    <a:prstGeom prst="rect">
                      <a:avLst/>
                    </a:prstGeom>
                    <a:noFill/>
                  </pic:spPr>
                </pic:pic>
              </a:graphicData>
            </a:graphic>
          </wp:anchor>
        </w:drawing>
      </w:r>
    </w:p>
    <w:p>
      <w:pPr>
        <w:spacing w:after="0" w:line="400" w:lineRule="exact"/>
        <w:rPr>
          <w:sz w:val="20"/>
          <w:szCs w:val="20"/>
          <w:color w:val="auto"/>
        </w:rPr>
      </w:pPr>
    </w:p>
    <w:p>
      <w:pPr>
        <w:ind w:left="420" w:right="439" w:firstLine="327"/>
        <w:spacing w:after="0" w:line="247" w:lineRule="auto"/>
        <w:rPr>
          <w:sz w:val="20"/>
          <w:szCs w:val="20"/>
          <w:color w:val="auto"/>
        </w:rPr>
      </w:pPr>
      <w:r>
        <w:rPr>
          <w:rFonts w:ascii="Arial" w:cs="Arial" w:eastAsia="Arial" w:hAnsi="Arial"/>
          <w:sz w:val="13"/>
          <w:szCs w:val="13"/>
          <w:color w:val="auto"/>
        </w:rPr>
        <w:t>Schlumberger Investment S.A., a public limited liability company (</w:t>
      </w:r>
      <w:r>
        <w:rPr>
          <w:rFonts w:ascii="Arial" w:cs="Arial" w:eastAsia="Arial" w:hAnsi="Arial"/>
          <w:sz w:val="13"/>
          <w:szCs w:val="13"/>
          <w:i w:val="1"/>
          <w:iCs w:val="1"/>
          <w:color w:val="auto"/>
        </w:rPr>
        <w:t>société anonyme</w:t>
      </w:r>
      <w:r>
        <w:rPr>
          <w:rFonts w:ascii="Arial" w:cs="Arial" w:eastAsia="Arial" w:hAnsi="Arial"/>
          <w:sz w:val="13"/>
          <w:szCs w:val="13"/>
          <w:color w:val="auto"/>
        </w:rPr>
        <w:t>) incorporated and existing under the laws of the Grand Duchy of Luxembourg, having its registered office located at 5, Place de la Gare, L-1616 Luxembourg, Grand Duchy of Luxembourg, and registered with the Luxembourg Trade and Companies Register (</w:t>
      </w:r>
      <w:r>
        <w:rPr>
          <w:rFonts w:ascii="Arial" w:cs="Arial" w:eastAsia="Arial" w:hAnsi="Arial"/>
          <w:sz w:val="13"/>
          <w:szCs w:val="13"/>
          <w:i w:val="1"/>
          <w:iCs w:val="1"/>
          <w:color w:val="auto"/>
        </w:rPr>
        <w:t>Registre de Commerce et des Sociétés</w:t>
      </w:r>
      <w:r>
        <w:rPr>
          <w:rFonts w:ascii="Arial" w:cs="Arial" w:eastAsia="Arial" w:hAnsi="Arial"/>
          <w:sz w:val="13"/>
          <w:szCs w:val="13"/>
          <w:color w:val="auto"/>
        </w:rPr>
        <w:t>) under number B 163.122 (the “Company”) may, from time to time, offer to sell senior debt securities. Such senior debt securities will be fully and unconditionally guaranteed by SLB N.V. (SLB Limited) (the “Guarantor”), the ultimate parent company of the Company. Each time we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2315210</wp:posOffset>
            </wp:positionH>
            <wp:positionV relativeFrom="paragraph">
              <wp:posOffset>260985</wp:posOffset>
            </wp:positionV>
            <wp:extent cx="108966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1089660" cy="635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420" w:right="579" w:firstLine="327"/>
        <w:spacing w:after="0" w:line="251" w:lineRule="auto"/>
        <w:rPr>
          <w:sz w:val="20"/>
          <w:szCs w:val="20"/>
          <w:color w:val="auto"/>
        </w:rPr>
      </w:pPr>
      <w:r>
        <w:rPr>
          <w:rFonts w:ascii="Arial" w:cs="Arial" w:eastAsia="Arial" w:hAnsi="Arial"/>
          <w:sz w:val="16"/>
          <w:szCs w:val="16"/>
          <w:b w:val="1"/>
          <w:bCs w:val="1"/>
          <w:color w:val="auto"/>
        </w:rPr>
        <w:t>Investing in the securities involves risks. You should carefully consider the information in the “</w:t>
      </w:r>
      <w:r>
        <w:rPr>
          <w:rFonts w:ascii="Arial" w:cs="Arial" w:eastAsia="Arial" w:hAnsi="Arial"/>
          <w:sz w:val="16"/>
          <w:szCs w:val="16"/>
          <w:b w:val="1"/>
          <w:bCs w:val="1"/>
          <w:u w:val="single" w:color="auto"/>
          <w:color w:val="0000EE"/>
        </w:rPr>
        <w:t>Risk</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0000EE"/>
        </w:rPr>
        <w:t>Factors</w:t>
      </w:r>
      <w:r>
        <w:rPr>
          <w:rFonts w:ascii="Arial" w:cs="Arial" w:eastAsia="Arial" w:hAnsi="Arial"/>
          <w:sz w:val="16"/>
          <w:szCs w:val="16"/>
          <w:b w:val="1"/>
          <w:bCs w:val="1"/>
          <w:color w:val="000000"/>
        </w:rPr>
        <w:t>” section beginning on page 6 of this prospectus, including those risks incorporated by reference</w:t>
      </w:r>
      <w:r>
        <w:rPr>
          <w:rFonts w:ascii="Arial" w:cs="Arial" w:eastAsia="Arial" w:hAnsi="Arial"/>
          <w:sz w:val="16"/>
          <w:szCs w:val="16"/>
          <w:b w:val="1"/>
          <w:bCs w:val="1"/>
          <w:color w:val="0000EE"/>
        </w:rPr>
        <w:t xml:space="preserve"> </w:t>
      </w:r>
      <w:r>
        <w:rPr>
          <w:rFonts w:ascii="Arial" w:cs="Arial" w:eastAsia="Arial" w:hAnsi="Arial"/>
          <w:sz w:val="16"/>
          <w:szCs w:val="16"/>
          <w:b w:val="1"/>
          <w:bCs w:val="1"/>
          <w:color w:val="000000"/>
        </w:rPr>
        <w:t>in this prospectus and in any prospectus supplement, before deciding whether to invest in the offered securities.</w:t>
      </w:r>
    </w:p>
    <w:p>
      <w:pPr>
        <w:spacing w:after="0" w:line="121" w:lineRule="exact"/>
        <w:rPr>
          <w:sz w:val="20"/>
          <w:szCs w:val="20"/>
          <w:color w:val="auto"/>
        </w:rPr>
      </w:pPr>
    </w:p>
    <w:p>
      <w:pPr>
        <w:ind w:left="420" w:right="439" w:firstLine="327"/>
        <w:spacing w:after="0" w:line="295" w:lineRule="auto"/>
        <w:rPr>
          <w:sz w:val="20"/>
          <w:szCs w:val="20"/>
          <w:color w:val="auto"/>
        </w:rPr>
      </w:pPr>
      <w:r>
        <w:rPr>
          <w:rFonts w:ascii="Arial" w:cs="Arial" w:eastAsia="Arial" w:hAnsi="Arial"/>
          <w:sz w:val="13"/>
          <w:szCs w:val="13"/>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94" w:lineRule="exact"/>
        <w:rPr>
          <w:sz w:val="20"/>
          <w:szCs w:val="20"/>
          <w:color w:val="auto"/>
        </w:rPr>
      </w:pPr>
    </w:p>
    <w:p>
      <w:pPr>
        <w:ind w:left="740"/>
        <w:spacing w:after="0"/>
        <w:rPr>
          <w:sz w:val="20"/>
          <w:szCs w:val="20"/>
          <w:color w:val="auto"/>
        </w:rPr>
      </w:pPr>
      <w:r>
        <w:rPr>
          <w:rFonts w:ascii="Arial" w:cs="Arial" w:eastAsia="Arial" w:hAnsi="Arial"/>
          <w:sz w:val="13"/>
          <w:szCs w:val="13"/>
          <w:b w:val="1"/>
          <w:bCs w:val="1"/>
          <w:i w:val="1"/>
          <w:i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2315210</wp:posOffset>
            </wp:positionH>
            <wp:positionV relativeFrom="paragraph">
              <wp:posOffset>174625</wp:posOffset>
            </wp:positionV>
            <wp:extent cx="108966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1089660" cy="635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date of this prospectus is April 30, 2026</w:t>
      </w:r>
    </w:p>
    <w:p>
      <w:pPr>
        <w:sectPr>
          <w:pgSz w:w="11900" w:h="16838" w:orient="portrait"/>
          <w:cols w:equalWidth="0" w:num="1">
            <w:col w:w="9019"/>
          </w:cols>
          <w:pgMar w:left="1440" w:top="235" w:right="1440"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190" w:lineRule="exact"/>
        <w:rPr>
          <w:sz w:val="20"/>
          <w:szCs w:val="20"/>
          <w:color w:val="auto"/>
        </w:rPr>
      </w:pPr>
    </w:p>
    <w:tbl>
      <w:tblPr>
        <w:tblLayout w:type="fixed"/>
        <w:tblInd w:w="420" w:type="dxa"/>
        <w:tblCellMar>
          <w:top w:w="0" w:type="dxa"/>
          <w:left w:w="0" w:type="dxa"/>
          <w:bottom w:w="0" w:type="dxa"/>
          <w:right w:w="0" w:type="dxa"/>
        </w:tblCellMar>
      </w:tblPr>
      <w:tr>
        <w:trPr>
          <w:trHeight w:val="127"/>
        </w:trPr>
        <w:tc>
          <w:tcPr>
            <w:tcW w:w="1300" w:type="dxa"/>
            <w:vAlign w:val="bottom"/>
            <w:gridSpan w:val="7"/>
            <w:vMerge w:val="restart"/>
          </w:tcPr>
          <w:p>
            <w:pPr>
              <w:spacing w:after="0"/>
              <w:rPr>
                <w:sz w:val="20"/>
                <w:szCs w:val="20"/>
                <w:color w:val="auto"/>
              </w:rPr>
            </w:pPr>
            <w:r>
              <w:rPr>
                <w:rFonts w:ascii="Arial" w:cs="Arial" w:eastAsia="Arial" w:hAnsi="Arial"/>
                <w:sz w:val="13"/>
                <w:szCs w:val="13"/>
                <w:color w:val="0000EE"/>
              </w:rPr>
              <w:t>About this Prospectus</w:t>
            </w:r>
          </w:p>
        </w:tc>
        <w:tc>
          <w:tcPr>
            <w:tcW w:w="2400" w:type="dxa"/>
            <w:vAlign w:val="bottom"/>
            <w:gridSpan w:val="5"/>
            <w:vMerge w:val="restart"/>
          </w:tcPr>
          <w:p>
            <w:pPr>
              <w:spacing w:after="0"/>
              <w:rPr>
                <w:sz w:val="11"/>
                <w:szCs w:val="11"/>
                <w:color w:val="auto"/>
              </w:rPr>
            </w:pPr>
          </w:p>
        </w:tc>
        <w:tc>
          <w:tcPr>
            <w:tcW w:w="4440" w:type="dxa"/>
            <w:vAlign w:val="bottom"/>
            <w:gridSpan w:val="2"/>
          </w:tcPr>
          <w:p>
            <w:pPr>
              <w:jc w:val="right"/>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25"/>
        </w:trPr>
        <w:tc>
          <w:tcPr>
            <w:tcW w:w="1300" w:type="dxa"/>
            <w:vAlign w:val="bottom"/>
            <w:tcBorders>
              <w:bottom w:val="single" w:sz="8" w:color="0000EE"/>
            </w:tcBorders>
            <w:gridSpan w:val="7"/>
            <w:vMerge w:val="continue"/>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4200" w:type="dxa"/>
            <w:vAlign w:val="bottom"/>
          </w:tcPr>
          <w:p>
            <w:pPr>
              <w:spacing w:after="0"/>
              <w:rPr>
                <w:sz w:val="10"/>
                <w:szCs w:val="10"/>
                <w:color w:val="auto"/>
              </w:rPr>
            </w:pPr>
          </w:p>
        </w:tc>
        <w:tc>
          <w:tcPr>
            <w:tcW w:w="24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1"/>
        </w:trPr>
        <w:tc>
          <w:tcPr>
            <w:tcW w:w="3700" w:type="dxa"/>
            <w:vAlign w:val="bottom"/>
            <w:gridSpan w:val="12"/>
          </w:tcPr>
          <w:p>
            <w:pPr>
              <w:spacing w:after="0" w:line="141" w:lineRule="exact"/>
              <w:rPr>
                <w:sz w:val="20"/>
                <w:szCs w:val="20"/>
                <w:color w:val="auto"/>
              </w:rPr>
            </w:pPr>
            <w:r>
              <w:rPr>
                <w:rFonts w:ascii="Arial" w:cs="Arial" w:eastAsia="Arial" w:hAnsi="Arial"/>
                <w:sz w:val="13"/>
                <w:szCs w:val="13"/>
                <w:color w:val="0000EE"/>
              </w:rPr>
              <w:t>About the Guarantor</w:t>
            </w:r>
          </w:p>
        </w:tc>
        <w:tc>
          <w:tcPr>
            <w:tcW w:w="44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1"/>
        </w:trPr>
        <w:tc>
          <w:tcPr>
            <w:tcW w:w="1180" w:type="dxa"/>
            <w:vAlign w:val="bottom"/>
            <w:tcBorders>
              <w:top w:val="single" w:sz="8" w:color="0000EE"/>
              <w:bottom w:val="single" w:sz="8" w:color="0000EE"/>
            </w:tcBorders>
            <w:gridSpan w:val="5"/>
          </w:tcPr>
          <w:p>
            <w:pPr>
              <w:spacing w:after="0" w:line="141" w:lineRule="exact"/>
              <w:rPr>
                <w:sz w:val="20"/>
                <w:szCs w:val="20"/>
                <w:color w:val="auto"/>
              </w:rPr>
            </w:pPr>
            <w:r>
              <w:rPr>
                <w:rFonts w:ascii="Arial" w:cs="Arial" w:eastAsia="Arial" w:hAnsi="Arial"/>
                <w:sz w:val="13"/>
                <w:szCs w:val="13"/>
                <w:color w:val="0000EE"/>
              </w:rPr>
              <w:t>About the Company</w:t>
            </w:r>
          </w:p>
        </w:tc>
        <w:tc>
          <w:tcPr>
            <w:tcW w:w="20" w:type="dxa"/>
            <w:vAlign w:val="bottom"/>
            <w:tcBorders>
              <w:top w:val="single" w:sz="8" w:color="0000EE"/>
            </w:tcBorders>
          </w:tcPr>
          <w:p>
            <w:pPr>
              <w:spacing w:after="0"/>
              <w:rPr>
                <w:sz w:val="12"/>
                <w:szCs w:val="12"/>
                <w:color w:val="auto"/>
              </w:rPr>
            </w:pPr>
          </w:p>
        </w:tc>
        <w:tc>
          <w:tcPr>
            <w:tcW w:w="2500" w:type="dxa"/>
            <w:vAlign w:val="bottom"/>
            <w:gridSpan w:val="6"/>
          </w:tcPr>
          <w:p>
            <w:pPr>
              <w:spacing w:after="0"/>
              <w:rPr>
                <w:sz w:val="12"/>
                <w:szCs w:val="12"/>
                <w:color w:val="auto"/>
              </w:rPr>
            </w:pPr>
          </w:p>
        </w:tc>
        <w:tc>
          <w:tcPr>
            <w:tcW w:w="44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1"/>
        </w:trPr>
        <w:tc>
          <w:tcPr>
            <w:tcW w:w="3700" w:type="dxa"/>
            <w:vAlign w:val="bottom"/>
            <w:tcBorders>
              <w:bottom w:val="single" w:sz="8" w:color="0000EE"/>
            </w:tcBorders>
            <w:gridSpan w:val="12"/>
          </w:tcPr>
          <w:p>
            <w:pPr>
              <w:spacing w:after="0" w:line="141" w:lineRule="exact"/>
              <w:rPr>
                <w:sz w:val="20"/>
                <w:szCs w:val="20"/>
                <w:color w:val="auto"/>
              </w:rPr>
            </w:pPr>
            <w:r>
              <w:rPr>
                <w:rFonts w:ascii="Arial" w:cs="Arial" w:eastAsia="Arial" w:hAnsi="Arial"/>
                <w:sz w:val="13"/>
                <w:szCs w:val="13"/>
                <w:color w:val="0000EE"/>
              </w:rPr>
              <w:t>Cautionary Statement Regarding Forward-Looking Statements</w:t>
            </w:r>
          </w:p>
        </w:tc>
        <w:tc>
          <w:tcPr>
            <w:tcW w:w="44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1"/>
        </w:trPr>
        <w:tc>
          <w:tcPr>
            <w:tcW w:w="740" w:type="dxa"/>
            <w:vAlign w:val="bottom"/>
            <w:tcBorders>
              <w:bottom w:val="single" w:sz="8" w:color="0000EE"/>
            </w:tcBorders>
            <w:gridSpan w:val="2"/>
          </w:tcPr>
          <w:p>
            <w:pPr>
              <w:spacing w:after="0" w:line="141" w:lineRule="exact"/>
              <w:rPr>
                <w:sz w:val="20"/>
                <w:szCs w:val="20"/>
                <w:color w:val="auto"/>
              </w:rPr>
            </w:pPr>
            <w:r>
              <w:rPr>
                <w:rFonts w:ascii="Arial" w:cs="Arial" w:eastAsia="Arial" w:hAnsi="Arial"/>
                <w:sz w:val="13"/>
                <w:szCs w:val="13"/>
                <w:color w:val="0000EE"/>
                <w:w w:val="99"/>
              </w:rPr>
              <w:t>Risk Factors</w:t>
            </w:r>
          </w:p>
        </w:tc>
        <w:tc>
          <w:tcPr>
            <w:tcW w:w="2960" w:type="dxa"/>
            <w:vAlign w:val="bottom"/>
            <w:gridSpan w:val="10"/>
          </w:tcPr>
          <w:p>
            <w:pPr>
              <w:spacing w:after="0"/>
              <w:rPr>
                <w:sz w:val="12"/>
                <w:szCs w:val="12"/>
                <w:color w:val="auto"/>
              </w:rPr>
            </w:pPr>
          </w:p>
        </w:tc>
        <w:tc>
          <w:tcPr>
            <w:tcW w:w="44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1"/>
        </w:trPr>
        <w:tc>
          <w:tcPr>
            <w:tcW w:w="2280" w:type="dxa"/>
            <w:vAlign w:val="bottom"/>
            <w:tcBorders>
              <w:bottom w:val="single" w:sz="8" w:color="0000EE"/>
            </w:tcBorders>
            <w:gridSpan w:val="10"/>
          </w:tcPr>
          <w:p>
            <w:pPr>
              <w:spacing w:after="0" w:line="141" w:lineRule="exact"/>
              <w:rPr>
                <w:sz w:val="20"/>
                <w:szCs w:val="20"/>
                <w:color w:val="auto"/>
              </w:rPr>
            </w:pPr>
            <w:r>
              <w:rPr>
                <w:rFonts w:ascii="Arial" w:cs="Arial" w:eastAsia="Arial" w:hAnsi="Arial"/>
                <w:sz w:val="13"/>
                <w:szCs w:val="13"/>
                <w:color w:val="0000EE"/>
              </w:rPr>
              <w:t>Where You Can Find More Information</w:t>
            </w:r>
          </w:p>
        </w:tc>
        <w:tc>
          <w:tcPr>
            <w:tcW w:w="1420" w:type="dxa"/>
            <w:vAlign w:val="bottom"/>
            <w:gridSpan w:val="2"/>
          </w:tcPr>
          <w:p>
            <w:pPr>
              <w:spacing w:after="0"/>
              <w:rPr>
                <w:sz w:val="12"/>
                <w:szCs w:val="12"/>
                <w:color w:val="auto"/>
              </w:rPr>
            </w:pPr>
          </w:p>
        </w:tc>
        <w:tc>
          <w:tcPr>
            <w:tcW w:w="44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1"/>
        </w:trPr>
        <w:tc>
          <w:tcPr>
            <w:tcW w:w="3700" w:type="dxa"/>
            <w:vAlign w:val="bottom"/>
            <w:gridSpan w:val="12"/>
          </w:tcPr>
          <w:p>
            <w:pPr>
              <w:spacing w:after="0" w:line="141" w:lineRule="exact"/>
              <w:rPr>
                <w:sz w:val="20"/>
                <w:szCs w:val="20"/>
                <w:color w:val="auto"/>
              </w:rPr>
            </w:pPr>
            <w:r>
              <w:rPr>
                <w:rFonts w:ascii="Arial" w:cs="Arial" w:eastAsia="Arial" w:hAnsi="Arial"/>
                <w:sz w:val="13"/>
                <w:szCs w:val="13"/>
                <w:color w:val="0000EE"/>
              </w:rPr>
              <w:t>Incorporation of Documents by Reference</w:t>
            </w:r>
          </w:p>
        </w:tc>
        <w:tc>
          <w:tcPr>
            <w:tcW w:w="44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1"/>
        </w:trPr>
        <w:tc>
          <w:tcPr>
            <w:tcW w:w="980" w:type="dxa"/>
            <w:vAlign w:val="bottom"/>
            <w:tcBorders>
              <w:top w:val="single" w:sz="8" w:color="0000EE"/>
              <w:bottom w:val="single" w:sz="8" w:color="0000EE"/>
            </w:tcBorders>
            <w:gridSpan w:val="3"/>
          </w:tcPr>
          <w:p>
            <w:pPr>
              <w:spacing w:after="0" w:line="141" w:lineRule="exact"/>
              <w:rPr>
                <w:sz w:val="20"/>
                <w:szCs w:val="20"/>
                <w:color w:val="auto"/>
              </w:rPr>
            </w:pPr>
            <w:r>
              <w:rPr>
                <w:rFonts w:ascii="Arial" w:cs="Arial" w:eastAsia="Arial" w:hAnsi="Arial"/>
                <w:sz w:val="13"/>
                <w:szCs w:val="13"/>
                <w:color w:val="0000EE"/>
                <w:w w:val="99"/>
              </w:rPr>
              <w:t>Use of Proceeds</w:t>
            </w:r>
          </w:p>
        </w:tc>
        <w:tc>
          <w:tcPr>
            <w:tcW w:w="1480" w:type="dxa"/>
            <w:vAlign w:val="bottom"/>
            <w:tcBorders>
              <w:top w:val="single" w:sz="8" w:color="0000EE"/>
            </w:tcBorders>
            <w:gridSpan w:val="8"/>
          </w:tcPr>
          <w:p>
            <w:pPr>
              <w:spacing w:after="0"/>
              <w:rPr>
                <w:sz w:val="12"/>
                <w:szCs w:val="12"/>
                <w:color w:val="auto"/>
              </w:rPr>
            </w:pPr>
          </w:p>
        </w:tc>
        <w:tc>
          <w:tcPr>
            <w:tcW w:w="1240" w:type="dxa"/>
            <w:vAlign w:val="bottom"/>
          </w:tcPr>
          <w:p>
            <w:pPr>
              <w:spacing w:after="0"/>
              <w:rPr>
                <w:sz w:val="12"/>
                <w:szCs w:val="12"/>
                <w:color w:val="auto"/>
              </w:rPr>
            </w:pPr>
          </w:p>
        </w:tc>
        <w:tc>
          <w:tcPr>
            <w:tcW w:w="44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41"/>
        </w:trPr>
        <w:tc>
          <w:tcPr>
            <w:tcW w:w="1760" w:type="dxa"/>
            <w:vAlign w:val="bottom"/>
            <w:tcBorders>
              <w:bottom w:val="single" w:sz="8" w:color="0000EE"/>
            </w:tcBorders>
            <w:gridSpan w:val="9"/>
          </w:tcPr>
          <w:p>
            <w:pPr>
              <w:spacing w:after="0" w:line="141" w:lineRule="exact"/>
              <w:rPr>
                <w:sz w:val="20"/>
                <w:szCs w:val="20"/>
                <w:color w:val="auto"/>
              </w:rPr>
            </w:pPr>
            <w:r>
              <w:rPr>
                <w:rFonts w:ascii="Arial" w:cs="Arial" w:eastAsia="Arial" w:hAnsi="Arial"/>
                <w:sz w:val="13"/>
                <w:szCs w:val="13"/>
                <w:color w:val="0000EE"/>
              </w:rPr>
              <w:t>Description of Debt Securities</w:t>
            </w:r>
          </w:p>
        </w:tc>
        <w:tc>
          <w:tcPr>
            <w:tcW w:w="1940" w:type="dxa"/>
            <w:vAlign w:val="bottom"/>
            <w:gridSpan w:val="3"/>
          </w:tcPr>
          <w:p>
            <w:pPr>
              <w:spacing w:after="0"/>
              <w:rPr>
                <w:sz w:val="12"/>
                <w:szCs w:val="12"/>
                <w:color w:val="auto"/>
              </w:rPr>
            </w:pPr>
          </w:p>
        </w:tc>
        <w:tc>
          <w:tcPr>
            <w:tcW w:w="44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41"/>
        </w:trPr>
        <w:tc>
          <w:tcPr>
            <w:tcW w:w="1120" w:type="dxa"/>
            <w:vAlign w:val="bottom"/>
            <w:tcBorders>
              <w:bottom w:val="single" w:sz="8" w:color="0000EE"/>
            </w:tcBorders>
            <w:gridSpan w:val="4"/>
          </w:tcPr>
          <w:p>
            <w:pPr>
              <w:spacing w:after="0" w:line="141" w:lineRule="exact"/>
              <w:rPr>
                <w:sz w:val="20"/>
                <w:szCs w:val="20"/>
                <w:color w:val="auto"/>
              </w:rPr>
            </w:pPr>
            <w:r>
              <w:rPr>
                <w:rFonts w:ascii="Arial" w:cs="Arial" w:eastAsia="Arial" w:hAnsi="Arial"/>
                <w:sz w:val="13"/>
                <w:szCs w:val="13"/>
                <w:color w:val="0000EE"/>
              </w:rPr>
              <w:t>Plan of Distribution</w:t>
            </w:r>
          </w:p>
        </w:tc>
        <w:tc>
          <w:tcPr>
            <w:tcW w:w="2580" w:type="dxa"/>
            <w:vAlign w:val="bottom"/>
            <w:gridSpan w:val="8"/>
          </w:tcPr>
          <w:p>
            <w:pPr>
              <w:spacing w:after="0"/>
              <w:rPr>
                <w:sz w:val="12"/>
                <w:szCs w:val="12"/>
                <w:color w:val="auto"/>
              </w:rPr>
            </w:pPr>
          </w:p>
        </w:tc>
        <w:tc>
          <w:tcPr>
            <w:tcW w:w="44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41"/>
        </w:trPr>
        <w:tc>
          <w:tcPr>
            <w:tcW w:w="3700" w:type="dxa"/>
            <w:vAlign w:val="bottom"/>
            <w:gridSpan w:val="12"/>
          </w:tcPr>
          <w:p>
            <w:pPr>
              <w:spacing w:after="0" w:line="141" w:lineRule="exact"/>
              <w:rPr>
                <w:sz w:val="20"/>
                <w:szCs w:val="20"/>
                <w:color w:val="auto"/>
              </w:rPr>
            </w:pPr>
            <w:r>
              <w:rPr>
                <w:rFonts w:ascii="Arial" w:cs="Arial" w:eastAsia="Arial" w:hAnsi="Arial"/>
                <w:sz w:val="13"/>
                <w:szCs w:val="13"/>
                <w:color w:val="0000EE"/>
              </w:rPr>
              <w:t>Validity of the Securities</w:t>
            </w:r>
          </w:p>
        </w:tc>
        <w:tc>
          <w:tcPr>
            <w:tcW w:w="44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41"/>
        </w:trPr>
        <w:tc>
          <w:tcPr>
            <w:tcW w:w="1400" w:type="dxa"/>
            <w:vAlign w:val="bottom"/>
            <w:tcBorders>
              <w:top w:val="single" w:sz="8" w:color="0000EE"/>
            </w:tcBorders>
            <w:gridSpan w:val="8"/>
          </w:tcPr>
          <w:p>
            <w:pPr>
              <w:spacing w:after="0" w:line="141" w:lineRule="exact"/>
              <w:rPr>
                <w:sz w:val="20"/>
                <w:szCs w:val="20"/>
                <w:color w:val="auto"/>
              </w:rPr>
            </w:pPr>
            <w:r>
              <w:rPr>
                <w:rFonts w:ascii="Arial" w:cs="Arial" w:eastAsia="Arial" w:hAnsi="Arial"/>
                <w:sz w:val="13"/>
                <w:szCs w:val="13"/>
                <w:color w:val="0000EE"/>
              </w:rPr>
              <w:t>Experts</w:t>
            </w:r>
          </w:p>
        </w:tc>
        <w:tc>
          <w:tcPr>
            <w:tcW w:w="2300" w:type="dxa"/>
            <w:vAlign w:val="bottom"/>
            <w:gridSpan w:val="4"/>
          </w:tcPr>
          <w:p>
            <w:pPr>
              <w:spacing w:after="0"/>
              <w:rPr>
                <w:sz w:val="12"/>
                <w:szCs w:val="12"/>
                <w:color w:val="auto"/>
              </w:rPr>
            </w:pPr>
          </w:p>
        </w:tc>
        <w:tc>
          <w:tcPr>
            <w:tcW w:w="44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2315210</wp:posOffset>
            </wp:positionH>
            <wp:positionV relativeFrom="paragraph">
              <wp:posOffset>172085</wp:posOffset>
            </wp:positionV>
            <wp:extent cx="108966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1089660" cy="635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20" w:right="459" w:firstLine="327"/>
        <w:spacing w:after="0" w:line="248" w:lineRule="auto"/>
        <w:rPr>
          <w:sz w:val="20"/>
          <w:szCs w:val="20"/>
          <w:color w:val="auto"/>
        </w:rPr>
      </w:pPr>
      <w:r>
        <w:rPr>
          <w:rFonts w:ascii="Arial" w:cs="Arial" w:eastAsia="Arial" w:hAnsi="Arial"/>
          <w:sz w:val="13"/>
          <w:szCs w:val="13"/>
          <w:b w:val="1"/>
          <w:bCs w:val="1"/>
          <w:color w:val="auto"/>
        </w:rPr>
        <w:t>Neither the Company nor the Guarantor have authorized any other person to provide you with information other than that contained or incorporated by reference in this prospectus and in any accompanying prospectus supplement or in any related free writing prospectus. This document may only be used where it is legal to sell these securities. You should assume that the information appearing in this prospectus or in any prospectus supplement is accurate as of the date on the front cover of those documents only. The business, properties, assets, results of operations, financial position or prospects of the Company and the Guarantor may have changed since that date. Neither the delivery of this prospectus nor of any prospectus supplement, nor any sale made thereunder, will imply that the information herein is correct as of any date subsequent to the date on the cover of those documents. Neither the Company nor the Guarantor is making an offer of these securities in any jurisdiction where the offer is not permitted.</w:t>
      </w:r>
    </w:p>
    <w:p>
      <w:pPr>
        <w:spacing w:after="0" w:line="127" w:lineRule="exact"/>
        <w:rPr>
          <w:sz w:val="20"/>
          <w:szCs w:val="20"/>
          <w:color w:val="auto"/>
        </w:rPr>
      </w:pPr>
    </w:p>
    <w:p>
      <w:pPr>
        <w:ind w:left="740"/>
        <w:spacing w:after="0"/>
        <w:rPr>
          <w:sz w:val="20"/>
          <w:szCs w:val="20"/>
          <w:color w:val="auto"/>
        </w:rPr>
      </w:pPr>
      <w:r>
        <w:rPr>
          <w:rFonts w:ascii="Arial" w:cs="Arial" w:eastAsia="Arial" w:hAnsi="Arial"/>
          <w:sz w:val="13"/>
          <w:szCs w:val="13"/>
          <w:color w:val="auto"/>
        </w:rPr>
        <w:t>Unless otherwise indicated or the context otherwise requires, references in this prospectus to:</w:t>
      </w:r>
    </w:p>
    <w:p>
      <w:pPr>
        <w:spacing w:after="0" w:line="91" w:lineRule="exact"/>
        <w:rPr>
          <w:sz w:val="20"/>
          <w:szCs w:val="20"/>
          <w:color w:val="auto"/>
        </w:rPr>
      </w:pPr>
    </w:p>
    <w:p>
      <w:pPr>
        <w:ind w:left="1140" w:hanging="328"/>
        <w:spacing w:after="0"/>
        <w:tabs>
          <w:tab w:leader="none" w:pos="11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“Company” refers to Schlumberger Investment S.A., as defined on the first page of this prospectus;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“Guarantor” refers to SLB N.V. (SLB Limited), the ultimate parent of the Company;</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“SLB Group” refers to SLB N.V. (SLB Limited) and its consolidated subsidiaries, including the Company; and</w:t>
      </w:r>
    </w:p>
    <w:p>
      <w:pPr>
        <w:spacing w:after="0" w:line="91" w:lineRule="exact"/>
        <w:rPr>
          <w:rFonts w:ascii="Arial" w:cs="Arial" w:eastAsia="Arial" w:hAnsi="Arial"/>
          <w:sz w:val="13"/>
          <w:szCs w:val="13"/>
          <w:color w:val="auto"/>
        </w:rPr>
      </w:pPr>
    </w:p>
    <w:p>
      <w:pPr>
        <w:ind w:left="1140" w:right="519" w:hanging="328"/>
        <w:spacing w:after="0" w:line="282" w:lineRule="auto"/>
        <w:tabs>
          <w:tab w:leader="none" w:pos="11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“we,” “us” and “our” and similar expressions refer to the SLB Group, including the Company, except when used in connection with “securities,” in which case these terms refer only to the Company.</w:t>
      </w:r>
    </w:p>
    <w:p>
      <w:pPr>
        <w:sectPr>
          <w:pgSz w:w="11900" w:h="16838" w:orient="portrait"/>
          <w:cols w:equalWidth="0" w:num="1">
            <w:col w:w="9019"/>
          </w:cols>
          <w:pgMar w:left="1440" w:top="235" w:right="1440"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05980" cy="31750"/>
                    </a:xfrm>
                    <a:prstGeom prst="rect">
                      <a:avLst/>
                    </a:prstGeom>
                    <a:noFill/>
                  </pic:spPr>
                </pic:pic>
              </a:graphicData>
            </a:graphic>
          </wp:anchor>
        </w:drawing>
        <w:t>About this Prospectus</w:t>
      </w:r>
    </w:p>
    <w:p>
      <w:pPr>
        <w:spacing w:after="0" w:line="164" w:lineRule="exact"/>
        <w:rPr>
          <w:sz w:val="20"/>
          <w:szCs w:val="20"/>
          <w:color w:val="auto"/>
        </w:rPr>
      </w:pPr>
    </w:p>
    <w:p>
      <w:pPr>
        <w:jc w:val="both"/>
        <w:ind w:left="420" w:right="439" w:firstLine="327"/>
        <w:spacing w:after="0" w:line="282" w:lineRule="auto"/>
        <w:rPr>
          <w:sz w:val="20"/>
          <w:szCs w:val="20"/>
          <w:color w:val="auto"/>
        </w:rPr>
      </w:pPr>
      <w:r>
        <w:rPr>
          <w:rFonts w:ascii="Arial" w:cs="Arial" w:eastAsia="Arial" w:hAnsi="Arial"/>
          <w:sz w:val="13"/>
          <w:szCs w:val="13"/>
          <w:color w:val="auto"/>
        </w:rPr>
        <w:t>This prospectus is part of an automatic shelf registration statement that we have filed with the Securities and Exchange Commission (the “SEC”) as a “well-known seasoned issuer” as defined in Rule 405 under the Securities Act of 1933, as amended (the “Securities Act”).</w:t>
      </w:r>
    </w:p>
    <w:p>
      <w:pPr>
        <w:spacing w:after="0" w:line="110" w:lineRule="exact"/>
        <w:rPr>
          <w:sz w:val="20"/>
          <w:szCs w:val="20"/>
          <w:color w:val="auto"/>
        </w:rPr>
      </w:pPr>
    </w:p>
    <w:p>
      <w:pPr>
        <w:ind w:left="420" w:right="479" w:firstLine="327"/>
        <w:spacing w:after="0" w:line="249" w:lineRule="auto"/>
        <w:rPr>
          <w:sz w:val="20"/>
          <w:szCs w:val="20"/>
          <w:color w:val="auto"/>
        </w:rPr>
      </w:pPr>
      <w:r>
        <w:rPr>
          <w:rFonts w:ascii="Arial" w:cs="Arial" w:eastAsia="Arial" w:hAnsi="Arial"/>
          <w:sz w:val="13"/>
          <w:szCs w:val="13"/>
          <w:color w:val="auto"/>
        </w:rPr>
        <w:t>By using an automatic shelf registration statement, we may, at any time and from time to time, offer securities under this prospectus in one or more offerings in an unlimited amount. As allowed by the SEC’s rules and regulations,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33" w:lineRule="exact"/>
        <w:rPr>
          <w:sz w:val="20"/>
          <w:szCs w:val="20"/>
          <w:color w:val="auto"/>
        </w:rPr>
      </w:pPr>
    </w:p>
    <w:p>
      <w:pPr>
        <w:ind w:left="420" w:right="459" w:firstLine="327"/>
        <w:spacing w:after="0" w:line="248" w:lineRule="auto"/>
        <w:rPr>
          <w:sz w:val="20"/>
          <w:szCs w:val="20"/>
          <w:color w:val="auto"/>
        </w:rPr>
      </w:pPr>
      <w:r>
        <w:rPr>
          <w:rFonts w:ascii="Arial" w:cs="Arial" w:eastAsia="Arial" w:hAnsi="Arial"/>
          <w:sz w:val="13"/>
          <w:szCs w:val="13"/>
          <w:color w:val="auto"/>
        </w:rPr>
        <w:t>This prospectus provides you with a general description of the securities we may offer. Each time we use this prospectus to offer securities, we will provide you with a prospectus supplement and, if applicable, a pricing supplement that will describe the specific amounts, prices and terms of the securities being offered. The prospectus supplement and any pricing supplement may also add, update or change information contained in this prospectus. Therefore, if there is any inconsistency between the information in this prospectus, the prospectus supplement and any pricing supplement, you should rely on the information in the prospectus supplement and any pricing supplement. You should not assume that the information in this prospectus, any prospectus supplement or any pricing supplement is accurate as of any date other than the date of such document.</w:t>
      </w:r>
    </w:p>
    <w:p>
      <w:pPr>
        <w:spacing w:after="0" w:line="133" w:lineRule="exact"/>
        <w:rPr>
          <w:sz w:val="20"/>
          <w:szCs w:val="20"/>
          <w:color w:val="auto"/>
        </w:rPr>
      </w:pPr>
    </w:p>
    <w:p>
      <w:pPr>
        <w:ind w:left="420" w:right="439" w:firstLine="327"/>
        <w:spacing w:after="0" w:line="251" w:lineRule="auto"/>
        <w:rPr>
          <w:sz w:val="20"/>
          <w:szCs w:val="20"/>
          <w:color w:val="auto"/>
        </w:rPr>
      </w:pPr>
      <w:r>
        <w:rPr>
          <w:rFonts w:ascii="Arial" w:cs="Arial" w:eastAsia="Arial" w:hAnsi="Arial"/>
          <w:sz w:val="13"/>
          <w:szCs w:val="13"/>
          <w:color w:val="auto"/>
        </w:rPr>
        <w:t>To understand the terms of the securities, you should carefully read this document, the applicable prospectus supplement and any applicable pricing supplement. Together, they give the specific terms of the securities we are offering. You should also read the documents we have referred you to under “Where You Can Find More Information” below for information about the SLB Group and SLB N.V. (SLB Limited)’s financial statements. You can read the registration statement and exhibits on the SEC’s website as described under “Where You Can Find More Information.”</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019"/>
          </w:cols>
          <w:pgMar w:left="1440" w:top="235"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05980" cy="31750"/>
                    </a:xfrm>
                    <a:prstGeom prst="rect">
                      <a:avLst/>
                    </a:prstGeom>
                    <a:noFill/>
                  </pic:spPr>
                </pic:pic>
              </a:graphicData>
            </a:graphic>
          </wp:anchor>
        </w:drawing>
        <w:t>About the Guarantor</w:t>
      </w:r>
    </w:p>
    <w:p>
      <w:pPr>
        <w:spacing w:after="0" w:line="164" w:lineRule="exact"/>
        <w:rPr>
          <w:sz w:val="20"/>
          <w:szCs w:val="20"/>
          <w:color w:val="auto"/>
        </w:rPr>
      </w:pPr>
    </w:p>
    <w:p>
      <w:pPr>
        <w:ind w:left="420" w:right="439" w:firstLine="327"/>
        <w:spacing w:after="0" w:line="255" w:lineRule="auto"/>
        <w:rPr>
          <w:sz w:val="20"/>
          <w:szCs w:val="20"/>
          <w:color w:val="auto"/>
        </w:rPr>
      </w:pPr>
      <w:r>
        <w:rPr>
          <w:rFonts w:ascii="Arial" w:cs="Arial" w:eastAsia="Arial" w:hAnsi="Arial"/>
          <w:sz w:val="13"/>
          <w:szCs w:val="13"/>
          <w:color w:val="auto"/>
        </w:rPr>
        <w:t>SLB N.V. (SLB Limited), together with its subsidiaries, form a global technology company driving energy innovation for a balanced planet. With a global presence in more than 100 countries and employees representing almost twice as many nationalities, the SLB Group works each day on innovating energy technology, delivering digital at scale, decarbonizing industries, and developing and scaling new energy systems that accelerate the energy transition.</w:t>
      </w:r>
    </w:p>
    <w:p>
      <w:pPr>
        <w:spacing w:after="0" w:line="127" w:lineRule="exact"/>
        <w:rPr>
          <w:sz w:val="20"/>
          <w:szCs w:val="20"/>
          <w:color w:val="auto"/>
        </w:rPr>
      </w:pPr>
    </w:p>
    <w:p>
      <w:pPr>
        <w:ind w:left="420" w:right="479" w:firstLine="327"/>
        <w:spacing w:after="0" w:line="249" w:lineRule="auto"/>
        <w:rPr>
          <w:sz w:val="20"/>
          <w:szCs w:val="20"/>
          <w:color w:val="auto"/>
        </w:rPr>
      </w:pPr>
      <w:r>
        <w:rPr>
          <w:rFonts w:ascii="Arial" w:cs="Arial" w:eastAsia="Arial" w:hAnsi="Arial"/>
          <w:sz w:val="13"/>
          <w:szCs w:val="13"/>
          <w:color w:val="auto"/>
        </w:rPr>
        <w:t>The Guarantor, formerly known as Schlumberger, was founded in 1926 and is the NYSE-listed parent of the SLB family of companies. The Guarantor is the ultimate parent of the Company. The Guarantor is incorporated under the laws of Curaçao with principal executive offices in Paris, Houston, and The Hague. The Guarantor’s executive offices in the United States are at 5599 San Felipe, Houston, Texas 77056, and its telephone number is (713) 513-2000. The Guarantor changed its brand name to SLB in 2022 and the legal name of its listed parent company in 2025. The principal U.S. market for the Guarantor’s common stock is the New York Stock Exchange, where it is traded under the symbol “SLB.”</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019"/>
          </w:cols>
          <w:pgMar w:left="1440" w:top="235" w:right="1440"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05980" cy="31750"/>
                    </a:xfrm>
                    <a:prstGeom prst="rect">
                      <a:avLst/>
                    </a:prstGeom>
                    <a:noFill/>
                  </pic:spPr>
                </pic:pic>
              </a:graphicData>
            </a:graphic>
          </wp:anchor>
        </w:drawing>
        <w:t>About the Company</w:t>
      </w:r>
    </w:p>
    <w:p>
      <w:pPr>
        <w:spacing w:after="0" w:line="164" w:lineRule="exact"/>
        <w:rPr>
          <w:sz w:val="20"/>
          <w:szCs w:val="20"/>
          <w:color w:val="auto"/>
        </w:rPr>
      </w:pPr>
    </w:p>
    <w:p>
      <w:pPr>
        <w:ind w:left="420" w:right="439" w:firstLine="327"/>
        <w:spacing w:after="0" w:line="252" w:lineRule="auto"/>
        <w:rPr>
          <w:sz w:val="20"/>
          <w:szCs w:val="20"/>
          <w:color w:val="auto"/>
        </w:rPr>
      </w:pPr>
      <w:r>
        <w:rPr>
          <w:rFonts w:ascii="Arial" w:cs="Arial" w:eastAsia="Arial" w:hAnsi="Arial"/>
          <w:sz w:val="13"/>
          <w:szCs w:val="13"/>
          <w:color w:val="auto"/>
        </w:rPr>
        <w:t>Schlumberger Investment S.A. is a public limited liability company (</w:t>
      </w:r>
      <w:r>
        <w:rPr>
          <w:rFonts w:ascii="Arial" w:cs="Arial" w:eastAsia="Arial" w:hAnsi="Arial"/>
          <w:sz w:val="13"/>
          <w:szCs w:val="13"/>
          <w:i w:val="1"/>
          <w:iCs w:val="1"/>
          <w:color w:val="auto"/>
        </w:rPr>
        <w:t>société anonyme</w:t>
      </w:r>
      <w:r>
        <w:rPr>
          <w:rFonts w:ascii="Arial" w:cs="Arial" w:eastAsia="Arial" w:hAnsi="Arial"/>
          <w:sz w:val="13"/>
          <w:szCs w:val="13"/>
          <w:color w:val="auto"/>
        </w:rPr>
        <w:t>) incorporated in 2011 under the laws of the Grand Duchy of Luxembourg (“Luxembourg”) and registered with the Luxembourg Trade and Companies Register (</w:t>
      </w:r>
      <w:r>
        <w:rPr>
          <w:rFonts w:ascii="Arial" w:cs="Arial" w:eastAsia="Arial" w:hAnsi="Arial"/>
          <w:sz w:val="13"/>
          <w:szCs w:val="13"/>
          <w:i w:val="1"/>
          <w:iCs w:val="1"/>
          <w:color w:val="auto"/>
        </w:rPr>
        <w:t>Registre de</w:t>
      </w:r>
      <w:r>
        <w:rPr>
          <w:rFonts w:ascii="Arial" w:cs="Arial" w:eastAsia="Arial" w:hAnsi="Arial"/>
          <w:sz w:val="13"/>
          <w:szCs w:val="13"/>
          <w:color w:val="auto"/>
        </w:rPr>
        <w:t xml:space="preserve"> </w:t>
      </w:r>
      <w:r>
        <w:rPr>
          <w:rFonts w:ascii="Arial" w:cs="Arial" w:eastAsia="Arial" w:hAnsi="Arial"/>
          <w:sz w:val="13"/>
          <w:szCs w:val="13"/>
          <w:i w:val="1"/>
          <w:iCs w:val="1"/>
          <w:color w:val="auto"/>
        </w:rPr>
        <w:t>Commerce et des Sociétés</w:t>
      </w:r>
      <w:r>
        <w:rPr>
          <w:rFonts w:ascii="Arial" w:cs="Arial" w:eastAsia="Arial" w:hAnsi="Arial"/>
          <w:sz w:val="13"/>
          <w:szCs w:val="13"/>
          <w:color w:val="auto"/>
        </w:rPr>
        <w:t>) under number B 163.122. The Company has no subsidiaries, and its principal activities are debt issuance and</w:t>
      </w:r>
      <w:r>
        <w:rPr>
          <w:rFonts w:ascii="Arial" w:cs="Arial" w:eastAsia="Arial" w:hAnsi="Arial"/>
          <w:sz w:val="13"/>
          <w:szCs w:val="13"/>
          <w:i w:val="1"/>
          <w:iCs w:val="1"/>
          <w:color w:val="auto"/>
        </w:rPr>
        <w:t xml:space="preserve"> </w:t>
      </w:r>
      <w:r>
        <w:rPr>
          <w:rFonts w:ascii="Arial" w:cs="Arial" w:eastAsia="Arial" w:hAnsi="Arial"/>
          <w:sz w:val="13"/>
          <w:szCs w:val="13"/>
          <w:color w:val="auto"/>
        </w:rPr>
        <w:t>intercompany group financing. The Company is part of the SLB Group and all shares of the Company are owned indirectly by the Guarantor.</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019"/>
          </w:cols>
          <w:pgMar w:left="1440" w:top="235" w:right="1440"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205980" cy="31750"/>
                    </a:xfrm>
                    <a:prstGeom prst="rect">
                      <a:avLst/>
                    </a:prstGeom>
                    <a:noFill/>
                  </pic:spPr>
                </pic:pic>
              </a:graphicData>
            </a:graphic>
          </wp:anchor>
        </w:drawing>
        <w:t>Cautionary Statement Regarding Forward-Looking Statements</w:t>
      </w:r>
    </w:p>
    <w:p>
      <w:pPr>
        <w:spacing w:after="0" w:line="164" w:lineRule="exact"/>
        <w:rPr>
          <w:sz w:val="20"/>
          <w:szCs w:val="20"/>
          <w:color w:val="auto"/>
        </w:rPr>
      </w:pPr>
    </w:p>
    <w:p>
      <w:pPr>
        <w:ind w:left="420" w:right="479" w:firstLine="327"/>
        <w:spacing w:after="0" w:line="249" w:lineRule="auto"/>
        <w:rPr>
          <w:sz w:val="20"/>
          <w:szCs w:val="20"/>
          <w:color w:val="auto"/>
        </w:rPr>
      </w:pPr>
      <w:r>
        <w:rPr>
          <w:rFonts w:ascii="Arial" w:cs="Arial" w:eastAsia="Arial" w:hAnsi="Arial"/>
          <w:sz w:val="13"/>
          <w:szCs w:val="13"/>
          <w:color w:val="auto"/>
        </w:rPr>
        <w:t>This prospectus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33" w:lineRule="exact"/>
        <w:rPr>
          <w:sz w:val="20"/>
          <w:szCs w:val="20"/>
          <w:color w:val="auto"/>
        </w:rPr>
      </w:pPr>
    </w:p>
    <w:p>
      <w:pPr>
        <w:ind w:left="420" w:right="459" w:firstLine="327"/>
        <w:spacing w:after="0" w:line="248" w:lineRule="auto"/>
        <w:rPr>
          <w:sz w:val="20"/>
          <w:szCs w:val="20"/>
          <w:color w:val="auto"/>
        </w:rPr>
      </w:pPr>
      <w:r>
        <w:rPr>
          <w:rFonts w:ascii="Arial" w:cs="Arial" w:eastAsia="Arial" w:hAnsi="Arial"/>
          <w:sz w:val="13"/>
          <w:szCs w:val="13"/>
          <w:color w:val="auto"/>
        </w:rPr>
        <w:t>Statements that are predictive in nature, that depend upon or refer to future events or conditions, or that include words such as “expect,” “may,” “can,” “believe,” “predict,” “plan,” “potential,” “projected,” “projections,” “precursor,” “forecast,” “outlook,” “expectations,” “estimate,” “intend,” “anticipate,” “ambition,” “goal,” “target,” “scheduled,” “think,” “should,” “could,” “would,” “will,” “see,” “likely,” and other similar words, are forward-looking statements. The following important factors, in addition to those discussed under “Risk Factors” in this prospectus and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w:t>
      </w:r>
    </w:p>
    <w:p>
      <w:pPr>
        <w:spacing w:after="0" w:line="62" w:lineRule="exact"/>
        <w:rPr>
          <w:sz w:val="20"/>
          <w:szCs w:val="20"/>
          <w:color w:val="auto"/>
        </w:rPr>
      </w:pPr>
    </w:p>
    <w:p>
      <w:pPr>
        <w:ind w:left="1140" w:right="899" w:hanging="328"/>
        <w:spacing w:after="0" w:line="282" w:lineRule="auto"/>
        <w:tabs>
          <w:tab w:leader="none" w:pos="11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SLB Group’s financial and performance targets and other forecasts or expectations regarding, or dependent on, its business outlook;</w:t>
      </w:r>
    </w:p>
    <w:p>
      <w:pPr>
        <w:spacing w:after="0" w:line="39" w:lineRule="exact"/>
        <w:rPr>
          <w:rFonts w:ascii="Arial" w:cs="Arial" w:eastAsia="Arial" w:hAnsi="Arial"/>
          <w:sz w:val="13"/>
          <w:szCs w:val="13"/>
          <w:color w:val="auto"/>
        </w:rPr>
      </w:pPr>
    </w:p>
    <w:p>
      <w:pPr>
        <w:ind w:left="1140" w:right="819" w:hanging="328"/>
        <w:spacing w:after="0" w:line="282" w:lineRule="auto"/>
        <w:tabs>
          <w:tab w:leader="none" w:pos="11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growth for the SLB Group as a whole and for each of its Divisions (and for specified business lines, geographic areas or technologies within each Division);</w:t>
      </w:r>
    </w:p>
    <w:p>
      <w:pPr>
        <w:spacing w:after="0" w:line="39" w:lineRule="exact"/>
        <w:rPr>
          <w:rFonts w:ascii="Arial" w:cs="Arial" w:eastAsia="Arial" w:hAnsi="Arial"/>
          <w:sz w:val="13"/>
          <w:szCs w:val="13"/>
          <w:color w:val="auto"/>
        </w:rPr>
      </w:pPr>
    </w:p>
    <w:p>
      <w:pPr>
        <w:ind w:left="1140" w:right="919" w:hanging="328"/>
        <w:spacing w:after="0" w:line="282" w:lineRule="auto"/>
        <w:tabs>
          <w:tab w:leader="none" w:pos="11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benefits of the ChampionX acquisition, including the ability of the SLB Group to integrate the ChampionX business successfully and to achieve anticipated synergies and value creation from the acquisition;</w:t>
      </w:r>
    </w:p>
    <w:p>
      <w:pPr>
        <w:spacing w:after="0" w:line="39" w:lineRule="exact"/>
        <w:rPr>
          <w:rFonts w:ascii="Arial" w:cs="Arial" w:eastAsia="Arial" w:hAnsi="Arial"/>
          <w:sz w:val="13"/>
          <w:szCs w:val="13"/>
          <w:color w:val="auto"/>
        </w:rPr>
      </w:pPr>
    </w:p>
    <w:p>
      <w:pPr>
        <w:ind w:left="1140" w:hanging="328"/>
        <w:spacing w:after="0"/>
        <w:tabs>
          <w:tab w:leader="none" w:pos="11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oil and natural gas demand and production growth;</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oil and natural gas prices;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forecasts or expectations regarding energy transition and global climate change;</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improvements in operating procedures and technology;</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capital expenditures by the SLB Group and the oil and gas industry;</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business strategies of the SLB Group, including digital and “fit for basin,” as well as the strategies of its customers;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SLB Group’s capital allocation plans, including dividend plans and share repurchase programs;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SLB Group’s Asset Performance Solutions projects, joint ventures, and other alliances;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impact of ongoing or escalating conflicts on global energy supply;</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access to raw materials;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future global economic and geopolitical conditions;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future liquidity, including free cash flow; and</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future results of operations, such as margin levels.</w:t>
      </w:r>
    </w:p>
    <w:p>
      <w:pPr>
        <w:spacing w:after="0" w:line="162" w:lineRule="exact"/>
        <w:rPr>
          <w:sz w:val="20"/>
          <w:szCs w:val="20"/>
          <w:color w:val="auto"/>
        </w:rPr>
      </w:pPr>
    </w:p>
    <w:p>
      <w:pPr>
        <w:ind w:left="740"/>
        <w:spacing w:after="0"/>
        <w:rPr>
          <w:sz w:val="20"/>
          <w:szCs w:val="20"/>
          <w:color w:val="auto"/>
        </w:rPr>
      </w:pPr>
      <w:r>
        <w:rPr>
          <w:rFonts w:ascii="Arial" w:cs="Arial" w:eastAsia="Arial" w:hAnsi="Arial"/>
          <w:sz w:val="13"/>
          <w:szCs w:val="13"/>
          <w:color w:val="auto"/>
        </w:rPr>
        <w:t>These statements are subject to risks and uncertainties, including, but not limited to:</w:t>
      </w:r>
    </w:p>
    <w:p>
      <w:pPr>
        <w:spacing w:after="0" w:line="91" w:lineRule="exact"/>
        <w:rPr>
          <w:sz w:val="20"/>
          <w:szCs w:val="20"/>
          <w:color w:val="auto"/>
        </w:rPr>
      </w:pPr>
    </w:p>
    <w:p>
      <w:pPr>
        <w:ind w:left="1140" w:hanging="328"/>
        <w:spacing w:after="0"/>
        <w:tabs>
          <w:tab w:leader="none" w:pos="11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changing global economic and geopolitical conditions;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019"/>
          </w:cols>
          <w:pgMar w:left="1440" w:top="235" w:right="1440" w:bottom="1440" w:gutter="0" w:footer="0" w:header="0"/>
        </w:sectPr>
      </w:pPr>
    </w:p>
    <w:bookmarkStart w:id="57" w:name="page58"/>
    <w:bookmarkEnd w:id="57"/>
    <w:p>
      <w:pPr>
        <w:ind w:left="1140" w:right="659" w:hanging="328"/>
        <w:spacing w:after="0" w:line="282" w:lineRule="auto"/>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205980" cy="31750"/>
                    </a:xfrm>
                    <a:prstGeom prst="rect">
                      <a:avLst/>
                    </a:prstGeom>
                    <a:noFill/>
                  </pic:spPr>
                </pic:pic>
              </a:graphicData>
            </a:graphic>
          </wp:anchor>
        </w:drawing>
        <w:t>changes in exploration and production spending by the SLB Group’s customers, and changes in the level of oil and natural gas exploration and development;</w:t>
      </w:r>
    </w:p>
    <w:p>
      <w:pPr>
        <w:spacing w:after="0" w:line="39" w:lineRule="exact"/>
        <w:rPr>
          <w:rFonts w:ascii="Arial" w:cs="Arial" w:eastAsia="Arial" w:hAnsi="Arial"/>
          <w:sz w:val="13"/>
          <w:szCs w:val="13"/>
          <w:color w:val="auto"/>
        </w:rPr>
      </w:pPr>
    </w:p>
    <w:p>
      <w:pPr>
        <w:ind w:left="1140" w:hanging="328"/>
        <w:spacing w:after="0"/>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results of operations and financial condition of the SLB Group’s customers and suppliers;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SLB Group’s inability to achieve its financial and performance targets and other forecasts and expectations;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SLB Group’s inability to achieve its net-zero carbon emissions goals or interim emissions reduction goals;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general economic, geopolitical and business conditions in key regions of the world;</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foreign currency risk;</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inflation;</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changes in monetary policy by governments;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tariffs;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pricing pressure;</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weather and seasonal factors;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unfavorable effects of health pandemics;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availability and cost of raw materials;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operational modifications, delays or cancellations;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challenges in the SLB Group’s supply chain;</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production declines;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extent of future charges;</w:t>
      </w:r>
    </w:p>
    <w:p>
      <w:pPr>
        <w:spacing w:after="0" w:line="91" w:lineRule="exact"/>
        <w:rPr>
          <w:rFonts w:ascii="Arial" w:cs="Arial" w:eastAsia="Arial" w:hAnsi="Arial"/>
          <w:sz w:val="13"/>
          <w:szCs w:val="13"/>
          <w:color w:val="auto"/>
        </w:rPr>
      </w:pPr>
    </w:p>
    <w:p>
      <w:pPr>
        <w:ind w:left="1140" w:right="439" w:hanging="328"/>
        <w:spacing w:after="0" w:line="282" w:lineRule="auto"/>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SLB Group’s inability to recognize efficiencies and other intended benefits from its business strategies and initiatives, such as digital or new energy, as well as its cost reduction strategies;</w:t>
      </w:r>
    </w:p>
    <w:p>
      <w:pPr>
        <w:spacing w:after="0" w:line="39" w:lineRule="exact"/>
        <w:rPr>
          <w:rFonts w:ascii="Arial" w:cs="Arial" w:eastAsia="Arial" w:hAnsi="Arial"/>
          <w:sz w:val="13"/>
          <w:szCs w:val="13"/>
          <w:color w:val="auto"/>
        </w:rPr>
      </w:pPr>
    </w:p>
    <w:p>
      <w:pPr>
        <w:ind w:left="1140" w:right="599" w:hanging="328"/>
        <w:spacing w:after="0" w:line="282" w:lineRule="auto"/>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changes in government regulations and regulatory requirements, including those related to offshore oil and gas exploration, radioactive sources, explosives, chemicals and climate- related initiatives;</w:t>
      </w:r>
    </w:p>
    <w:p>
      <w:pPr>
        <w:spacing w:after="0" w:line="39" w:lineRule="exact"/>
        <w:rPr>
          <w:rFonts w:ascii="Arial" w:cs="Arial" w:eastAsia="Arial" w:hAnsi="Arial"/>
          <w:sz w:val="13"/>
          <w:szCs w:val="13"/>
          <w:color w:val="auto"/>
        </w:rPr>
      </w:pPr>
    </w:p>
    <w:p>
      <w:pPr>
        <w:ind w:left="1140" w:hanging="328"/>
        <w:spacing w:after="0"/>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inability of technology to meet new challenges in exploration;</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competitiveness of alternative energy sources or product substitutes; and</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other risks and uncertainties detailed in the Guarantor’s filings with the SEC.</w:t>
      </w:r>
    </w:p>
    <w:p>
      <w:pPr>
        <w:spacing w:after="0" w:line="162" w:lineRule="exact"/>
        <w:rPr>
          <w:sz w:val="20"/>
          <w:szCs w:val="20"/>
          <w:color w:val="auto"/>
        </w:rPr>
      </w:pPr>
    </w:p>
    <w:p>
      <w:pPr>
        <w:ind w:left="420" w:right="559" w:firstLine="327"/>
        <w:spacing w:after="0" w:line="255" w:lineRule="auto"/>
        <w:rPr>
          <w:sz w:val="20"/>
          <w:szCs w:val="20"/>
          <w:color w:val="auto"/>
        </w:rPr>
      </w:pPr>
      <w:r>
        <w:rPr>
          <w:rFonts w:ascii="Arial" w:cs="Arial" w:eastAsia="Arial" w:hAnsi="Arial"/>
          <w:sz w:val="13"/>
          <w:szCs w:val="13"/>
          <w:color w:val="auto"/>
        </w:rPr>
        <w:t>All subsequent written and oral forward-looking statements attributable to the Company or the Guarantor or to persons acting on their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019"/>
          </w:cols>
          <w:pgMar w:left="1440" w:top="237" w:right="1440"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205980" cy="31750"/>
                    </a:xfrm>
                    <a:prstGeom prst="rect">
                      <a:avLst/>
                    </a:prstGeom>
                    <a:noFill/>
                  </pic:spPr>
                </pic:pic>
              </a:graphicData>
            </a:graphic>
          </wp:anchor>
        </w:drawing>
        <w:t>Risk Factors</w:t>
      </w:r>
    </w:p>
    <w:p>
      <w:pPr>
        <w:spacing w:after="0" w:line="164" w:lineRule="exact"/>
        <w:rPr>
          <w:sz w:val="20"/>
          <w:szCs w:val="20"/>
          <w:color w:val="auto"/>
        </w:rPr>
      </w:pPr>
    </w:p>
    <w:p>
      <w:pPr>
        <w:ind w:left="420" w:right="439" w:firstLine="327"/>
        <w:spacing w:after="0" w:line="248" w:lineRule="auto"/>
        <w:rPr>
          <w:sz w:val="20"/>
          <w:szCs w:val="20"/>
          <w:color w:val="auto"/>
        </w:rPr>
      </w:pPr>
      <w:r>
        <w:rPr>
          <w:rFonts w:ascii="Arial" w:cs="Arial" w:eastAsia="Arial" w:hAnsi="Arial"/>
          <w:sz w:val="13"/>
          <w:szCs w:val="13"/>
          <w:color w:val="auto"/>
        </w:rPr>
        <w:t>Investing in the securities involves risk. You should carefully consider the risks described in the documents incorporated by reference in this prospectus, including the “Risk Factors” and “Management’s Discussion and Analysis of Financial Condition and Results of Operations” sections of the Guarantor’s Annual Report on Form 10-K for the fiscal year ended December 31, 2025 and the Guarantor’s Quarterly Report on Form 10-Q for the fiscal quarter ended March 31, 2026 before deciding whether to invest in the securities. These risks could cause the business, properties, assets, financial condition, results of operations, cash flows or prospects of the Company or the Guarantor to be materially adversely affected. Additional risks and uncertainties not currently known to us or that we currently deem immaterial may also adversely affect the business and operations of the Company or the Guarantor.</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019"/>
          </w:cols>
          <w:pgMar w:left="1440" w:top="235" w:right="1440" w:bottom="1440" w:gutter="0" w:footer="0" w:header="0"/>
        </w:sectPr>
      </w:pPr>
    </w:p>
    <w:bookmarkStart w:id="59" w:name="page60"/>
    <w:bookmarkEnd w:id="59"/>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205980" cy="31750"/>
                    </a:xfrm>
                    <a:prstGeom prst="rect">
                      <a:avLst/>
                    </a:prstGeom>
                    <a:noFill/>
                  </pic:spPr>
                </pic:pic>
              </a:graphicData>
            </a:graphic>
          </wp:anchor>
        </w:drawing>
        <w:t>Where You Can Find More Information</w:t>
      </w:r>
    </w:p>
    <w:p>
      <w:pPr>
        <w:spacing w:after="0" w:line="164" w:lineRule="exact"/>
        <w:rPr>
          <w:sz w:val="20"/>
          <w:szCs w:val="20"/>
          <w:color w:val="auto"/>
        </w:rPr>
      </w:pPr>
    </w:p>
    <w:p>
      <w:pPr>
        <w:ind w:left="420" w:right="419" w:firstLine="327"/>
        <w:spacing w:after="0" w:line="262" w:lineRule="auto"/>
        <w:rPr>
          <w:sz w:val="20"/>
          <w:szCs w:val="20"/>
          <w:color w:val="auto"/>
        </w:rPr>
      </w:pPr>
      <w:r>
        <w:rPr>
          <w:rFonts w:ascii="Arial" w:cs="Arial" w:eastAsia="Arial" w:hAnsi="Arial"/>
          <w:sz w:val="13"/>
          <w:szCs w:val="13"/>
          <w:color w:val="auto"/>
        </w:rPr>
        <w:t>The Guarantor files annual, quarterly and current reports, proxy statements and other information with the SEC. You may read and download any materials the Guarantor files with the SEC over the Internet from several commercial document retrieval services, as well as at the SEC’s website at www.sec.gov.</w:t>
      </w:r>
    </w:p>
    <w:p>
      <w:pPr>
        <w:spacing w:after="0" w:line="122" w:lineRule="exact"/>
        <w:rPr>
          <w:sz w:val="20"/>
          <w:szCs w:val="20"/>
          <w:color w:val="auto"/>
        </w:rPr>
      </w:pPr>
    </w:p>
    <w:p>
      <w:pPr>
        <w:ind w:left="420" w:right="599" w:firstLine="327"/>
        <w:spacing w:after="0" w:line="262" w:lineRule="auto"/>
        <w:rPr>
          <w:sz w:val="20"/>
          <w:szCs w:val="20"/>
          <w:color w:val="auto"/>
        </w:rPr>
      </w:pPr>
      <w:r>
        <w:rPr>
          <w:rFonts w:ascii="Arial" w:cs="Arial" w:eastAsia="Arial" w:hAnsi="Arial"/>
          <w:sz w:val="13"/>
          <w:szCs w:val="13"/>
          <w:color w:val="auto"/>
        </w:rPr>
        <w:t>In addition, the Guarantor makes its SEC filings available, free of charge through its Investor Relations website at www.investorcenter.slb.com, as soon as reasonably practicable after such material is filed with or furnished to the SEC. Copies are also available, without charge, from SLB Investor Relations, 5599 San Felipe, Houston, Texas 77056.</w:t>
      </w:r>
    </w:p>
    <w:p>
      <w:pPr>
        <w:spacing w:after="0" w:line="122" w:lineRule="exact"/>
        <w:rPr>
          <w:sz w:val="20"/>
          <w:szCs w:val="20"/>
          <w:color w:val="auto"/>
        </w:rPr>
      </w:pPr>
    </w:p>
    <w:p>
      <w:pPr>
        <w:jc w:val="both"/>
        <w:ind w:left="420" w:right="599" w:firstLine="327"/>
        <w:spacing w:after="0" w:line="262" w:lineRule="auto"/>
        <w:rPr>
          <w:sz w:val="20"/>
          <w:szCs w:val="20"/>
          <w:color w:val="auto"/>
        </w:rPr>
      </w:pPr>
      <w:r>
        <w:rPr>
          <w:rFonts w:ascii="Arial" w:cs="Arial" w:eastAsia="Arial" w:hAnsi="Arial"/>
          <w:sz w:val="13"/>
          <w:szCs w:val="13"/>
          <w:color w:val="auto"/>
        </w:rPr>
        <w:t>Please note that any internet addresses provided in this prospectus are for informational purposes only and are not intended to be hyperlinks. Accordingly, no information found or provided at such internet addresses (including any information on or accessible through the Guarantor’s website) is intended or deemed to be incorporated by reference herein.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019"/>
          </w:cols>
          <w:pgMar w:left="1440" w:top="235" w:right="1440" w:bottom="1440" w:gutter="0" w:footer="0" w:header="0"/>
        </w:sectPr>
      </w:pPr>
    </w:p>
    <w:bookmarkStart w:id="60" w:name="page61"/>
    <w:bookmarkEnd w:id="60"/>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205980" cy="31750"/>
                    </a:xfrm>
                    <a:prstGeom prst="rect">
                      <a:avLst/>
                    </a:prstGeom>
                    <a:noFill/>
                  </pic:spPr>
                </pic:pic>
              </a:graphicData>
            </a:graphic>
          </wp:anchor>
        </w:drawing>
        <w:t>Incorporation of Documents by Reference</w:t>
      </w:r>
    </w:p>
    <w:p>
      <w:pPr>
        <w:spacing w:after="0" w:line="164" w:lineRule="exact"/>
        <w:rPr>
          <w:sz w:val="20"/>
          <w:szCs w:val="20"/>
          <w:color w:val="auto"/>
        </w:rPr>
      </w:pPr>
    </w:p>
    <w:p>
      <w:pPr>
        <w:ind w:left="420" w:right="439" w:firstLine="327"/>
        <w:spacing w:after="0" w:line="255" w:lineRule="auto"/>
        <w:rPr>
          <w:sz w:val="20"/>
          <w:szCs w:val="20"/>
          <w:color w:val="auto"/>
        </w:rPr>
      </w:pPr>
      <w:r>
        <w:rPr>
          <w:rFonts w:ascii="Arial" w:cs="Arial" w:eastAsia="Arial" w:hAnsi="Arial"/>
          <w:sz w:val="13"/>
          <w:szCs w:val="13"/>
          <w:color w:val="auto"/>
        </w:rPr>
        <w:t>The SEC allows us to incorporate information into this prospectus by reference, which means that we can disclose important information to you by referring you to another document that the Guarantor has filed separately with the SEC. The information incorporated by reference is deemed to be part of this prospectus, except for any information superseded by information contained directly in this prospectus. These documents contain important information about the SLB Group and its financial condition, business and results.</w:t>
      </w:r>
    </w:p>
    <w:p>
      <w:pPr>
        <w:spacing w:after="0" w:line="127" w:lineRule="exact"/>
        <w:rPr>
          <w:sz w:val="20"/>
          <w:szCs w:val="20"/>
          <w:color w:val="auto"/>
        </w:rPr>
      </w:pPr>
    </w:p>
    <w:p>
      <w:pPr>
        <w:ind w:left="420" w:right="499" w:firstLine="327"/>
        <w:spacing w:after="0" w:line="251" w:lineRule="auto"/>
        <w:rPr>
          <w:sz w:val="20"/>
          <w:szCs w:val="20"/>
          <w:color w:val="auto"/>
        </w:rPr>
      </w:pPr>
      <w:r>
        <w:rPr>
          <w:rFonts w:ascii="Arial" w:cs="Arial" w:eastAsia="Arial" w:hAnsi="Arial"/>
          <w:sz w:val="13"/>
          <w:szCs w:val="13"/>
          <w:color w:val="auto"/>
        </w:rPr>
        <w:t>We are incorporating by reference into this prospectus the documents listed below and any documents subsequently filed by the Guarantor under Sections 13(a), 13(c), 14 or 15(d) of the Securities Exchange Act of 1934, as amended (the “Exchange Act”), on or after the date of this prospectus and prior to the termination of any offering shall be deemed to be incorporated by reference into this prospectus; except that we are not incorporating by reference any information furnished (but not filed) under Item 2.02 or Item 7.01 of any Current Report on Form 8-K, unless specifically noted below or in a prospectus supplement or pricing supplement:</w:t>
      </w:r>
    </w:p>
    <w:p>
      <w:pPr>
        <w:spacing w:after="0" w:line="61" w:lineRule="exact"/>
        <w:rPr>
          <w:sz w:val="20"/>
          <w:szCs w:val="20"/>
          <w:color w:val="auto"/>
        </w:rPr>
      </w:pPr>
    </w:p>
    <w:p>
      <w:pPr>
        <w:jc w:val="both"/>
        <w:ind w:left="1140" w:right="519" w:hanging="328"/>
        <w:spacing w:after="0" w:line="262" w:lineRule="auto"/>
        <w:tabs>
          <w:tab w:leader="none" w:pos="11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 xml:space="preserve">the Guarantor’s </w:t>
      </w:r>
      <w:hyperlink r:id="rId83">
        <w:r>
          <w:rPr>
            <w:rFonts w:ascii="Arial" w:cs="Arial" w:eastAsia="Arial" w:hAnsi="Arial"/>
            <w:sz w:val="13"/>
            <w:szCs w:val="13"/>
            <w:u w:val="single" w:color="auto"/>
            <w:color w:val="0000EE"/>
          </w:rPr>
          <w:t>Annual Report on Form 10-K for the fiscal year ended December 31, 2025</w:t>
        </w:r>
      </w:hyperlink>
      <w:r>
        <w:rPr>
          <w:rFonts w:ascii="Arial" w:cs="Arial" w:eastAsia="Arial" w:hAnsi="Arial"/>
          <w:sz w:val="13"/>
          <w:szCs w:val="13"/>
          <w:color w:val="auto"/>
        </w:rPr>
        <w:t xml:space="preserve">, as filed with the SEC on January 23, 2026 (including the portions of the Guarantor’s </w:t>
      </w:r>
      <w:hyperlink r:id="rId84">
        <w:r>
          <w:rPr>
            <w:rFonts w:ascii="Arial" w:cs="Arial" w:eastAsia="Arial" w:hAnsi="Arial"/>
            <w:sz w:val="13"/>
            <w:szCs w:val="13"/>
            <w:u w:val="single" w:color="auto"/>
            <w:color w:val="0000EE"/>
          </w:rPr>
          <w:t>proxy statement for the Guarantor’s 2026 annual meeting of shareholders</w:t>
        </w:r>
      </w:hyperlink>
      <w:r>
        <w:rPr>
          <w:rFonts w:ascii="Arial" w:cs="Arial" w:eastAsia="Arial" w:hAnsi="Arial"/>
          <w:sz w:val="13"/>
          <w:szCs w:val="13"/>
          <w:color w:val="auto"/>
        </w:rPr>
        <w:t xml:space="preserve"> incorporated by reference therein);</w:t>
      </w:r>
    </w:p>
    <w:p>
      <w:pPr>
        <w:spacing w:after="0" w:line="52" w:lineRule="exact"/>
        <w:rPr>
          <w:rFonts w:ascii="Arial" w:cs="Arial" w:eastAsia="Arial" w:hAnsi="Arial"/>
          <w:sz w:val="13"/>
          <w:szCs w:val="13"/>
          <w:color w:val="auto"/>
        </w:rPr>
      </w:pPr>
    </w:p>
    <w:p>
      <w:pPr>
        <w:ind w:left="1140" w:right="459" w:hanging="328"/>
        <w:spacing w:after="0" w:line="282" w:lineRule="auto"/>
        <w:tabs>
          <w:tab w:leader="none" w:pos="11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 xml:space="preserve">the Guarantor’s Quarterly Report on </w:t>
      </w:r>
      <w:hyperlink r:id="rId66">
        <w:r>
          <w:rPr>
            <w:rFonts w:ascii="Arial" w:cs="Arial" w:eastAsia="Arial" w:hAnsi="Arial"/>
            <w:sz w:val="13"/>
            <w:szCs w:val="13"/>
            <w:u w:val="single" w:color="auto"/>
            <w:color w:val="0000EE"/>
          </w:rPr>
          <w:t>Form 10-Q</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for the fiscal quarter ended March 31, 2026, as filed with the SEC on April 29, 2026; and</w:t>
      </w:r>
    </w:p>
    <w:p>
      <w:pPr>
        <w:spacing w:after="0" w:line="39" w:lineRule="exact"/>
        <w:rPr>
          <w:rFonts w:ascii="Arial" w:cs="Arial" w:eastAsia="Arial" w:hAnsi="Arial"/>
          <w:sz w:val="13"/>
          <w:szCs w:val="13"/>
          <w:color w:val="auto"/>
        </w:rPr>
      </w:pPr>
    </w:p>
    <w:p>
      <w:pPr>
        <w:ind w:left="1140" w:hanging="328"/>
        <w:spacing w:after="0"/>
        <w:tabs>
          <w:tab w:leader="none" w:pos="11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 xml:space="preserve">the Guarantor’s Current Report on Form 8-K as filed with the SEC on </w:t>
      </w:r>
      <w:hyperlink r:id="rId85">
        <w:r>
          <w:rPr>
            <w:rFonts w:ascii="Arial" w:cs="Arial" w:eastAsia="Arial" w:hAnsi="Arial"/>
            <w:sz w:val="13"/>
            <w:szCs w:val="13"/>
            <w:u w:val="single" w:color="auto"/>
            <w:color w:val="0000EE"/>
          </w:rPr>
          <w:t>April 8, 2026</w:t>
        </w:r>
      </w:hyperlink>
      <w:r>
        <w:rPr>
          <w:rFonts w:ascii="Arial" w:cs="Arial" w:eastAsia="Arial" w:hAnsi="Arial"/>
          <w:sz w:val="13"/>
          <w:szCs w:val="13"/>
          <w:color w:val="auto"/>
        </w:rPr>
        <w:t>.</w:t>
      </w:r>
    </w:p>
    <w:p>
      <w:pPr>
        <w:spacing w:after="0" w:line="162" w:lineRule="exact"/>
        <w:rPr>
          <w:rFonts w:ascii="Arial" w:cs="Arial" w:eastAsia="Arial" w:hAnsi="Arial"/>
          <w:sz w:val="13"/>
          <w:szCs w:val="13"/>
          <w:color w:val="auto"/>
        </w:rPr>
      </w:pPr>
    </w:p>
    <w:p>
      <w:pPr>
        <w:ind w:left="420" w:right="419" w:firstLine="327"/>
        <w:spacing w:after="0" w:line="249" w:lineRule="auto"/>
        <w:rPr>
          <w:sz w:val="20"/>
          <w:szCs w:val="20"/>
          <w:color w:val="auto"/>
        </w:rPr>
      </w:pPr>
      <w:r>
        <w:rPr>
          <w:rFonts w:ascii="Arial" w:cs="Arial" w:eastAsia="Arial" w:hAnsi="Arial"/>
          <w:sz w:val="13"/>
          <w:szCs w:val="13"/>
          <w:color w:val="auto"/>
        </w:rPr>
        <w:t>Any statement contained in this prospectus and any accompanying prospectus or in a document incorporated or deemed to be incorporated by reference in this prospectus and any accompanying prospectus will be deemed to be modified or superseded for purposes of this prospectus to the extent that a statement contained in this prospectus and any accompanying prospectus or in any other document subsequently filed with the SEC that is or is deemed to be incorporated by reference in this prospectus and any accompanying prospectus modifies or supersedes such statement. No such statement so modified or superseded will be deemed, except as so modified or superseded, to constitute a part of this prospectus and any accompanying prospectus.</w:t>
      </w:r>
    </w:p>
    <w:p>
      <w:pPr>
        <w:spacing w:after="0" w:line="133" w:lineRule="exact"/>
        <w:rPr>
          <w:rFonts w:ascii="Arial" w:cs="Arial" w:eastAsia="Arial" w:hAnsi="Arial"/>
          <w:sz w:val="13"/>
          <w:szCs w:val="13"/>
          <w:color w:val="auto"/>
        </w:rPr>
      </w:pPr>
    </w:p>
    <w:p>
      <w:pPr>
        <w:jc w:val="both"/>
        <w:ind w:left="420" w:right="459" w:firstLine="327"/>
        <w:spacing w:after="0" w:line="262" w:lineRule="auto"/>
        <w:rPr>
          <w:sz w:val="20"/>
          <w:szCs w:val="20"/>
          <w:color w:val="auto"/>
        </w:rPr>
      </w:pPr>
      <w:r>
        <w:rPr>
          <w:rFonts w:ascii="Arial" w:cs="Arial" w:eastAsia="Arial" w:hAnsi="Arial"/>
          <w:sz w:val="13"/>
          <w:szCs w:val="13"/>
          <w:color w:val="auto"/>
        </w:rPr>
        <w:t>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w:t>
      </w:r>
    </w:p>
    <w:p>
      <w:pPr>
        <w:spacing w:after="0" w:line="122" w:lineRule="exact"/>
        <w:rPr>
          <w:rFonts w:ascii="Arial" w:cs="Arial" w:eastAsia="Arial" w:hAnsi="Arial"/>
          <w:sz w:val="13"/>
          <w:szCs w:val="13"/>
          <w:color w:val="auto"/>
        </w:rPr>
      </w:pPr>
    </w:p>
    <w:p>
      <w:pPr>
        <w:ind w:left="420" w:right="519" w:firstLine="327"/>
        <w:spacing w:after="0" w:line="262" w:lineRule="auto"/>
        <w:rPr>
          <w:sz w:val="20"/>
          <w:szCs w:val="20"/>
          <w:color w:val="auto"/>
        </w:rPr>
      </w:pPr>
      <w:r>
        <w:rPr>
          <w:rFonts w:ascii="Arial" w:cs="Arial" w:eastAsia="Arial" w:hAnsi="Arial"/>
          <w:sz w:val="13"/>
          <w:szCs w:val="13"/>
          <w:color w:val="auto"/>
        </w:rPr>
        <w:t>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w:t>
      </w:r>
    </w:p>
    <w:p>
      <w:pPr>
        <w:spacing w:after="0" w:line="42" w:lineRule="exact"/>
        <w:rPr>
          <w:rFonts w:ascii="Arial" w:cs="Arial" w:eastAsia="Arial" w:hAnsi="Arial"/>
          <w:sz w:val="13"/>
          <w:szCs w:val="13"/>
          <w:color w:val="auto"/>
        </w:rPr>
      </w:pPr>
    </w:p>
    <w:p>
      <w:pPr>
        <w:jc w:val="center"/>
        <w:spacing w:after="0"/>
        <w:rPr>
          <w:sz w:val="20"/>
          <w:szCs w:val="20"/>
          <w:color w:val="auto"/>
        </w:rPr>
      </w:pPr>
      <w:r>
        <w:rPr>
          <w:rFonts w:ascii="Arial" w:cs="Arial" w:eastAsia="Arial" w:hAnsi="Arial"/>
          <w:sz w:val="13"/>
          <w:szCs w:val="13"/>
          <w:color w:val="auto"/>
        </w:rPr>
        <w:t>SLB N.V. (SLB Limited)</w:t>
      </w:r>
    </w:p>
    <w:p>
      <w:pPr>
        <w:spacing w:after="0" w:line="13" w:lineRule="exact"/>
        <w:rPr>
          <w:rFonts w:ascii="Arial" w:cs="Arial" w:eastAsia="Arial" w:hAnsi="Arial"/>
          <w:sz w:val="13"/>
          <w:szCs w:val="13"/>
          <w:color w:val="auto"/>
        </w:rPr>
      </w:pPr>
    </w:p>
    <w:p>
      <w:pPr>
        <w:jc w:val="center"/>
        <w:spacing w:after="0"/>
        <w:rPr>
          <w:sz w:val="20"/>
          <w:szCs w:val="20"/>
          <w:color w:val="auto"/>
        </w:rPr>
      </w:pPr>
      <w:r>
        <w:rPr>
          <w:rFonts w:ascii="Arial" w:cs="Arial" w:eastAsia="Arial" w:hAnsi="Arial"/>
          <w:sz w:val="13"/>
          <w:szCs w:val="13"/>
          <w:color w:val="auto"/>
        </w:rPr>
        <w:t>5599 San Felipe</w:t>
      </w:r>
    </w:p>
    <w:p>
      <w:pPr>
        <w:spacing w:after="0" w:line="1" w:lineRule="exact"/>
        <w:rPr>
          <w:rFonts w:ascii="Arial" w:cs="Arial" w:eastAsia="Arial" w:hAnsi="Arial"/>
          <w:sz w:val="13"/>
          <w:szCs w:val="13"/>
          <w:color w:val="auto"/>
        </w:rPr>
      </w:pPr>
    </w:p>
    <w:p>
      <w:pPr>
        <w:jc w:val="center"/>
        <w:spacing w:after="0"/>
        <w:rPr>
          <w:sz w:val="20"/>
          <w:szCs w:val="20"/>
          <w:color w:val="auto"/>
        </w:rPr>
      </w:pPr>
      <w:r>
        <w:rPr>
          <w:rFonts w:ascii="Arial" w:cs="Arial" w:eastAsia="Arial" w:hAnsi="Arial"/>
          <w:sz w:val="13"/>
          <w:szCs w:val="13"/>
          <w:color w:val="auto"/>
        </w:rPr>
        <w:t>Houston, Texas 77056</w:t>
      </w:r>
    </w:p>
    <w:p>
      <w:pPr>
        <w:spacing w:after="0" w:line="1" w:lineRule="exact"/>
        <w:rPr>
          <w:rFonts w:ascii="Arial" w:cs="Arial" w:eastAsia="Arial" w:hAnsi="Arial"/>
          <w:sz w:val="13"/>
          <w:szCs w:val="13"/>
          <w:color w:val="auto"/>
        </w:rPr>
      </w:pPr>
    </w:p>
    <w:p>
      <w:pPr>
        <w:ind w:left="4400" w:hanging="353"/>
        <w:spacing w:after="0"/>
        <w:tabs>
          <w:tab w:leader="none" w:pos="44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375-3535</w:t>
      </w:r>
    </w:p>
    <w:p>
      <w:pPr>
        <w:spacing w:after="0" w:line="1" w:lineRule="exact"/>
        <w:rPr>
          <w:rFonts w:ascii="Arial" w:cs="Arial" w:eastAsia="Arial" w:hAnsi="Arial"/>
          <w:sz w:val="13"/>
          <w:szCs w:val="13"/>
          <w:color w:val="auto"/>
        </w:rPr>
      </w:pPr>
    </w:p>
    <w:p>
      <w:pPr>
        <w:ind w:left="3660"/>
        <w:spacing w:after="0"/>
        <w:rPr>
          <w:rFonts w:ascii="Arial" w:cs="Arial" w:eastAsia="Arial" w:hAnsi="Arial"/>
          <w:sz w:val="13"/>
          <w:szCs w:val="13"/>
          <w:color w:val="auto"/>
        </w:rPr>
      </w:pPr>
      <w:r>
        <w:rPr>
          <w:rFonts w:ascii="Arial" w:cs="Arial" w:eastAsia="Arial" w:hAnsi="Arial"/>
          <w:sz w:val="13"/>
          <w:szCs w:val="13"/>
          <w:color w:val="auto"/>
        </w:rPr>
        <w:t>Attention: Investor Relations</w:t>
      </w:r>
    </w:p>
    <w:p>
      <w:pPr>
        <w:spacing w:after="0" w:line="150" w:lineRule="exact"/>
        <w:rPr>
          <w:rFonts w:ascii="Arial" w:cs="Arial" w:eastAsia="Arial" w:hAnsi="Arial"/>
          <w:sz w:val="13"/>
          <w:szCs w:val="13"/>
          <w:color w:val="auto"/>
        </w:rPr>
      </w:pPr>
    </w:p>
    <w:p>
      <w:pPr>
        <w:ind w:left="420" w:right="1019" w:firstLine="327"/>
        <w:spacing w:after="0" w:line="282" w:lineRule="auto"/>
        <w:rPr>
          <w:sz w:val="20"/>
          <w:szCs w:val="20"/>
          <w:color w:val="auto"/>
        </w:rPr>
      </w:pPr>
      <w:r>
        <w:rPr>
          <w:rFonts w:ascii="Arial" w:cs="Arial" w:eastAsia="Arial" w:hAnsi="Arial"/>
          <w:sz w:val="13"/>
          <w:szCs w:val="13"/>
          <w:color w:val="auto"/>
        </w:rPr>
        <w:t>Except as provided above, no other information (including information on our website) is incorporated by reference into this prospectus.</w:t>
      </w:r>
    </w:p>
    <w:p>
      <w:pPr>
        <w:spacing w:after="0" w:line="60" w:lineRule="exact"/>
        <w:rPr>
          <w:rFonts w:ascii="Arial" w:cs="Arial" w:eastAsia="Arial" w:hAnsi="Arial"/>
          <w:sz w:val="13"/>
          <w:szCs w:val="13"/>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019"/>
          </w:cols>
          <w:pgMar w:left="1440" w:top="235"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205980" cy="31750"/>
                    </a:xfrm>
                    <a:prstGeom prst="rect">
                      <a:avLst/>
                    </a:prstGeom>
                    <a:noFill/>
                  </pic:spPr>
                </pic:pic>
              </a:graphicData>
            </a:graphic>
          </wp:anchor>
        </w:drawing>
        <w:t>Use of Proceeds</w:t>
      </w:r>
    </w:p>
    <w:p>
      <w:pPr>
        <w:spacing w:after="0" w:line="164" w:lineRule="exact"/>
        <w:rPr>
          <w:sz w:val="20"/>
          <w:szCs w:val="20"/>
          <w:color w:val="auto"/>
        </w:rPr>
      </w:pPr>
    </w:p>
    <w:p>
      <w:pPr>
        <w:ind w:left="420" w:right="439" w:firstLine="327"/>
        <w:spacing w:after="0" w:line="251" w:lineRule="auto"/>
        <w:rPr>
          <w:sz w:val="20"/>
          <w:szCs w:val="20"/>
          <w:color w:val="auto"/>
        </w:rPr>
      </w:pPr>
      <w:r>
        <w:rPr>
          <w:rFonts w:ascii="Arial" w:cs="Arial" w:eastAsia="Arial" w:hAnsi="Arial"/>
          <w:sz w:val="13"/>
          <w:szCs w:val="13"/>
          <w:color w:val="auto"/>
        </w:rPr>
        <w:t>Unless we otherwise state in a prospectus supplement or pricing supplement, we will use the net proceeds from the sale of the offered securities for general corporate purposes of the SLB Group. General corporate purposes may include repayment of debt, additions to working capital, capital expenditures, investments in subsidiaries of the Guarantor, possible acquisitions and the repurchase, redemption or retirement of securities, including the Guarantor’s common stock. The net proceeds may be temporarily invested or applied to repay short-term or revolving debt prior to use.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019"/>
          </w:cols>
          <w:pgMar w:left="1440" w:top="235" w:right="1440"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205980" cy="31750"/>
                    </a:xfrm>
                    <a:prstGeom prst="rect">
                      <a:avLst/>
                    </a:prstGeom>
                    <a:noFill/>
                  </pic:spPr>
                </pic:pic>
              </a:graphicData>
            </a:graphic>
          </wp:anchor>
        </w:drawing>
        <w:t>Description of Debt Securities</w:t>
      </w:r>
    </w:p>
    <w:p>
      <w:pPr>
        <w:spacing w:after="0" w:line="164" w:lineRule="exact"/>
        <w:rPr>
          <w:sz w:val="20"/>
          <w:szCs w:val="20"/>
          <w:color w:val="auto"/>
        </w:rPr>
      </w:pPr>
    </w:p>
    <w:p>
      <w:pPr>
        <w:ind w:left="420" w:right="499" w:firstLine="327"/>
        <w:spacing w:after="0" w:line="248" w:lineRule="auto"/>
        <w:rPr>
          <w:sz w:val="20"/>
          <w:szCs w:val="20"/>
          <w:color w:val="auto"/>
        </w:rPr>
      </w:pPr>
      <w:r>
        <w:rPr>
          <w:rFonts w:ascii="Arial" w:cs="Arial" w:eastAsia="Arial" w:hAnsi="Arial"/>
          <w:sz w:val="13"/>
          <w:szCs w:val="13"/>
          <w:color w:val="auto"/>
        </w:rPr>
        <w:t>The following is a general description of the debt securities that the Company may offer and issue from time to time. The particular terms of the debt securities offered by any prospectus supplement and the extent, if any, to which the general provisions described below may apply to those securities will be described in the applicable prospectus supplement.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33" w:lineRule="exact"/>
        <w:rPr>
          <w:sz w:val="20"/>
          <w:szCs w:val="20"/>
          <w:color w:val="auto"/>
        </w:rPr>
      </w:pPr>
    </w:p>
    <w:p>
      <w:pPr>
        <w:jc w:val="both"/>
        <w:ind w:left="420" w:right="499" w:firstLine="327"/>
        <w:spacing w:after="0" w:line="262" w:lineRule="auto"/>
        <w:rPr>
          <w:sz w:val="20"/>
          <w:szCs w:val="20"/>
          <w:color w:val="auto"/>
        </w:rPr>
      </w:pPr>
      <w:r>
        <w:rPr>
          <w:rFonts w:ascii="Arial" w:cs="Arial" w:eastAsia="Arial" w:hAnsi="Arial"/>
          <w:sz w:val="13"/>
          <w:szCs w:val="13"/>
          <w:color w:val="auto"/>
        </w:rPr>
        <w:t>As used in this “Description of Debt Securities,” the terms “we,” “us” and “our” and similar expressions refer to the Company and not to any of its consolidated subsidiaries; and the term “Guarantor” refers to our parent company, SLB N.V. (SLB Limited), and not to any of its subsidiaries, in each case unless otherwise indicated or the context otherwise requires.</w:t>
      </w:r>
    </w:p>
    <w:p>
      <w:pPr>
        <w:spacing w:after="0" w:line="122" w:lineRule="exact"/>
        <w:rPr>
          <w:sz w:val="20"/>
          <w:szCs w:val="20"/>
          <w:color w:val="auto"/>
        </w:rPr>
      </w:pPr>
    </w:p>
    <w:p>
      <w:pPr>
        <w:ind w:left="420" w:right="719" w:firstLine="327"/>
        <w:spacing w:after="0" w:line="282" w:lineRule="auto"/>
        <w:rPr>
          <w:sz w:val="20"/>
          <w:szCs w:val="20"/>
          <w:color w:val="auto"/>
        </w:rPr>
      </w:pPr>
      <w:r>
        <w:rPr>
          <w:rFonts w:ascii="Arial" w:cs="Arial" w:eastAsia="Arial" w:hAnsi="Arial"/>
          <w:sz w:val="13"/>
          <w:szCs w:val="13"/>
          <w:color w:val="auto"/>
        </w:rPr>
        <w:t>Certain capitalized terms used but not defined in this section have the respective meanings set forth in the indenture (as defined below).</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General</w:t>
      </w:r>
    </w:p>
    <w:p>
      <w:pPr>
        <w:spacing w:after="0" w:line="83" w:lineRule="exact"/>
        <w:rPr>
          <w:sz w:val="20"/>
          <w:szCs w:val="20"/>
          <w:color w:val="auto"/>
        </w:rPr>
      </w:pPr>
    </w:p>
    <w:p>
      <w:pPr>
        <w:ind w:left="420" w:right="439" w:firstLine="327"/>
        <w:spacing w:after="0" w:line="246" w:lineRule="auto"/>
        <w:rPr>
          <w:sz w:val="20"/>
          <w:szCs w:val="20"/>
          <w:color w:val="auto"/>
        </w:rPr>
      </w:pPr>
      <w:r>
        <w:rPr>
          <w:rFonts w:ascii="Arial" w:cs="Arial" w:eastAsia="Arial" w:hAnsi="Arial"/>
          <w:sz w:val="13"/>
          <w:szCs w:val="13"/>
          <w:color w:val="auto"/>
        </w:rPr>
        <w:t>The debt securities that we may offer and issue will be senior debt securities that will be issued under an indenture, dated December 3, 2013, by and among us, SLB N.V. (SLB Limited) (formerly known as Schlumberger Limited), as guarantor, and The Bank of New York Mellon, as trustee, as amended by the second supplemental indenture dated June 26, 2020 and the fourth supplemental indenture, dated May 29, 2024 (the “indenture”). In addition, the indenture may be supplemented or amended as necessary to set forth the terms of the debt securities issued under the indenture. The Guarantor will fully and unconditionally guarantee the debt securities under a guarantee contained in the indenture (the “Guarantee”). You should read the indenture, including any amendments or supplements, carefully to fully understand the terms of the debt securities. The indenture has been filed as an exhibit to the registration statement of which this prospectus is a part. The indenture is subject to, and is governed by, the Trust Indenture Act of 1939, as amended (the “Trust Indenture Act”).</w:t>
      </w:r>
    </w:p>
    <w:p>
      <w:pPr>
        <w:spacing w:after="0" w:line="289" w:lineRule="exact"/>
        <w:rPr>
          <w:sz w:val="20"/>
          <w:szCs w:val="20"/>
          <w:color w:val="auto"/>
        </w:rPr>
      </w:pPr>
    </w:p>
    <w:p>
      <w:pPr>
        <w:ind w:left="420" w:right="659" w:firstLine="327"/>
        <w:spacing w:after="0" w:line="282" w:lineRule="auto"/>
        <w:rPr>
          <w:sz w:val="20"/>
          <w:szCs w:val="20"/>
          <w:color w:val="auto"/>
        </w:rPr>
      </w:pPr>
      <w:r>
        <w:rPr>
          <w:rFonts w:ascii="Arial" w:cs="Arial" w:eastAsia="Arial" w:hAnsi="Arial"/>
          <w:sz w:val="13"/>
          <w:szCs w:val="13"/>
          <w:color w:val="auto"/>
        </w:rPr>
        <w:t>Any debt securities that we may issue will be our unsubordinated obligations. They will rank equally with each other and all of our other unsubordinated debt, unless otherwise indicated in the applicable prospectus supplement.</w:t>
      </w:r>
    </w:p>
    <w:p>
      <w:pPr>
        <w:spacing w:after="0" w:line="110" w:lineRule="exact"/>
        <w:rPr>
          <w:sz w:val="20"/>
          <w:szCs w:val="20"/>
          <w:color w:val="auto"/>
        </w:rPr>
      </w:pPr>
    </w:p>
    <w:p>
      <w:pPr>
        <w:ind w:left="420" w:right="439" w:firstLine="327"/>
        <w:spacing w:after="0" w:line="249" w:lineRule="auto"/>
        <w:rPr>
          <w:sz w:val="20"/>
          <w:szCs w:val="20"/>
          <w:color w:val="auto"/>
        </w:rPr>
      </w:pPr>
      <w:r>
        <w:rPr>
          <w:rFonts w:ascii="Arial" w:cs="Arial" w:eastAsia="Arial" w:hAnsi="Arial"/>
          <w:sz w:val="13"/>
          <w:szCs w:val="13"/>
          <w:color w:val="auto"/>
        </w:rPr>
        <w:t>The indenture does not limit the amount of debt securities that can be issued thereunder and provides that debt securities of any series may be issued thereunder up to the aggregate principal amount that we may authorize from time to time. Unless otherwise provided in the applicable prospectus supplement, the indenture does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33" w:lineRule="exact"/>
        <w:rPr>
          <w:sz w:val="20"/>
          <w:szCs w:val="20"/>
          <w:color w:val="auto"/>
        </w:rPr>
      </w:pPr>
    </w:p>
    <w:p>
      <w:pPr>
        <w:ind w:left="420" w:right="479" w:firstLine="327"/>
        <w:spacing w:after="0" w:line="282" w:lineRule="auto"/>
        <w:rPr>
          <w:sz w:val="20"/>
          <w:szCs w:val="20"/>
          <w:color w:val="auto"/>
        </w:rPr>
      </w:pPr>
      <w:r>
        <w:rPr>
          <w:rFonts w:ascii="Arial" w:cs="Arial" w:eastAsia="Arial" w:hAnsi="Arial"/>
          <w:sz w:val="13"/>
          <w:szCs w:val="13"/>
          <w:color w:val="auto"/>
        </w:rPr>
        <w:t>Reference is made to the prospectus supplement for the following and other possible terms of each series of the debt securities with respect to which this prospectus is being delivered:</w:t>
      </w:r>
    </w:p>
    <w:p>
      <w:pPr>
        <w:spacing w:after="0" w:line="40" w:lineRule="exact"/>
        <w:rPr>
          <w:sz w:val="20"/>
          <w:szCs w:val="20"/>
          <w:color w:val="auto"/>
        </w:rPr>
      </w:pPr>
    </w:p>
    <w:p>
      <w:pPr>
        <w:ind w:left="1140" w:hanging="328"/>
        <w:spacing w:after="0"/>
        <w:tabs>
          <w:tab w:leader="none" w:pos="11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title of the debt securities;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9019"/>
          </w:cols>
          <w:pgMar w:left="1440" w:top="235" w:right="1440" w:bottom="1440" w:gutter="0" w:footer="0" w:header="0"/>
        </w:sectPr>
      </w:pPr>
    </w:p>
    <w:bookmarkStart w:id="63" w:name="page64"/>
    <w:bookmarkEnd w:id="63"/>
    <w:p>
      <w:pPr>
        <w:ind w:left="1140" w:hanging="328"/>
        <w:spacing w:after="0"/>
        <w:tabs>
          <w:tab w:leader="none" w:pos="1140" w:val="left"/>
        </w:tabs>
        <w:numPr>
          <w:ilvl w:val="0"/>
          <w:numId w:val="37"/>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the aggregate principal amount of the debt securities of the series to be issued;</w:t>
      </w:r>
    </w:p>
    <w:p>
      <w:pPr>
        <w:spacing w:after="0" w:line="91" w:lineRule="exact"/>
        <w:rPr>
          <w:rFonts w:ascii="Arial" w:cs="Arial" w:eastAsia="Arial" w:hAnsi="Arial"/>
          <w:sz w:val="13"/>
          <w:szCs w:val="13"/>
          <w:color w:val="auto"/>
        </w:rPr>
      </w:pPr>
    </w:p>
    <w:p>
      <w:pPr>
        <w:ind w:left="1140" w:right="519" w:hanging="328"/>
        <w:spacing w:after="0" w:line="262" w:lineRule="auto"/>
        <w:tabs>
          <w:tab w:leader="none" w:pos="11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any limit upon the aggregate principal amount of the debt securities of that series that may be authenticated and delivered under the indenture, except for debt securities authenticated and delivered upon registration of transfer of, or in exchange for or in lieu of, other debt securities of that series;</w:t>
      </w:r>
    </w:p>
    <w:p>
      <w:pPr>
        <w:spacing w:after="0" w:line="52" w:lineRule="exact"/>
        <w:rPr>
          <w:rFonts w:ascii="Arial" w:cs="Arial" w:eastAsia="Arial" w:hAnsi="Arial"/>
          <w:sz w:val="13"/>
          <w:szCs w:val="13"/>
          <w:color w:val="auto"/>
        </w:rPr>
      </w:pPr>
    </w:p>
    <w:p>
      <w:pPr>
        <w:ind w:left="1140" w:hanging="328"/>
        <w:spacing w:after="0"/>
        <w:tabs>
          <w:tab w:leader="none" w:pos="11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date or dates on which the principal and premium, if any, of the debt securities of the series is payable;</w:t>
      </w:r>
    </w:p>
    <w:p>
      <w:pPr>
        <w:spacing w:after="0" w:line="91" w:lineRule="exact"/>
        <w:rPr>
          <w:rFonts w:ascii="Arial" w:cs="Arial" w:eastAsia="Arial" w:hAnsi="Arial"/>
          <w:sz w:val="13"/>
          <w:szCs w:val="13"/>
          <w:color w:val="auto"/>
        </w:rPr>
      </w:pPr>
    </w:p>
    <w:p>
      <w:pPr>
        <w:ind w:left="1140" w:right="499" w:hanging="328"/>
        <w:spacing w:after="0" w:line="262" w:lineRule="auto"/>
        <w:tabs>
          <w:tab w:leader="none" w:pos="11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rate or rates, which may be fixed or variable, at which the debt securities of the series will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52" w:lineRule="exact"/>
        <w:rPr>
          <w:rFonts w:ascii="Arial" w:cs="Arial" w:eastAsia="Arial" w:hAnsi="Arial"/>
          <w:sz w:val="13"/>
          <w:szCs w:val="13"/>
          <w:color w:val="auto"/>
        </w:rPr>
      </w:pPr>
    </w:p>
    <w:p>
      <w:pPr>
        <w:ind w:left="1140" w:right="499" w:hanging="328"/>
        <w:spacing w:after="0" w:line="255" w:lineRule="auto"/>
        <w:tabs>
          <w:tab w:leader="none" w:pos="11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place or places where the principal of and interest, if any, on the debt securities of the series will be payable, where the debt securities of such series may be surrendered for registration of transfer or exchange and where notices and demands to or upon us with respect to the debt securities of such series and the indenture may be served, and the method of such payment, if by wire transfer, mail or other means if other than as set forth in the indenture;</w:t>
      </w:r>
    </w:p>
    <w:p>
      <w:pPr>
        <w:spacing w:after="0" w:line="56" w:lineRule="exact"/>
        <w:rPr>
          <w:rFonts w:ascii="Arial" w:cs="Arial" w:eastAsia="Arial" w:hAnsi="Arial"/>
          <w:sz w:val="13"/>
          <w:szCs w:val="13"/>
          <w:color w:val="auto"/>
        </w:rPr>
      </w:pPr>
    </w:p>
    <w:p>
      <w:pPr>
        <w:ind w:left="1140" w:right="699" w:hanging="328"/>
        <w:spacing w:after="0" w:line="262" w:lineRule="auto"/>
        <w:tabs>
          <w:tab w:leader="none" w:pos="11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date or dates from which such interest will accrue, the dates on which such interest will be payable or the manner of determination of such dates, and the record date for the determination of holders to whom interest is payable on any such dates;</w:t>
      </w:r>
    </w:p>
    <w:p>
      <w:pPr>
        <w:spacing w:after="0" w:line="52" w:lineRule="exact"/>
        <w:rPr>
          <w:rFonts w:ascii="Arial" w:cs="Arial" w:eastAsia="Arial" w:hAnsi="Arial"/>
          <w:sz w:val="13"/>
          <w:szCs w:val="13"/>
          <w:color w:val="auto"/>
        </w:rPr>
      </w:pPr>
    </w:p>
    <w:p>
      <w:pPr>
        <w:ind w:left="1140" w:right="959" w:hanging="328"/>
        <w:spacing w:after="0" w:line="282" w:lineRule="auto"/>
        <w:tabs>
          <w:tab w:leader="none" w:pos="11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any trustees, authenticating agents or paying agents with respect to such series, if different from those set forth in the indenture;</w:t>
      </w:r>
    </w:p>
    <w:p>
      <w:pPr>
        <w:spacing w:after="0" w:line="39" w:lineRule="exact"/>
        <w:rPr>
          <w:rFonts w:ascii="Arial" w:cs="Arial" w:eastAsia="Arial" w:hAnsi="Arial"/>
          <w:sz w:val="13"/>
          <w:szCs w:val="13"/>
          <w:color w:val="auto"/>
        </w:rPr>
      </w:pPr>
    </w:p>
    <w:p>
      <w:pPr>
        <w:ind w:left="1140" w:right="539" w:hanging="328"/>
        <w:spacing w:after="0" w:line="282" w:lineRule="auto"/>
        <w:tabs>
          <w:tab w:leader="none" w:pos="11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right, if any, to extend the interest payment periods or defer the payment of interest and the duration of such extension or deferral;</w:t>
      </w:r>
    </w:p>
    <w:p>
      <w:pPr>
        <w:spacing w:after="0" w:line="39" w:lineRule="exact"/>
        <w:rPr>
          <w:rFonts w:ascii="Arial" w:cs="Arial" w:eastAsia="Arial" w:hAnsi="Arial"/>
          <w:sz w:val="13"/>
          <w:szCs w:val="13"/>
          <w:color w:val="auto"/>
        </w:rPr>
      </w:pPr>
    </w:p>
    <w:p>
      <w:pPr>
        <w:ind w:left="1140" w:right="459" w:hanging="328"/>
        <w:spacing w:after="0" w:line="282" w:lineRule="auto"/>
        <w:tabs>
          <w:tab w:leader="none" w:pos="11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period or periods within which, the price or prices at which and the terms and conditions upon which, debt securities of the series may be redeemed by us, in whole or in part, at our option;</w:t>
      </w:r>
    </w:p>
    <w:p>
      <w:pPr>
        <w:spacing w:after="0" w:line="39" w:lineRule="exact"/>
        <w:rPr>
          <w:rFonts w:ascii="Arial" w:cs="Arial" w:eastAsia="Arial" w:hAnsi="Arial"/>
          <w:sz w:val="13"/>
          <w:szCs w:val="13"/>
          <w:color w:val="auto"/>
        </w:rPr>
      </w:pPr>
    </w:p>
    <w:p>
      <w:pPr>
        <w:ind w:left="1140" w:right="679" w:hanging="328"/>
        <w:spacing w:after="0" w:line="255" w:lineRule="auto"/>
        <w:tabs>
          <w:tab w:leader="none" w:pos="11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will be redeemed, purchased or repaid, in whole or in part, pursuant to such obligation;</w:t>
      </w:r>
    </w:p>
    <w:p>
      <w:pPr>
        <w:spacing w:after="0" w:line="56" w:lineRule="exact"/>
        <w:rPr>
          <w:rFonts w:ascii="Arial" w:cs="Arial" w:eastAsia="Arial" w:hAnsi="Arial"/>
          <w:sz w:val="13"/>
          <w:szCs w:val="13"/>
          <w:color w:val="auto"/>
        </w:rPr>
      </w:pPr>
    </w:p>
    <w:p>
      <w:pPr>
        <w:ind w:left="1140" w:hanging="328"/>
        <w:spacing w:after="0"/>
        <w:tabs>
          <w:tab w:leader="none" w:pos="11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form of the debt securities of the series including the form of the trustee’s certificate of authentication for such series;</w:t>
      </w:r>
    </w:p>
    <w:p>
      <w:pPr>
        <w:spacing w:after="0" w:line="91" w:lineRule="exact"/>
        <w:rPr>
          <w:rFonts w:ascii="Arial" w:cs="Arial" w:eastAsia="Arial" w:hAnsi="Arial"/>
          <w:sz w:val="13"/>
          <w:szCs w:val="13"/>
          <w:color w:val="auto"/>
        </w:rPr>
      </w:pPr>
    </w:p>
    <w:p>
      <w:pPr>
        <w:ind w:left="1140" w:right="639" w:hanging="328"/>
        <w:spacing w:after="0" w:line="282" w:lineRule="auto"/>
        <w:tabs>
          <w:tab w:leader="none" w:pos="11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if other than denominations of $2,000 or integral multiples of $1,000 in excess thereof, the denominations in which the debt securities of the series will be issuable;</w:t>
      </w:r>
    </w:p>
    <w:p>
      <w:pPr>
        <w:spacing w:after="0" w:line="39" w:lineRule="exact"/>
        <w:rPr>
          <w:rFonts w:ascii="Arial" w:cs="Arial" w:eastAsia="Arial" w:hAnsi="Arial"/>
          <w:sz w:val="13"/>
          <w:szCs w:val="13"/>
          <w:color w:val="auto"/>
        </w:rPr>
      </w:pPr>
    </w:p>
    <w:p>
      <w:pPr>
        <w:ind w:left="1140" w:right="579" w:hanging="328"/>
        <w:spacing w:after="0" w:line="282" w:lineRule="auto"/>
        <w:tabs>
          <w:tab w:leader="none" w:pos="11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currency or currencies in which payment of the principal of, premium, if any, and interest on, debt securities of the series will be payable;</w:t>
      </w:r>
    </w:p>
    <w:p>
      <w:pPr>
        <w:spacing w:after="0" w:line="39" w:lineRule="exact"/>
        <w:rPr>
          <w:rFonts w:ascii="Arial" w:cs="Arial" w:eastAsia="Arial" w:hAnsi="Arial"/>
          <w:sz w:val="13"/>
          <w:szCs w:val="13"/>
          <w:color w:val="auto"/>
        </w:rPr>
      </w:pPr>
    </w:p>
    <w:p>
      <w:pPr>
        <w:ind w:left="1140" w:right="679" w:hanging="328"/>
        <w:spacing w:after="0" w:line="282" w:lineRule="auto"/>
        <w:tabs>
          <w:tab w:leader="none" w:pos="11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if other than the principal amount thereof, the portion of the principal amount of the debt securities of the series that will be payable upon declaration of acceleration of the maturity thereof;</w:t>
      </w:r>
    </w:p>
    <w:p>
      <w:pPr>
        <w:spacing w:after="0" w:line="39" w:lineRule="exact"/>
        <w:rPr>
          <w:rFonts w:ascii="Arial" w:cs="Arial" w:eastAsia="Arial" w:hAnsi="Arial"/>
          <w:sz w:val="13"/>
          <w:szCs w:val="13"/>
          <w:color w:val="auto"/>
        </w:rPr>
      </w:pPr>
    </w:p>
    <w:p>
      <w:pPr>
        <w:ind w:left="1140" w:hanging="328"/>
        <w:spacing w:after="0"/>
        <w:tabs>
          <w:tab w:leader="none" w:pos="11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terms of any repurchase or remarketing rights;</w:t>
      </w:r>
    </w:p>
    <w:p>
      <w:pPr>
        <w:spacing w:after="0" w:line="91" w:lineRule="exact"/>
        <w:rPr>
          <w:rFonts w:ascii="Arial" w:cs="Arial" w:eastAsia="Arial" w:hAnsi="Arial"/>
          <w:sz w:val="13"/>
          <w:szCs w:val="13"/>
          <w:color w:val="auto"/>
        </w:rPr>
      </w:pPr>
    </w:p>
    <w:p>
      <w:pPr>
        <w:ind w:left="1140" w:right="719" w:hanging="328"/>
        <w:spacing w:after="0" w:line="282" w:lineRule="auto"/>
        <w:tabs>
          <w:tab w:leader="none" w:pos="11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if the debt securities of the series will be issued in whole or in part in the form of a global security or securities, the type of global security to be issued; the terms and conditions, if</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9019"/>
          </w:cols>
          <w:pgMar w:left="1440" w:top="237" w:right="1440" w:bottom="1440" w:gutter="0" w:footer="0" w:header="0"/>
        </w:sectPr>
      </w:pPr>
    </w:p>
    <w:bookmarkStart w:id="64" w:name="page65"/>
    <w:bookmarkEnd w:id="64"/>
    <w:p>
      <w:pPr>
        <w:ind w:left="1140" w:right="439"/>
        <w:spacing w:after="0" w:line="25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205980" cy="31750"/>
                    </a:xfrm>
                    <a:prstGeom prst="rect">
                      <a:avLst/>
                    </a:prstGeom>
                    <a:noFill/>
                  </pic:spPr>
                </pic:pic>
              </a:graphicData>
            </a:graphic>
          </wp:anchor>
        </w:drawing>
        <w:t>different from those contained in the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w:t>
      </w:r>
    </w:p>
    <w:p>
      <w:pPr>
        <w:spacing w:after="0" w:line="57" w:lineRule="exact"/>
        <w:rPr>
          <w:sz w:val="20"/>
          <w:szCs w:val="20"/>
          <w:color w:val="auto"/>
        </w:rPr>
      </w:pPr>
    </w:p>
    <w:p>
      <w:pPr>
        <w:ind w:left="1140" w:right="439" w:hanging="328"/>
        <w:spacing w:after="0" w:line="255" w:lineRule="auto"/>
        <w:tabs>
          <w:tab w:leader="none" w:pos="11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any additional restrictive covenants or events of default that will apply to the debt securities of the series, or any changes to the restrictive covenants or events of default set forth in the indenture that will apply to the debt securities of the series, which may consist of establishing different terms or provisions from those set forth in the indenture or eliminating any such restrictive covenant or event of default with respect to the debt securities of the series;</w:t>
      </w:r>
    </w:p>
    <w:p>
      <w:pPr>
        <w:spacing w:after="0" w:line="56" w:lineRule="exact"/>
        <w:rPr>
          <w:rFonts w:ascii="Arial" w:cs="Arial" w:eastAsia="Arial" w:hAnsi="Arial"/>
          <w:sz w:val="13"/>
          <w:szCs w:val="13"/>
          <w:color w:val="auto"/>
        </w:rPr>
      </w:pPr>
    </w:p>
    <w:p>
      <w:pPr>
        <w:ind w:left="1140" w:hanging="328"/>
        <w:spacing w:after="0"/>
        <w:tabs>
          <w:tab w:leader="none" w:pos="11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any provisions granting special rights to holders when a specified event occurs;</w:t>
      </w:r>
    </w:p>
    <w:p>
      <w:pPr>
        <w:spacing w:after="0" w:line="91" w:lineRule="exact"/>
        <w:rPr>
          <w:rFonts w:ascii="Arial" w:cs="Arial" w:eastAsia="Arial" w:hAnsi="Arial"/>
          <w:sz w:val="13"/>
          <w:szCs w:val="13"/>
          <w:color w:val="auto"/>
        </w:rPr>
      </w:pPr>
    </w:p>
    <w:p>
      <w:pPr>
        <w:ind w:left="1140" w:right="699" w:hanging="328"/>
        <w:spacing w:after="0" w:line="282" w:lineRule="auto"/>
        <w:tabs>
          <w:tab w:leader="none" w:pos="11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if the amount of principal or any premium or interest on debt securities of a series may be determined with reference to an index or pursuant to a formula, the manner in which such amounts will be determined;</w:t>
      </w:r>
    </w:p>
    <w:p>
      <w:pPr>
        <w:spacing w:after="0" w:line="39" w:lineRule="exact"/>
        <w:rPr>
          <w:rFonts w:ascii="Arial" w:cs="Arial" w:eastAsia="Arial" w:hAnsi="Arial"/>
          <w:sz w:val="13"/>
          <w:szCs w:val="13"/>
          <w:color w:val="auto"/>
        </w:rPr>
      </w:pPr>
    </w:p>
    <w:p>
      <w:pPr>
        <w:ind w:left="1140" w:hanging="328"/>
        <w:spacing w:after="0"/>
        <w:tabs>
          <w:tab w:leader="none" w:pos="11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any special tax implications of the debt securities, including provisions for original issue discount securities, if offered;</w:t>
      </w:r>
    </w:p>
    <w:p>
      <w:pPr>
        <w:spacing w:after="0" w:line="91" w:lineRule="exact"/>
        <w:rPr>
          <w:rFonts w:ascii="Arial" w:cs="Arial" w:eastAsia="Arial" w:hAnsi="Arial"/>
          <w:sz w:val="13"/>
          <w:szCs w:val="13"/>
          <w:color w:val="auto"/>
        </w:rPr>
      </w:pPr>
    </w:p>
    <w:p>
      <w:pPr>
        <w:ind w:left="1140" w:right="839" w:hanging="328"/>
        <w:spacing w:after="0" w:line="282" w:lineRule="auto"/>
        <w:tabs>
          <w:tab w:leader="none" w:pos="11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whether and upon what terms debt securities of a series may be defeased if different from the provisions set forth in the indenture;</w:t>
      </w:r>
    </w:p>
    <w:p>
      <w:pPr>
        <w:spacing w:after="0" w:line="39" w:lineRule="exact"/>
        <w:rPr>
          <w:rFonts w:ascii="Arial" w:cs="Arial" w:eastAsia="Arial" w:hAnsi="Arial"/>
          <w:sz w:val="13"/>
          <w:szCs w:val="13"/>
          <w:color w:val="auto"/>
        </w:rPr>
      </w:pPr>
    </w:p>
    <w:p>
      <w:pPr>
        <w:ind w:left="1140" w:right="779" w:hanging="328"/>
        <w:spacing w:after="0" w:line="282" w:lineRule="auto"/>
        <w:tabs>
          <w:tab w:leader="none" w:pos="11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39" w:lineRule="exact"/>
        <w:rPr>
          <w:rFonts w:ascii="Arial" w:cs="Arial" w:eastAsia="Arial" w:hAnsi="Arial"/>
          <w:sz w:val="13"/>
          <w:szCs w:val="13"/>
          <w:color w:val="auto"/>
        </w:rPr>
      </w:pPr>
    </w:p>
    <w:p>
      <w:pPr>
        <w:ind w:left="1140" w:hanging="328"/>
        <w:spacing w:after="0"/>
        <w:tabs>
          <w:tab w:leader="none" w:pos="11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any guarantees on the debt securities of the series, if different from the provisions set forth in the indenture;</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provisions, if any, relating to any security provided for the debt securities of the series;</w:t>
      </w:r>
    </w:p>
    <w:p>
      <w:pPr>
        <w:spacing w:after="0" w:line="91" w:lineRule="exact"/>
        <w:rPr>
          <w:rFonts w:ascii="Arial" w:cs="Arial" w:eastAsia="Arial" w:hAnsi="Arial"/>
          <w:sz w:val="13"/>
          <w:szCs w:val="13"/>
          <w:color w:val="auto"/>
        </w:rPr>
      </w:pPr>
    </w:p>
    <w:p>
      <w:pPr>
        <w:ind w:left="1140" w:right="859" w:hanging="328"/>
        <w:spacing w:after="0" w:line="282" w:lineRule="auto"/>
        <w:tabs>
          <w:tab w:leader="none" w:pos="11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any depositaries, interest rate calculation agents, exchange rate calculation agents or other agents with respect to debt securities of such series if other than those appointed in the indenture;</w:t>
      </w:r>
    </w:p>
    <w:p>
      <w:pPr>
        <w:spacing w:after="0" w:line="39" w:lineRule="exact"/>
        <w:rPr>
          <w:rFonts w:ascii="Arial" w:cs="Arial" w:eastAsia="Arial" w:hAnsi="Arial"/>
          <w:sz w:val="13"/>
          <w:szCs w:val="13"/>
          <w:color w:val="auto"/>
        </w:rPr>
      </w:pPr>
    </w:p>
    <w:p>
      <w:pPr>
        <w:ind w:left="1140" w:right="499" w:hanging="328"/>
        <w:spacing w:after="0" w:line="249" w:lineRule="auto"/>
        <w:tabs>
          <w:tab w:leader="none" w:pos="11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whether the debt securities of the series will be convertible into or exchangeable for other debt securities, common shares or other securities of any kind of the Company or another obligor,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our option, the conversion or exchange period, and any other provision in addition to or in lieu of those described herein;</w:t>
      </w:r>
    </w:p>
    <w:p>
      <w:pPr>
        <w:spacing w:after="0" w:line="62" w:lineRule="exact"/>
        <w:rPr>
          <w:rFonts w:ascii="Arial" w:cs="Arial" w:eastAsia="Arial" w:hAnsi="Arial"/>
          <w:sz w:val="13"/>
          <w:szCs w:val="13"/>
          <w:color w:val="auto"/>
        </w:rPr>
      </w:pPr>
    </w:p>
    <w:p>
      <w:pPr>
        <w:ind w:left="1140" w:right="499" w:hanging="328"/>
        <w:spacing w:after="0" w:line="262" w:lineRule="auto"/>
        <w:tabs>
          <w:tab w:leader="none" w:pos="11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any and all additional, eliminated or changed terms that will apply to the debt securities of the series, including any terms that may be required by or advisable under U.S. laws or regulations, including the Securities Act and the rules and regulations promulgated thereunder, or advisable in connection with the marketing of debt securities of that series; and</w:t>
      </w:r>
    </w:p>
    <w:p>
      <w:pPr>
        <w:spacing w:after="0" w:line="52" w:lineRule="exact"/>
        <w:rPr>
          <w:rFonts w:ascii="Arial" w:cs="Arial" w:eastAsia="Arial" w:hAnsi="Arial"/>
          <w:sz w:val="13"/>
          <w:szCs w:val="13"/>
          <w:color w:val="auto"/>
        </w:rPr>
      </w:pPr>
    </w:p>
    <w:p>
      <w:pPr>
        <w:ind w:left="1140" w:hanging="328"/>
        <w:spacing w:after="0"/>
        <w:tabs>
          <w:tab w:leader="none" w:pos="11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with regard to the debt securities of any series that do not bear interest, the dates for certain required reports to the trustee.</w:t>
      </w:r>
    </w:p>
    <w:p>
      <w:pPr>
        <w:spacing w:after="0" w:line="162" w:lineRule="exact"/>
        <w:rPr>
          <w:sz w:val="20"/>
          <w:szCs w:val="20"/>
          <w:color w:val="auto"/>
        </w:rPr>
      </w:pPr>
    </w:p>
    <w:p>
      <w:pPr>
        <w:ind w:left="420" w:right="559" w:firstLine="327"/>
        <w:spacing w:after="0" w:line="262" w:lineRule="auto"/>
        <w:rPr>
          <w:sz w:val="20"/>
          <w:szCs w:val="20"/>
          <w:color w:val="auto"/>
        </w:rPr>
      </w:pPr>
      <w:r>
        <w:rPr>
          <w:rFonts w:ascii="Arial" w:cs="Arial" w:eastAsia="Arial" w:hAnsi="Arial"/>
          <w:sz w:val="13"/>
          <w:szCs w:val="13"/>
          <w:color w:val="auto"/>
        </w:rPr>
        <w:t>We will comply with Section 14(e) under the Exchange Act, to the extent applicable, and with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9019"/>
          </w:cols>
          <w:pgMar w:left="1440" w:top="237" w:right="1440" w:bottom="1440" w:gutter="0" w:footer="0" w:header="0"/>
        </w:sectPr>
      </w:pPr>
    </w:p>
    <w:bookmarkStart w:id="65" w:name="page66"/>
    <w:bookmarkEnd w:id="65"/>
    <w:p>
      <w:pPr>
        <w:ind w:left="420" w:right="859" w:firstLine="327"/>
        <w:spacing w:after="0" w:line="26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205980" cy="31750"/>
                    </a:xfrm>
                    <a:prstGeom prst="rect">
                      <a:avLst/>
                    </a:prstGeom>
                    <a:noFill/>
                  </pic:spPr>
                </pic:pic>
              </a:graphicData>
            </a:graphic>
          </wp:anchor>
        </w:drawing>
        <w:t>Unless otherwise described in a prospectus supplement relating to any debt securities, there are no covenants or provisions contained in the indenture that may afford the holders of debt securities protection in the event that we enter into a highly leveraged transaction.</w:t>
      </w:r>
    </w:p>
    <w:p>
      <w:pPr>
        <w:spacing w:after="0" w:line="122" w:lineRule="exact"/>
        <w:rPr>
          <w:sz w:val="20"/>
          <w:szCs w:val="20"/>
          <w:color w:val="auto"/>
        </w:rPr>
      </w:pPr>
    </w:p>
    <w:p>
      <w:pPr>
        <w:ind w:left="420" w:right="879" w:firstLine="327"/>
        <w:spacing w:after="0" w:line="262" w:lineRule="auto"/>
        <w:rPr>
          <w:sz w:val="20"/>
          <w:szCs w:val="20"/>
          <w:color w:val="auto"/>
        </w:rPr>
      </w:pPr>
      <w:r>
        <w:rPr>
          <w:rFonts w:ascii="Arial" w:cs="Arial" w:eastAsia="Arial" w:hAnsi="Arial"/>
          <w:sz w:val="13"/>
          <w:szCs w:val="13"/>
          <w:color w:val="auto"/>
        </w:rPr>
        <w:t>The statements made hereunder relating to the indenture and any debt securities that we may issue are summaries of certain provisions thereof and are qualified in their entirety by reference to all provisions of the indenture and the debt securities and the descriptions thereof, if different, in the applicable prospectus supplement.</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Guarantees</w:t>
      </w:r>
    </w:p>
    <w:p>
      <w:pPr>
        <w:spacing w:after="0" w:line="83" w:lineRule="exact"/>
        <w:rPr>
          <w:sz w:val="20"/>
          <w:szCs w:val="20"/>
          <w:color w:val="auto"/>
        </w:rPr>
      </w:pPr>
    </w:p>
    <w:p>
      <w:pPr>
        <w:ind w:left="420" w:right="519" w:firstLine="327"/>
        <w:spacing w:after="0" w:line="255" w:lineRule="auto"/>
        <w:rPr>
          <w:sz w:val="20"/>
          <w:szCs w:val="20"/>
          <w:color w:val="auto"/>
        </w:rPr>
      </w:pPr>
      <w:r>
        <w:rPr>
          <w:rFonts w:ascii="Arial" w:cs="Arial" w:eastAsia="Arial" w:hAnsi="Arial"/>
          <w:sz w:val="13"/>
          <w:szCs w:val="13"/>
          <w:color w:val="auto"/>
        </w:rPr>
        <w:t>SLB N.V. (SLB Limited) will fully and unconditionally guarantee the due and punctual payment of the principal of, and any premium and interest on, the debt securities, and all other amounts payable under the indenture when and as they become due and payable, whether at maturity, upon acceleration, by call for redemption, repayment or otherwise in accordance with the terms of the indenture. The debt securities will not be guaranteed by any of the Guarantor’s subsidiaries.</w:t>
      </w:r>
    </w:p>
    <w:p>
      <w:pPr>
        <w:spacing w:after="0" w:line="127" w:lineRule="exact"/>
        <w:rPr>
          <w:sz w:val="20"/>
          <w:szCs w:val="20"/>
          <w:color w:val="auto"/>
        </w:rPr>
      </w:pPr>
    </w:p>
    <w:p>
      <w:pPr>
        <w:ind w:left="740"/>
        <w:spacing w:after="0"/>
        <w:rPr>
          <w:sz w:val="20"/>
          <w:szCs w:val="20"/>
          <w:color w:val="auto"/>
        </w:rPr>
      </w:pPr>
      <w:r>
        <w:rPr>
          <w:rFonts w:ascii="Arial" w:cs="Arial" w:eastAsia="Arial" w:hAnsi="Arial"/>
          <w:sz w:val="13"/>
          <w:szCs w:val="13"/>
          <w:color w:val="auto"/>
        </w:rPr>
        <w:t>The Guarantor will:</w:t>
      </w:r>
    </w:p>
    <w:p>
      <w:pPr>
        <w:spacing w:after="0" w:line="91" w:lineRule="exact"/>
        <w:rPr>
          <w:sz w:val="20"/>
          <w:szCs w:val="20"/>
          <w:color w:val="auto"/>
        </w:rPr>
      </w:pPr>
    </w:p>
    <w:p>
      <w:pPr>
        <w:jc w:val="both"/>
        <w:ind w:left="1140" w:right="519" w:hanging="328"/>
        <w:spacing w:after="0" w:line="262" w:lineRule="auto"/>
        <w:tabs>
          <w:tab w:leader="none" w:pos="11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agree that, if an event of default occurs under any of the debt securities, its obligations under the guarantees will be absolute and unconditional and will be enforceable irrespective of any invalidity, irregularity or unenforceability of the indenture or any supplement thereto; and</w:t>
      </w:r>
    </w:p>
    <w:p>
      <w:pPr>
        <w:spacing w:after="0" w:line="52" w:lineRule="exact"/>
        <w:rPr>
          <w:rFonts w:ascii="Arial" w:cs="Arial" w:eastAsia="Arial" w:hAnsi="Arial"/>
          <w:sz w:val="13"/>
          <w:szCs w:val="13"/>
          <w:color w:val="auto"/>
        </w:rPr>
      </w:pPr>
    </w:p>
    <w:p>
      <w:pPr>
        <w:ind w:left="1140" w:right="659" w:hanging="328"/>
        <w:spacing w:after="0" w:line="282" w:lineRule="auto"/>
        <w:tabs>
          <w:tab w:leader="none" w:pos="11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waive its right to require the trustee or the holders of any of the debt securities to pursue or exhaust their legal or equitable remedies against the Company before exercising their rights under the guarantees.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Ranking of the Debt Securities and the Guarantee</w:t>
      </w:r>
    </w:p>
    <w:p>
      <w:pPr>
        <w:spacing w:after="0" w:line="83" w:lineRule="exact"/>
        <w:rPr>
          <w:sz w:val="20"/>
          <w:szCs w:val="20"/>
          <w:color w:val="auto"/>
        </w:rPr>
      </w:pPr>
    </w:p>
    <w:p>
      <w:pPr>
        <w:ind w:left="740"/>
        <w:spacing w:after="0"/>
        <w:rPr>
          <w:sz w:val="20"/>
          <w:szCs w:val="20"/>
          <w:color w:val="auto"/>
        </w:rPr>
      </w:pPr>
      <w:r>
        <w:rPr>
          <w:rFonts w:ascii="Arial" w:cs="Arial" w:eastAsia="Arial" w:hAnsi="Arial"/>
          <w:sz w:val="13"/>
          <w:szCs w:val="13"/>
          <w:color w:val="auto"/>
        </w:rPr>
        <w:t>The debt securities of any series will be:</w:t>
      </w:r>
    </w:p>
    <w:p>
      <w:pPr>
        <w:spacing w:after="0" w:line="91" w:lineRule="exact"/>
        <w:rPr>
          <w:sz w:val="20"/>
          <w:szCs w:val="20"/>
          <w:color w:val="auto"/>
        </w:rPr>
      </w:pPr>
    </w:p>
    <w:p>
      <w:pPr>
        <w:ind w:left="1140" w:right="699" w:hanging="328"/>
        <w:spacing w:after="0" w:line="282" w:lineRule="auto"/>
        <w:tabs>
          <w:tab w:leader="none" w:pos="11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senior unsecured obligations of the Company and will rank equally and ratably with all of Company’s other unsecured and unsubordinated indebtedness; and</w:t>
      </w:r>
    </w:p>
    <w:p>
      <w:pPr>
        <w:spacing w:after="0" w:line="39" w:lineRule="exact"/>
        <w:rPr>
          <w:rFonts w:ascii="Arial" w:cs="Arial" w:eastAsia="Arial" w:hAnsi="Arial"/>
          <w:sz w:val="13"/>
          <w:szCs w:val="13"/>
          <w:color w:val="auto"/>
        </w:rPr>
      </w:pPr>
    </w:p>
    <w:p>
      <w:pPr>
        <w:ind w:left="1140" w:right="919" w:hanging="328"/>
        <w:spacing w:after="0" w:line="282" w:lineRule="auto"/>
        <w:tabs>
          <w:tab w:leader="none" w:pos="11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guaranteed on a senior unsecured basis by the Guarantor, which Guarantee will rank equally and ratably with all other unsecured and unsubordinated indebtedness of the Guarantor.</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Additional Amounts</w:t>
      </w:r>
    </w:p>
    <w:p>
      <w:pPr>
        <w:spacing w:after="0" w:line="83" w:lineRule="exact"/>
        <w:rPr>
          <w:sz w:val="20"/>
          <w:szCs w:val="20"/>
          <w:color w:val="auto"/>
        </w:rPr>
      </w:pPr>
    </w:p>
    <w:p>
      <w:pPr>
        <w:ind w:left="420" w:right="479" w:firstLine="327"/>
        <w:spacing w:after="0" w:line="245" w:lineRule="auto"/>
        <w:rPr>
          <w:sz w:val="20"/>
          <w:szCs w:val="20"/>
          <w:color w:val="auto"/>
        </w:rPr>
      </w:pPr>
      <w:r>
        <w:rPr>
          <w:rFonts w:ascii="Arial" w:cs="Arial" w:eastAsia="Arial" w:hAnsi="Arial"/>
          <w:sz w:val="13"/>
          <w:szCs w:val="13"/>
          <w:color w:val="auto"/>
        </w:rPr>
        <w:t>All payments made by the Company under or with respect to its debt securities,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or deemed made by or on behalf of the Company, or the Guarantor (including the jurisdiction of any Paying Agent for the applicable debt securities) or any political subdivision thereof or therein (each, together with each Relevant Tax Jurisdiction, a “Tax Jurisdiction”) will at any time be required to be made from any payments made or deemed made by or on behalf of the Company under or with respect to any of its debt securities, as applicable, or the Guarantor under or with respect to the Guarantee, including payments of principal, redemption price, interest or premium, the Company or the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9019"/>
          </w:cols>
          <w:pgMar w:left="1440" w:top="237" w:right="1440" w:bottom="1440" w:gutter="0" w:footer="0" w:header="0"/>
        </w:sectPr>
      </w:pPr>
    </w:p>
    <w:bookmarkStart w:id="66" w:name="page67"/>
    <w:bookmarkEnd w:id="66"/>
    <w:p>
      <w:pPr>
        <w:ind w:left="420" w:right="519"/>
        <w:spacing w:after="0" w:line="25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205980" cy="31750"/>
                    </a:xfrm>
                    <a:prstGeom prst="rect">
                      <a:avLst/>
                    </a:prstGeom>
                    <a:noFill/>
                  </pic:spPr>
                </pic:pic>
              </a:graphicData>
            </a:graphic>
          </wp:anchor>
        </w:drawing>
        <w:t>Guarantor, as applicable, will pay such additional amounts (the “Additional Amounts”) as may be necessary in order that the net amounts received in respect of such payments by each beneficial owner of the applicable debt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61" w:lineRule="exact"/>
        <w:rPr>
          <w:sz w:val="20"/>
          <w:szCs w:val="20"/>
          <w:color w:val="auto"/>
        </w:rPr>
      </w:pPr>
    </w:p>
    <w:p>
      <w:pPr>
        <w:ind w:left="1140" w:right="559" w:hanging="409"/>
        <w:spacing w:after="0" w:line="249" w:lineRule="auto"/>
        <w:tabs>
          <w:tab w:leader="none" w:pos="11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any Taxes, to the extent such Taxes would not have been imposed but for the existence of any actual or deemed present or former connection between the holder or the beneficial owner of such debt securities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under the Guarantee or the receipt of any payments in respect of such debt securities or Guarantee;</w:t>
      </w:r>
    </w:p>
    <w:p>
      <w:pPr>
        <w:spacing w:after="0" w:line="62" w:lineRule="exact"/>
        <w:rPr>
          <w:rFonts w:ascii="Arial" w:cs="Arial" w:eastAsia="Arial" w:hAnsi="Arial"/>
          <w:sz w:val="13"/>
          <w:szCs w:val="13"/>
          <w:color w:val="auto"/>
        </w:rPr>
      </w:pPr>
    </w:p>
    <w:p>
      <w:pPr>
        <w:ind w:left="1140" w:right="539" w:hanging="409"/>
        <w:spacing w:after="0" w:line="255" w:lineRule="auto"/>
        <w:tabs>
          <w:tab w:leader="none" w:pos="11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 day period);</w:t>
      </w:r>
    </w:p>
    <w:p>
      <w:pPr>
        <w:spacing w:after="0" w:line="56" w:lineRule="exact"/>
        <w:rPr>
          <w:rFonts w:ascii="Arial" w:cs="Arial" w:eastAsia="Arial" w:hAnsi="Arial"/>
          <w:sz w:val="13"/>
          <w:szCs w:val="13"/>
          <w:color w:val="auto"/>
        </w:rPr>
      </w:pPr>
    </w:p>
    <w:p>
      <w:pPr>
        <w:ind w:left="1140" w:hanging="409"/>
        <w:spacing w:after="0"/>
        <w:tabs>
          <w:tab w:leader="none" w:pos="11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any estate, inheritance, gift, sales, transfer, personal property or similar Taxes;</w:t>
      </w:r>
    </w:p>
    <w:p>
      <w:pPr>
        <w:spacing w:after="0" w:line="91" w:lineRule="exact"/>
        <w:rPr>
          <w:rFonts w:ascii="Arial" w:cs="Arial" w:eastAsia="Arial" w:hAnsi="Arial"/>
          <w:sz w:val="13"/>
          <w:szCs w:val="13"/>
          <w:color w:val="auto"/>
        </w:rPr>
      </w:pPr>
    </w:p>
    <w:p>
      <w:pPr>
        <w:ind w:left="1140" w:right="439" w:hanging="409"/>
        <w:spacing w:after="0" w:line="262" w:lineRule="auto"/>
        <w:tabs>
          <w:tab w:leader="none" w:pos="11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52" w:lineRule="exact"/>
        <w:rPr>
          <w:rFonts w:ascii="Arial" w:cs="Arial" w:eastAsia="Arial" w:hAnsi="Arial"/>
          <w:sz w:val="13"/>
          <w:szCs w:val="13"/>
          <w:color w:val="auto"/>
        </w:rPr>
      </w:pPr>
    </w:p>
    <w:p>
      <w:pPr>
        <w:ind w:left="1140" w:right="599" w:hanging="409"/>
        <w:spacing w:after="0" w:line="255" w:lineRule="auto"/>
        <w:tabs>
          <w:tab w:leader="none" w:pos="11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any Taxes withheld, deducted or imposed on a payment to an individual that are required to be made pursuant to European Council Directive 2003/48/EC or any other directive implementing the conclusions of the ECOFIN Council meeting of November 26 and 27, 2000 on the taxation of savings income, or any law implementing or complying with or introduced in order to conform to, such directive;</w:t>
      </w:r>
    </w:p>
    <w:p>
      <w:pPr>
        <w:spacing w:after="0" w:line="56" w:lineRule="exact"/>
        <w:rPr>
          <w:rFonts w:ascii="Arial" w:cs="Arial" w:eastAsia="Arial" w:hAnsi="Arial"/>
          <w:sz w:val="13"/>
          <w:szCs w:val="13"/>
          <w:color w:val="auto"/>
        </w:rPr>
      </w:pPr>
    </w:p>
    <w:p>
      <w:pPr>
        <w:jc w:val="both"/>
        <w:ind w:left="1140" w:right="659" w:hanging="409"/>
        <w:spacing w:after="0" w:line="262" w:lineRule="auto"/>
        <w:tabs>
          <w:tab w:leader="none" w:pos="11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any Taxes imposed on or with respect to a payment made to a holder of such debt securities who would have been able to avoid such withholding or deduction by presenting such debt securities (where presentation is required) to another Paying Agent;</w:t>
      </w:r>
    </w:p>
    <w:p>
      <w:pPr>
        <w:spacing w:after="0" w:line="52" w:lineRule="exact"/>
        <w:rPr>
          <w:rFonts w:ascii="Arial" w:cs="Arial" w:eastAsia="Arial" w:hAnsi="Arial"/>
          <w:sz w:val="13"/>
          <w:szCs w:val="13"/>
          <w:color w:val="auto"/>
        </w:rPr>
      </w:pPr>
    </w:p>
    <w:p>
      <w:pPr>
        <w:ind w:left="1140" w:right="459" w:hanging="409"/>
        <w:spacing w:after="0" w:line="282" w:lineRule="auto"/>
        <w:tabs>
          <w:tab w:leader="none" w:pos="11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any Taxes payable other than by deduction or withholding from payments under, or with respect to, such debt securities or the Guarantee;</w:t>
      </w:r>
    </w:p>
    <w:p>
      <w:pPr>
        <w:spacing w:after="0" w:line="39" w:lineRule="exact"/>
        <w:rPr>
          <w:rFonts w:ascii="Arial" w:cs="Arial" w:eastAsia="Arial" w:hAnsi="Arial"/>
          <w:sz w:val="13"/>
          <w:szCs w:val="13"/>
          <w:color w:val="auto"/>
        </w:rPr>
      </w:pPr>
    </w:p>
    <w:p>
      <w:pPr>
        <w:ind w:left="1140" w:right="539" w:hanging="409"/>
        <w:spacing w:after="0" w:line="248" w:lineRule="auto"/>
        <w:tabs>
          <w:tab w:leader="none" w:pos="11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any Taxes to the extent such Taxes are imposed or withheld by reason of the failure of the holder or beneficial owner of such debt securities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62" w:lineRule="exact"/>
        <w:rPr>
          <w:rFonts w:ascii="Arial" w:cs="Arial" w:eastAsia="Arial" w:hAnsi="Arial"/>
          <w:sz w:val="13"/>
          <w:szCs w:val="13"/>
          <w:color w:val="auto"/>
        </w:rPr>
      </w:pPr>
    </w:p>
    <w:p>
      <w:pPr>
        <w:ind w:left="1140" w:hanging="409"/>
        <w:spacing w:after="0"/>
        <w:tabs>
          <w:tab w:leader="none" w:pos="11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any combination of items (1) through (8) above.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9019"/>
          </w:cols>
          <w:pgMar w:left="1440" w:top="237" w:right="1440" w:bottom="1440" w:gutter="0" w:footer="0" w:header="0"/>
        </w:sectPr>
      </w:pPr>
    </w:p>
    <w:bookmarkStart w:id="67" w:name="page68"/>
    <w:bookmarkEnd w:id="67"/>
    <w:p>
      <w:pPr>
        <w:ind w:left="420" w:right="439" w:firstLine="327"/>
        <w:spacing w:after="0" w:line="25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205980" cy="31750"/>
                    </a:xfrm>
                    <a:prstGeom prst="rect">
                      <a:avLst/>
                    </a:prstGeom>
                    <a:noFill/>
                  </pic:spPr>
                </pic:pic>
              </a:graphicData>
            </a:graphic>
          </wp:anchor>
        </w:drawing>
        <w:t>In addition to the foregoing, the Company and the Guarantor, as the case may be, will also pay and indemnify the holder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its debt securities, or the related indenture, Guarantee or any other document or instrument referred to therein.</w:t>
      </w:r>
    </w:p>
    <w:p>
      <w:pPr>
        <w:spacing w:after="0" w:line="131" w:lineRule="exact"/>
        <w:rPr>
          <w:sz w:val="20"/>
          <w:szCs w:val="20"/>
          <w:color w:val="auto"/>
        </w:rPr>
      </w:pPr>
    </w:p>
    <w:p>
      <w:pPr>
        <w:ind w:left="420" w:right="479" w:firstLine="327"/>
        <w:spacing w:after="0" w:line="247" w:lineRule="auto"/>
        <w:rPr>
          <w:sz w:val="20"/>
          <w:szCs w:val="20"/>
          <w:color w:val="auto"/>
        </w:rPr>
      </w:pPr>
      <w:r>
        <w:rPr>
          <w:rFonts w:ascii="Arial" w:cs="Arial" w:eastAsia="Arial" w:hAnsi="Arial"/>
          <w:sz w:val="13"/>
          <w:szCs w:val="13"/>
          <w:color w:val="auto"/>
        </w:rPr>
        <w:t>If the Company or the Guarantor, as the case may be, becomes aware that it will be obligated to pay Additional Amounts with respect to any payment under or with respect to its debt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will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w:t>
      </w:r>
    </w:p>
    <w:p>
      <w:pPr>
        <w:spacing w:after="0" w:line="134" w:lineRule="exact"/>
        <w:rPr>
          <w:sz w:val="20"/>
          <w:szCs w:val="20"/>
          <w:color w:val="auto"/>
        </w:rPr>
      </w:pPr>
    </w:p>
    <w:p>
      <w:pPr>
        <w:ind w:left="420" w:right="499" w:firstLine="327"/>
        <w:spacing w:after="0" w:line="255" w:lineRule="auto"/>
        <w:rPr>
          <w:sz w:val="20"/>
          <w:szCs w:val="20"/>
          <w:color w:val="auto"/>
        </w:rPr>
      </w:pPr>
      <w:r>
        <w:rPr>
          <w:rFonts w:ascii="Arial" w:cs="Arial" w:eastAsia="Arial" w:hAnsi="Arial"/>
          <w:sz w:val="13"/>
          <w:szCs w:val="13"/>
          <w:color w:val="auto"/>
        </w:rPr>
        <w:t>The Company or the Guarantor, as the case may be, will make all withholdings and deductions required by law in respect of its debt 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w:t>
      </w:r>
    </w:p>
    <w:p>
      <w:pPr>
        <w:spacing w:after="0" w:line="127" w:lineRule="exact"/>
        <w:rPr>
          <w:sz w:val="20"/>
          <w:szCs w:val="20"/>
          <w:color w:val="auto"/>
        </w:rPr>
      </w:pPr>
    </w:p>
    <w:p>
      <w:pPr>
        <w:ind w:left="420" w:right="479" w:firstLine="327"/>
        <w:spacing w:after="0" w:line="255" w:lineRule="auto"/>
        <w:rPr>
          <w:sz w:val="20"/>
          <w:szCs w:val="20"/>
          <w:color w:val="auto"/>
        </w:rPr>
      </w:pPr>
      <w:r>
        <w:rPr>
          <w:rFonts w:ascii="Arial" w:cs="Arial" w:eastAsia="Arial" w:hAnsi="Arial"/>
          <w:sz w:val="13"/>
          <w:szCs w:val="13"/>
          <w:color w:val="auto"/>
        </w:rPr>
        <w:t>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27" w:lineRule="exact"/>
        <w:rPr>
          <w:sz w:val="20"/>
          <w:szCs w:val="20"/>
          <w:color w:val="auto"/>
        </w:rPr>
      </w:pPr>
    </w:p>
    <w:p>
      <w:pPr>
        <w:ind w:left="420" w:right="499" w:firstLine="327"/>
        <w:spacing w:after="0" w:line="255" w:lineRule="auto"/>
        <w:rPr>
          <w:sz w:val="20"/>
          <w:szCs w:val="20"/>
          <w:color w:val="auto"/>
        </w:rPr>
      </w:pPr>
      <w:r>
        <w:rPr>
          <w:rFonts w:ascii="Arial" w:cs="Arial" w:eastAsia="Arial" w:hAnsi="Arial"/>
          <w:sz w:val="13"/>
          <w:szCs w:val="13"/>
          <w:color w:val="auto"/>
        </w:rPr>
        <w:t>Whenever in the indenture or in this “Description of Debt Securities” there is mentioned, in any context, the payment of amounts based upon the principal amount of the debt securities or of principal, interest or of any other amount payable under, or with respect to, any of the debt securities or any Guarantee, such mention will be deemed to include mention of the payment of Additional Amounts to the extent that, in such context, Additional Amounts are, were or would be payable in respect thereof.</w:t>
      </w:r>
    </w:p>
    <w:p>
      <w:pPr>
        <w:spacing w:after="0" w:line="127" w:lineRule="exact"/>
        <w:rPr>
          <w:sz w:val="20"/>
          <w:szCs w:val="20"/>
          <w:color w:val="auto"/>
        </w:rPr>
      </w:pPr>
    </w:p>
    <w:p>
      <w:pPr>
        <w:ind w:left="420" w:right="599" w:firstLine="327"/>
        <w:spacing w:after="0" w:line="255" w:lineRule="auto"/>
        <w:rPr>
          <w:sz w:val="20"/>
          <w:szCs w:val="20"/>
          <w:color w:val="auto"/>
        </w:rPr>
      </w:pPr>
      <w:r>
        <w:rPr>
          <w:rFonts w:ascii="Arial" w:cs="Arial" w:eastAsia="Arial" w:hAnsi="Arial"/>
          <w:sz w:val="13"/>
          <w:szCs w:val="13"/>
          <w:color w:val="auto"/>
        </w:rPr>
        <w:t>The above obligations will survive any termination, defeasance or discharge of the indenture, any transfer by a holder or beneficial owner of its debt securities, and will apply, mutatis mutandis, to any jurisdiction in which any successor person to the Company or the Guarantor is incorporated, organized or resident for tax purposes or any jurisdiction from or through which payment is made by or on behalf of such person on the applicable debt securities (or any Guarantee) and any political subdivision thereof or therein.</w:t>
      </w:r>
    </w:p>
    <w:p>
      <w:pPr>
        <w:spacing w:after="0" w:line="127" w:lineRule="exact"/>
        <w:rPr>
          <w:sz w:val="20"/>
          <w:szCs w:val="20"/>
          <w:color w:val="auto"/>
        </w:rPr>
      </w:pPr>
    </w:p>
    <w:p>
      <w:pPr>
        <w:ind w:left="420" w:right="639" w:firstLine="327"/>
        <w:spacing w:after="0" w:line="262" w:lineRule="auto"/>
        <w:rPr>
          <w:sz w:val="20"/>
          <w:szCs w:val="20"/>
          <w:color w:val="auto"/>
        </w:rPr>
      </w:pPr>
      <w:r>
        <w:rPr>
          <w:rFonts w:ascii="Arial" w:cs="Arial" w:eastAsia="Arial" w:hAnsi="Arial"/>
          <w:sz w:val="13"/>
          <w:szCs w:val="13"/>
          <w:color w:val="auto"/>
        </w:rPr>
        <w:t>Notwithstanding any provision in the indenture to the contrary, none of the trustee, the Registrar, any transfer agent or any Paying Agent will be required to determine the identity of a beneficial owner or be liable for any determination thereof by the Company or the Guarantor.</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Optional Redemption</w:t>
      </w:r>
    </w:p>
    <w:p>
      <w:pPr>
        <w:spacing w:after="0" w:line="83" w:lineRule="exact"/>
        <w:rPr>
          <w:sz w:val="20"/>
          <w:szCs w:val="20"/>
          <w:color w:val="auto"/>
        </w:rPr>
      </w:pPr>
    </w:p>
    <w:p>
      <w:pPr>
        <w:ind w:left="420" w:right="579" w:firstLine="327"/>
        <w:spacing w:after="0" w:line="282" w:lineRule="auto"/>
        <w:rPr>
          <w:sz w:val="20"/>
          <w:szCs w:val="20"/>
          <w:color w:val="auto"/>
        </w:rPr>
      </w:pPr>
      <w:r>
        <w:rPr>
          <w:rFonts w:ascii="Arial" w:cs="Arial" w:eastAsia="Arial" w:hAnsi="Arial"/>
          <w:sz w:val="13"/>
          <w:szCs w:val="13"/>
          <w:color w:val="auto"/>
        </w:rPr>
        <w:t>If specified in the applicable prospectus supplement, we may redeem the debt securities of any series, as a whole or in part, at our option on and after the dates and in accordance with the terms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9019"/>
          </w:cols>
          <w:pgMar w:left="1440" w:top="237" w:right="1440" w:bottom="1440" w:gutter="0" w:footer="0" w:header="0"/>
        </w:sectPr>
      </w:pPr>
    </w:p>
    <w:bookmarkStart w:id="68" w:name="page69"/>
    <w:bookmarkEnd w:id="68"/>
    <w:p>
      <w:pPr>
        <w:ind w:left="420" w:right="559"/>
        <w:spacing w:after="0" w:line="25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205980" cy="31750"/>
                    </a:xfrm>
                    <a:prstGeom prst="rect">
                      <a:avLst/>
                    </a:prstGeom>
                    <a:noFill/>
                  </pic:spPr>
                </pic:pic>
              </a:graphicData>
            </a:graphic>
          </wp:anchor>
        </w:drawing>
        <w:t>established for such series, if any, in the applicable prospectus supplement. If we redeem the debt securities of any series, we also must pay accrued and unpaid interest, if any, to the date of redemption on such debt securities (subject to the right of holders of such debt securities on the relevant record date to receive interest due on the relevant interest payment date and Additional Amounts (if any) in respect thereof).</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Redemption Upon Changes in Tax Law</w:t>
      </w:r>
    </w:p>
    <w:p>
      <w:pPr>
        <w:spacing w:after="0" w:line="83" w:lineRule="exact"/>
        <w:rPr>
          <w:sz w:val="20"/>
          <w:szCs w:val="20"/>
          <w:color w:val="auto"/>
        </w:rPr>
      </w:pPr>
    </w:p>
    <w:p>
      <w:pPr>
        <w:ind w:left="420" w:right="479" w:firstLine="327"/>
        <w:spacing w:after="0" w:line="246" w:lineRule="auto"/>
        <w:rPr>
          <w:sz w:val="20"/>
          <w:szCs w:val="20"/>
          <w:color w:val="auto"/>
        </w:rPr>
      </w:pPr>
      <w:r>
        <w:rPr>
          <w:rFonts w:ascii="Arial" w:cs="Arial" w:eastAsia="Arial" w:hAnsi="Arial"/>
          <w:sz w:val="13"/>
          <w:szCs w:val="13"/>
          <w:color w:val="auto"/>
        </w:rPr>
        <w:t>The Company or the Guarantor, as applicable, may redeem the debt securities of any series (and the Guarantor may redeem any debt securities which it has guaranteed), in whole but not in part, at its discretion at any time upon giving not less than 30 nor more than 60 days’ prior notice to the holders of such debt securities (which notice will be irrevocable), at a redemption price equal to 100% of the aggregate principal amount thereof, together with accrued and unpaid interest, if any, to the date fixed by the Company or the Guarantor, as applicable, for redemption (a “Tax Redemption Date”) and all Additional Amounts (if any) then due and which will become due on the Tax Redemption Date as a result of the redemption or otherwise (subject to the right of holders of such debt securities on the relevant record date to receive interest due on the relevant interest payment date and Additional Amounts (if any) in respect thereof), if on the next date on which any amount would be payable in respect of such debt securities, the Company or the Guarantor, as applicable, is or would be required to pay Additional Amounts, and the Company or Guarantor cannot avoid any such payment obligation by taking reasonable measures available to it, and the requirement arises as a result of:</w:t>
      </w:r>
    </w:p>
    <w:p>
      <w:pPr>
        <w:spacing w:after="0" w:line="63" w:lineRule="exact"/>
        <w:rPr>
          <w:sz w:val="20"/>
          <w:szCs w:val="20"/>
          <w:color w:val="auto"/>
        </w:rPr>
      </w:pPr>
    </w:p>
    <w:p>
      <w:pPr>
        <w:ind w:left="1140" w:right="459" w:hanging="409"/>
        <w:spacing w:after="0" w:line="255" w:lineRule="auto"/>
        <w:tabs>
          <w:tab w:leader="none" w:pos="11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any amendment to, or change in, or change in the enforcement or interpretation of, the laws (or any regulations or rulings promulgated thereunder) of a Relevant Tax Jurisdiction which change or amendment becomes effective on or after the date of original issuance of the relevant debt securities (the “Issue Date”) (or, if the applicable Relevant Tax Jurisdiction became a Relevant Tax Jurisdiction on a date after the Issue Date, such later date), or</w:t>
      </w:r>
    </w:p>
    <w:p>
      <w:pPr>
        <w:spacing w:after="0" w:line="56" w:lineRule="exact"/>
        <w:rPr>
          <w:rFonts w:ascii="Arial" w:cs="Arial" w:eastAsia="Arial" w:hAnsi="Arial"/>
          <w:sz w:val="13"/>
          <w:szCs w:val="13"/>
          <w:color w:val="auto"/>
        </w:rPr>
      </w:pPr>
    </w:p>
    <w:p>
      <w:pPr>
        <w:ind w:left="1140" w:right="439" w:hanging="409"/>
        <w:spacing w:after="0" w:line="255" w:lineRule="auto"/>
        <w:tabs>
          <w:tab w:leader="none" w:pos="11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27" w:lineRule="exact"/>
        <w:rPr>
          <w:sz w:val="20"/>
          <w:szCs w:val="20"/>
          <w:color w:val="auto"/>
        </w:rPr>
      </w:pPr>
    </w:p>
    <w:p>
      <w:pPr>
        <w:ind w:left="420" w:right="439" w:firstLine="327"/>
        <w:spacing w:after="0" w:line="246" w:lineRule="auto"/>
        <w:rPr>
          <w:sz w:val="20"/>
          <w:szCs w:val="20"/>
          <w:color w:val="auto"/>
        </w:rPr>
      </w:pPr>
      <w:r>
        <w:rPr>
          <w:rFonts w:ascii="Arial" w:cs="Arial" w:eastAsia="Arial" w:hAnsi="Arial"/>
          <w:sz w:val="13"/>
          <w:szCs w:val="13"/>
          <w:color w:val="auto"/>
        </w:rPr>
        <w:t>Neither the Company nor the Guarantor, as applicable, will give any such notice of redemption earlier than 90 days prior to the earliest date on which the Company or the Guarantor, as applicable, would be obligated to make such payment or withholding if a payment in respect of the applicable debt securities was then due, and the obligation to pay Additional Amounts must be in effect at the time such notice is given. Prior to giving any notice of redemption of the debt securities of such series pursuant to the foregoing, the Company or the Guarantor, as applicable, will deliver to the trustee an opinion of independent tax counsel to the effect that there has been such amendment or change which would entitle the Company or the Guarantor to redeem such debt securities hereunder. In addition, before the Company or the Guarantor, as applicable, gives notice of redemption of such debt securities as described above, it will deliver to the trustee an officer’s certificate to the effect that it cannot avoid its obligation to pay Additional Amounts by taking reasonable measures available to it.</w:t>
      </w:r>
    </w:p>
    <w:p>
      <w:pPr>
        <w:spacing w:after="0" w:line="289" w:lineRule="exact"/>
        <w:rPr>
          <w:sz w:val="20"/>
          <w:szCs w:val="20"/>
          <w:color w:val="auto"/>
        </w:rPr>
      </w:pPr>
    </w:p>
    <w:p>
      <w:pPr>
        <w:ind w:left="420" w:right="519" w:firstLine="327"/>
        <w:spacing w:after="0" w:line="262" w:lineRule="auto"/>
        <w:rPr>
          <w:sz w:val="20"/>
          <w:szCs w:val="20"/>
          <w:color w:val="auto"/>
        </w:rPr>
      </w:pPr>
      <w:r>
        <w:rPr>
          <w:rFonts w:ascii="Arial" w:cs="Arial" w:eastAsia="Arial" w:hAnsi="Arial"/>
          <w:sz w:val="13"/>
          <w:szCs w:val="13"/>
          <w:color w:val="auto"/>
        </w:rPr>
        <w:t>The trustee will accept and will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122" w:lineRule="exact"/>
        <w:rPr>
          <w:sz w:val="20"/>
          <w:szCs w:val="20"/>
          <w:color w:val="auto"/>
        </w:rPr>
      </w:pPr>
    </w:p>
    <w:p>
      <w:pPr>
        <w:ind w:left="420" w:right="479" w:firstLine="327"/>
        <w:spacing w:after="0" w:line="282" w:lineRule="auto"/>
        <w:rPr>
          <w:sz w:val="20"/>
          <w:szCs w:val="20"/>
          <w:color w:val="auto"/>
        </w:rPr>
      </w:pPr>
      <w:r>
        <w:rPr>
          <w:rFonts w:ascii="Arial" w:cs="Arial" w:eastAsia="Arial" w:hAnsi="Arial"/>
          <w:sz w:val="13"/>
          <w:szCs w:val="13"/>
          <w:color w:val="auto"/>
        </w:rPr>
        <w:t xml:space="preserve">The foregoing will also apply </w:t>
      </w:r>
      <w:r>
        <w:rPr>
          <w:rFonts w:ascii="Arial" w:cs="Arial" w:eastAsia="Arial" w:hAnsi="Arial"/>
          <w:sz w:val="13"/>
          <w:szCs w:val="13"/>
          <w:i w:val="1"/>
          <w:iCs w:val="1"/>
          <w:color w:val="auto"/>
        </w:rPr>
        <w:t>mutatis mutandis</w:t>
      </w:r>
      <w:r>
        <w:rPr>
          <w:rFonts w:ascii="Arial" w:cs="Arial" w:eastAsia="Arial" w:hAnsi="Arial"/>
          <w:sz w:val="13"/>
          <w:szCs w:val="13"/>
          <w:color w:val="auto"/>
        </w:rPr>
        <w:t xml:space="preserve"> to any jurisdiction in which any successor person to the Company or the Guarantor is incorporated, organized or resident for tax purposes, or any</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9019"/>
          </w:cols>
          <w:pgMar w:left="1440" w:top="237" w:right="1440" w:bottom="1440" w:gutter="0" w:footer="0" w:header="0"/>
        </w:sectPr>
      </w:pPr>
    </w:p>
    <w:bookmarkStart w:id="69" w:name="page70"/>
    <w:bookmarkEnd w:id="69"/>
    <w:p>
      <w:pPr>
        <w:ind w:left="420" w:right="1139"/>
        <w:spacing w:after="0" w:line="28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205980" cy="31750"/>
                    </a:xfrm>
                    <a:prstGeom prst="rect">
                      <a:avLst/>
                    </a:prstGeom>
                    <a:noFill/>
                  </pic:spPr>
                </pic:pic>
              </a:graphicData>
            </a:graphic>
          </wp:anchor>
        </w:drawing>
        <w:t>jurisdiction from or through which payment is made by or on behalf of such person on the debt securities of such series (or any Guarantee) and any political subdivision thereof or therein.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Selection and Notice</w:t>
      </w:r>
    </w:p>
    <w:p>
      <w:pPr>
        <w:spacing w:after="0" w:line="83" w:lineRule="exact"/>
        <w:rPr>
          <w:sz w:val="20"/>
          <w:szCs w:val="20"/>
          <w:color w:val="auto"/>
        </w:rPr>
      </w:pPr>
    </w:p>
    <w:p>
      <w:pPr>
        <w:ind w:left="420" w:right="459" w:firstLine="327"/>
        <w:spacing w:after="0" w:line="255" w:lineRule="auto"/>
        <w:rPr>
          <w:sz w:val="20"/>
          <w:szCs w:val="20"/>
          <w:color w:val="auto"/>
        </w:rPr>
      </w:pPr>
      <w:r>
        <w:rPr>
          <w:rFonts w:ascii="Arial" w:cs="Arial" w:eastAsia="Arial" w:hAnsi="Arial"/>
          <w:sz w:val="13"/>
          <w:szCs w:val="13"/>
          <w:color w:val="auto"/>
        </w:rPr>
        <w:t>If fewer than all of the debt securities of a series are to be redeemed at any time, the trustee will select the debt securities of such series in definitive, non-global form for redemption on a pro rata basis (or, in the case of debt securities issued in global form as discussed under “—Book-Entry, Delivery and Form,” based on a method that most nearly approximates a pro rata selection as the trustee deems fair and appropriate) unless otherwise required by law or applicable stock exchange or depository requirements.</w:t>
      </w:r>
    </w:p>
    <w:p>
      <w:pPr>
        <w:spacing w:after="0" w:line="127" w:lineRule="exact"/>
        <w:rPr>
          <w:sz w:val="20"/>
          <w:szCs w:val="20"/>
          <w:color w:val="auto"/>
        </w:rPr>
      </w:pPr>
    </w:p>
    <w:p>
      <w:pPr>
        <w:ind w:left="420" w:right="439" w:firstLine="327"/>
        <w:spacing w:after="0" w:line="251" w:lineRule="auto"/>
        <w:rPr>
          <w:sz w:val="20"/>
          <w:szCs w:val="20"/>
          <w:color w:val="auto"/>
        </w:rPr>
      </w:pPr>
      <w:r>
        <w:rPr>
          <w:rFonts w:ascii="Arial" w:cs="Arial" w:eastAsia="Arial" w:hAnsi="Arial"/>
          <w:sz w:val="13"/>
          <w:szCs w:val="13"/>
          <w:color w:val="auto"/>
        </w:rPr>
        <w:t>No debt securities in principal amount of less than the minimum authorized denomination can be redeemed in part. Unless otherwise described in a prospectus supplement relating to any debt securities, notices of redemption will be delivered at least 30 but not more than 60 days before the redemption date to each holder of debt securities of such series to be redeemed, except that redemption notices may be delivered more than 60 days prior to a redemption date if the notice is issued in connection with a defeasance of the debt securities of such series or a satisfaction and discharge of the indenture.</w:t>
      </w:r>
    </w:p>
    <w:p>
      <w:pPr>
        <w:spacing w:after="0" w:line="131" w:lineRule="exact"/>
        <w:rPr>
          <w:sz w:val="20"/>
          <w:szCs w:val="20"/>
          <w:color w:val="auto"/>
        </w:rPr>
      </w:pPr>
    </w:p>
    <w:p>
      <w:pPr>
        <w:ind w:left="420" w:right="459" w:firstLine="327"/>
        <w:spacing w:after="0" w:line="249" w:lineRule="auto"/>
        <w:rPr>
          <w:sz w:val="20"/>
          <w:szCs w:val="20"/>
          <w:color w:val="auto"/>
        </w:rPr>
      </w:pPr>
      <w:r>
        <w:rPr>
          <w:rFonts w:ascii="Arial" w:cs="Arial" w:eastAsia="Arial" w:hAnsi="Arial"/>
          <w:sz w:val="13"/>
          <w:szCs w:val="13"/>
          <w:color w:val="auto"/>
        </w:rPr>
        <w:t>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 unless the Company or the Guarantor defaults in payment of the redemption price.</w:t>
      </w:r>
    </w:p>
    <w:p>
      <w:pPr>
        <w:spacing w:after="0" w:line="133" w:lineRule="exact"/>
        <w:rPr>
          <w:sz w:val="20"/>
          <w:szCs w:val="20"/>
          <w:color w:val="auto"/>
        </w:rPr>
      </w:pPr>
    </w:p>
    <w:p>
      <w:pPr>
        <w:ind w:left="420" w:right="439" w:firstLine="327"/>
        <w:spacing w:after="0" w:line="255" w:lineRule="auto"/>
        <w:rPr>
          <w:sz w:val="20"/>
          <w:szCs w:val="20"/>
          <w:color w:val="auto"/>
        </w:rPr>
      </w:pPr>
      <w:r>
        <w:rPr>
          <w:rFonts w:ascii="Arial" w:cs="Arial" w:eastAsia="Arial" w:hAnsi="Arial"/>
          <w:sz w:val="13"/>
          <w:szCs w:val="13"/>
          <w:color w:val="auto"/>
        </w:rPr>
        <w:t>The trustee will not be liable for selections made as contemplated in this section. Notices to holders of definitive non-global securities will be mailed to them at their registered addresses. For any debt securities which are represented by global securities held on behalf of the relevant Debt Depository (as defined below under “—Book-Entry, Delivery and Form”), notices may be given by delivery of the relevant notices to the relevant Debt Depository for communication to entitled account holders in substitution for the aforesaid mailing.</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Reports</w:t>
      </w:r>
    </w:p>
    <w:p>
      <w:pPr>
        <w:spacing w:after="0" w:line="83" w:lineRule="exact"/>
        <w:rPr>
          <w:sz w:val="20"/>
          <w:szCs w:val="20"/>
          <w:color w:val="auto"/>
        </w:rPr>
      </w:pPr>
    </w:p>
    <w:p>
      <w:pPr>
        <w:ind w:left="420" w:right="479" w:firstLine="327"/>
        <w:spacing w:after="0" w:line="245" w:lineRule="auto"/>
        <w:rPr>
          <w:sz w:val="20"/>
          <w:szCs w:val="20"/>
          <w:color w:val="auto"/>
        </w:rPr>
      </w:pPr>
      <w:r>
        <w:rPr>
          <w:rFonts w:ascii="Arial" w:cs="Arial" w:eastAsia="Arial" w:hAnsi="Arial"/>
          <w:sz w:val="13"/>
          <w:szCs w:val="13"/>
          <w:color w:val="auto"/>
        </w:rPr>
        <w:t>So long as any debt securities are outstanding, the Guarantor will file with the trustee, within 15 days after the Guarantor files with the SEC, copies of the annual reports and of the information, documents and other reports (or copies of such portions of any of the foregoing as the SEC may from time to time by rules and regulations prescribe) that the Guarantor may be required to file with the SEC pursuant to Section 13 or Section 15(d) of the Exchange Act. The Guarantor will be deemed to have complied with the previous sentence to the extent that such information, documents and reports are filed with the SEC via EDGAR, or any successor electronic delivery procedure. The trustee will not have any obligation to determine if and when the Guarantor’s information is available on the SEC’s website. The Guarantor will either (i) provide the trustee with prompt written notification at such time as the Guarantor becomes or ceases to be a reporting company or (ii) continue to provide the trustee with the foregoing information. Delivery of such reports, information and documents to the trustee is for informational purposes only and the trustee’s receipt of such will not constitute constructive notice of any information contained therein or determinable from information contained therein, including compliance by us or the Guarantor with any covenants under the indenture (as to which the trustee is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9019"/>
          </w:cols>
          <w:pgMar w:left="1440" w:top="237" w:right="1440" w:bottom="1440" w:gutter="0" w:footer="0" w:header="0"/>
        </w:sectPr>
      </w:pPr>
    </w:p>
    <w:bookmarkStart w:id="70" w:name="page71"/>
    <w:bookmarkEnd w:id="70"/>
    <w:p>
      <w:pPr>
        <w:ind w:left="420" w:right="599"/>
        <w:spacing w:after="0" w:line="28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205980" cy="31750"/>
                    </a:xfrm>
                    <a:prstGeom prst="rect">
                      <a:avLst/>
                    </a:prstGeom>
                    <a:noFill/>
                  </pic:spPr>
                </pic:pic>
              </a:graphicData>
            </a:graphic>
          </wp:anchor>
        </w:drawing>
        <w:t>entitled to rely exclusively on officer’s certificates). The indenture governing the debt securities will not obligate us to provide, and we do not intend to provide, holders of the debt securities with financial statements of the Company that are separate from the Guarantor’s.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Certain Covenants</w:t>
      </w:r>
    </w:p>
    <w:p>
      <w:pPr>
        <w:spacing w:after="0" w:line="83" w:lineRule="exact"/>
        <w:rPr>
          <w:sz w:val="20"/>
          <w:szCs w:val="20"/>
          <w:color w:val="auto"/>
        </w:rPr>
      </w:pPr>
    </w:p>
    <w:p>
      <w:pPr>
        <w:ind w:left="420" w:right="479" w:firstLine="327"/>
        <w:spacing w:after="0" w:line="251" w:lineRule="auto"/>
        <w:rPr>
          <w:sz w:val="20"/>
          <w:szCs w:val="20"/>
          <w:color w:val="auto"/>
        </w:rPr>
      </w:pPr>
      <w:r>
        <w:rPr>
          <w:rFonts w:ascii="Arial" w:cs="Arial" w:eastAsia="Arial" w:hAnsi="Arial"/>
          <w:sz w:val="13"/>
          <w:szCs w:val="13"/>
          <w:color w:val="auto"/>
        </w:rPr>
        <w:t>Other than the restrictions on liens described below, the indenture and the debt securities will not contain any covenants or other provisions designed to protect holders of the debt securities in the event of a highly leveraged transaction. The indenture and the debt securities also will not contain provisions that give holders of the debt securities the right to require the Company or the Guarantor to repurchase any debt securities in the event of a decline in credit rating resulting from a takeover, recapitalization or similar restructuring or otherwise.</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Limitation on Liens</w:t>
      </w:r>
    </w:p>
    <w:p>
      <w:pPr>
        <w:spacing w:after="0" w:line="83" w:lineRule="exact"/>
        <w:rPr>
          <w:sz w:val="20"/>
          <w:szCs w:val="20"/>
          <w:color w:val="auto"/>
        </w:rPr>
      </w:pPr>
    </w:p>
    <w:p>
      <w:pPr>
        <w:ind w:left="420" w:right="439" w:firstLine="327"/>
        <w:spacing w:after="0" w:line="246" w:lineRule="auto"/>
        <w:rPr>
          <w:sz w:val="20"/>
          <w:szCs w:val="20"/>
          <w:color w:val="auto"/>
        </w:rPr>
      </w:pPr>
      <w:r>
        <w:rPr>
          <w:rFonts w:ascii="Arial" w:cs="Arial" w:eastAsia="Arial" w:hAnsi="Arial"/>
          <w:sz w:val="13"/>
          <w:szCs w:val="13"/>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the Company or the Guarantor so determine, any of its other indebtedness or the indebtedness of any such restricted subsidiary then existing or thereafter created ranking on a parity with the debt securities or guarantees) will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will not apply to:</w:t>
      </w:r>
    </w:p>
    <w:p>
      <w:pPr>
        <w:spacing w:after="0" w:line="63" w:lineRule="exact"/>
        <w:rPr>
          <w:sz w:val="20"/>
          <w:szCs w:val="20"/>
          <w:color w:val="auto"/>
        </w:rPr>
      </w:pPr>
    </w:p>
    <w:p>
      <w:pPr>
        <w:ind w:left="1140" w:hanging="409"/>
        <w:spacing w:after="0"/>
        <w:tabs>
          <w:tab w:leader="none" w:pos="11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mortgages existing on the date of original issuance of any debt securities;</w:t>
      </w:r>
    </w:p>
    <w:p>
      <w:pPr>
        <w:spacing w:after="0" w:line="91" w:lineRule="exact"/>
        <w:rPr>
          <w:rFonts w:ascii="Arial" w:cs="Arial" w:eastAsia="Arial" w:hAnsi="Arial"/>
          <w:sz w:val="13"/>
          <w:szCs w:val="13"/>
          <w:color w:val="auto"/>
        </w:rPr>
      </w:pPr>
    </w:p>
    <w:p>
      <w:pPr>
        <w:ind w:left="1140" w:right="519" w:hanging="409"/>
        <w:spacing w:after="0" w:line="282" w:lineRule="auto"/>
        <w:tabs>
          <w:tab w:leader="none" w:pos="11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39" w:lineRule="exact"/>
        <w:rPr>
          <w:rFonts w:ascii="Arial" w:cs="Arial" w:eastAsia="Arial" w:hAnsi="Arial"/>
          <w:sz w:val="13"/>
          <w:szCs w:val="13"/>
          <w:color w:val="auto"/>
        </w:rPr>
      </w:pPr>
    </w:p>
    <w:p>
      <w:pPr>
        <w:ind w:left="1140" w:right="639" w:hanging="409"/>
        <w:spacing w:after="0" w:line="249" w:lineRule="auto"/>
        <w:tabs>
          <w:tab w:leader="none" w:pos="11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62" w:lineRule="exact"/>
        <w:rPr>
          <w:rFonts w:ascii="Arial" w:cs="Arial" w:eastAsia="Arial" w:hAnsi="Arial"/>
          <w:sz w:val="13"/>
          <w:szCs w:val="13"/>
          <w:color w:val="auto"/>
        </w:rPr>
      </w:pPr>
    </w:p>
    <w:p>
      <w:pPr>
        <w:ind w:left="1140" w:hanging="409"/>
        <w:spacing w:after="0"/>
        <w:tabs>
          <w:tab w:leader="none" w:pos="11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mortgages in favor of the Company, the Guarantor or any other subsidiary of the Guarantor;</w:t>
      </w:r>
    </w:p>
    <w:p>
      <w:pPr>
        <w:spacing w:after="0" w:line="91" w:lineRule="exact"/>
        <w:rPr>
          <w:rFonts w:ascii="Arial" w:cs="Arial" w:eastAsia="Arial" w:hAnsi="Arial"/>
          <w:sz w:val="13"/>
          <w:szCs w:val="13"/>
          <w:color w:val="auto"/>
        </w:rPr>
      </w:pPr>
    </w:p>
    <w:p>
      <w:pPr>
        <w:ind w:left="1140" w:right="439" w:hanging="409"/>
        <w:spacing w:after="0" w:line="255" w:lineRule="auto"/>
        <w:tabs>
          <w:tab w:leader="none" w:pos="11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56" w:lineRule="exact"/>
        <w:rPr>
          <w:rFonts w:ascii="Arial" w:cs="Arial" w:eastAsia="Arial" w:hAnsi="Arial"/>
          <w:sz w:val="13"/>
          <w:szCs w:val="13"/>
          <w:color w:val="auto"/>
        </w:rPr>
      </w:pPr>
    </w:p>
    <w:p>
      <w:pPr>
        <w:ind w:left="1140" w:right="679" w:hanging="409"/>
        <w:spacing w:after="0" w:line="282" w:lineRule="auto"/>
        <w:tabs>
          <w:tab w:leader="none" w:pos="11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mortgage of any property or assets to secure indebtedness of the pollution control, industrial revenue or other revenue bond type;</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9019"/>
          </w:cols>
          <w:pgMar w:left="1440" w:top="237" w:right="1440" w:bottom="1440" w:gutter="0" w:footer="0" w:header="0"/>
        </w:sectPr>
      </w:pPr>
    </w:p>
    <w:bookmarkStart w:id="71" w:name="page72"/>
    <w:bookmarkEnd w:id="71"/>
    <w:p>
      <w:pPr>
        <w:ind w:left="1140" w:right="519" w:hanging="409"/>
        <w:spacing w:after="0" w:line="255" w:lineRule="auto"/>
        <w:tabs>
          <w:tab w:leader="none" w:pos="1140" w:val="left"/>
        </w:tabs>
        <w:numPr>
          <w:ilvl w:val="0"/>
          <w:numId w:val="4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205980" cy="31750"/>
                    </a:xfrm>
                    <a:prstGeom prst="rect">
                      <a:avLst/>
                    </a:prstGeom>
                    <a:noFill/>
                  </pic:spPr>
                </pic:pic>
              </a:graphicData>
            </a:graphic>
          </wp:anchor>
        </w:drawing>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56" w:lineRule="exact"/>
        <w:rPr>
          <w:rFonts w:ascii="Arial" w:cs="Arial" w:eastAsia="Arial" w:hAnsi="Arial"/>
          <w:sz w:val="13"/>
          <w:szCs w:val="13"/>
          <w:color w:val="auto"/>
        </w:rPr>
      </w:pPr>
    </w:p>
    <w:p>
      <w:pPr>
        <w:ind w:left="1140" w:right="619" w:hanging="409"/>
        <w:spacing w:after="0" w:line="282" w:lineRule="auto"/>
        <w:tabs>
          <w:tab w:leader="none" w:pos="11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39" w:lineRule="exact"/>
        <w:rPr>
          <w:rFonts w:ascii="Arial" w:cs="Arial" w:eastAsia="Arial" w:hAnsi="Arial"/>
          <w:sz w:val="13"/>
          <w:szCs w:val="13"/>
          <w:color w:val="auto"/>
        </w:rPr>
      </w:pPr>
    </w:p>
    <w:p>
      <w:pPr>
        <w:ind w:left="1140" w:hanging="409"/>
        <w:spacing w:after="0"/>
        <w:tabs>
          <w:tab w:leader="none" w:pos="11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mortgages created in connection with the acquisition of property or assets, or a project financed with, non-recourse debt; and</w:t>
      </w:r>
    </w:p>
    <w:p>
      <w:pPr>
        <w:spacing w:after="0" w:line="91" w:lineRule="exact"/>
        <w:rPr>
          <w:rFonts w:ascii="Arial" w:cs="Arial" w:eastAsia="Arial" w:hAnsi="Arial"/>
          <w:sz w:val="13"/>
          <w:szCs w:val="13"/>
          <w:color w:val="auto"/>
        </w:rPr>
      </w:pPr>
    </w:p>
    <w:p>
      <w:pPr>
        <w:ind w:left="1140" w:right="519" w:hanging="409"/>
        <w:spacing w:after="0" w:line="255" w:lineRule="auto"/>
        <w:tabs>
          <w:tab w:leader="none" w:pos="11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any extension, renewal or replacement (or successive extensions, renewals or replacements), as a whole or in part, of any mortgage referred to in the foregoing clauses, inclusive; provided, that such extension, renewal or replacement mortgage will be limited to all or a part of the same property or assets that secured the mortgage extended, renewed or replaced, plus improvements on such property or assets.</w:t>
      </w:r>
    </w:p>
    <w:p>
      <w:pPr>
        <w:spacing w:after="0" w:line="127" w:lineRule="exact"/>
        <w:rPr>
          <w:sz w:val="20"/>
          <w:szCs w:val="20"/>
          <w:color w:val="auto"/>
        </w:rPr>
      </w:pPr>
    </w:p>
    <w:p>
      <w:pPr>
        <w:ind w:left="740"/>
        <w:spacing w:after="0"/>
        <w:rPr>
          <w:sz w:val="20"/>
          <w:szCs w:val="20"/>
          <w:color w:val="auto"/>
        </w:rPr>
      </w:pPr>
      <w:r>
        <w:rPr>
          <w:rFonts w:ascii="Arial" w:cs="Arial" w:eastAsia="Arial" w:hAnsi="Arial"/>
          <w:sz w:val="13"/>
          <w:szCs w:val="13"/>
          <w:color w:val="auto"/>
        </w:rPr>
        <w:t>The foregoing covenant and certain other provisions of the indenture use the following defined terms.</w:t>
      </w:r>
    </w:p>
    <w:p>
      <w:pPr>
        <w:spacing w:after="0" w:line="162" w:lineRule="exact"/>
        <w:rPr>
          <w:sz w:val="20"/>
          <w:szCs w:val="20"/>
          <w:color w:val="auto"/>
        </w:rPr>
      </w:pPr>
    </w:p>
    <w:p>
      <w:pPr>
        <w:ind w:left="420" w:right="419" w:firstLine="327"/>
        <w:spacing w:after="0" w:line="249" w:lineRule="auto"/>
        <w:rPr>
          <w:sz w:val="20"/>
          <w:szCs w:val="20"/>
          <w:color w:val="auto"/>
        </w:rPr>
      </w:pPr>
      <w:r>
        <w:rPr>
          <w:rFonts w:ascii="Arial" w:cs="Arial" w:eastAsia="Arial" w:hAnsi="Arial"/>
          <w:sz w:val="13"/>
          <w:szCs w:val="13"/>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33" w:lineRule="exact"/>
        <w:rPr>
          <w:sz w:val="20"/>
          <w:szCs w:val="20"/>
          <w:color w:val="auto"/>
        </w:rPr>
      </w:pPr>
    </w:p>
    <w:p>
      <w:pPr>
        <w:ind w:left="420" w:right="459" w:firstLine="327"/>
        <w:spacing w:after="0" w:line="282" w:lineRule="auto"/>
        <w:rPr>
          <w:sz w:val="20"/>
          <w:szCs w:val="20"/>
          <w:color w:val="auto"/>
        </w:rPr>
      </w:pPr>
      <w:r>
        <w:rPr>
          <w:rFonts w:ascii="Arial" w:cs="Arial" w:eastAsia="Arial" w:hAnsi="Arial"/>
          <w:sz w:val="13"/>
          <w:szCs w:val="13"/>
          <w:color w:val="auto"/>
        </w:rPr>
        <w:t>“consolidated net worth” means the amount of total stockholders’ equity shown in the Guarantor’s most recent quarterly consolidated statement of financial position.</w:t>
      </w:r>
    </w:p>
    <w:p>
      <w:pPr>
        <w:spacing w:after="0" w:line="110" w:lineRule="exact"/>
        <w:rPr>
          <w:sz w:val="20"/>
          <w:szCs w:val="20"/>
          <w:color w:val="auto"/>
        </w:rPr>
      </w:pPr>
    </w:p>
    <w:p>
      <w:pPr>
        <w:ind w:left="420" w:right="639" w:firstLine="327"/>
        <w:spacing w:after="0" w:line="282" w:lineRule="auto"/>
        <w:rPr>
          <w:sz w:val="20"/>
          <w:szCs w:val="20"/>
          <w:color w:val="auto"/>
        </w:rPr>
      </w:pPr>
      <w:r>
        <w:rPr>
          <w:rFonts w:ascii="Arial" w:cs="Arial" w:eastAsia="Arial" w:hAnsi="Arial"/>
          <w:sz w:val="13"/>
          <w:szCs w:val="13"/>
          <w:color w:val="auto"/>
        </w:rPr>
        <w:t>“mortgage” means and includes any mortgage, pledge, lien, security interest, conditional sale or other title retention agreement or other similar encumbrance.</w:t>
      </w:r>
    </w:p>
    <w:p>
      <w:pPr>
        <w:spacing w:after="0" w:line="110" w:lineRule="exact"/>
        <w:rPr>
          <w:sz w:val="20"/>
          <w:szCs w:val="20"/>
          <w:color w:val="auto"/>
        </w:rPr>
      </w:pPr>
    </w:p>
    <w:p>
      <w:pPr>
        <w:ind w:left="420" w:right="459" w:firstLine="327"/>
        <w:spacing w:after="0" w:line="262" w:lineRule="auto"/>
        <w:rPr>
          <w:sz w:val="20"/>
          <w:szCs w:val="20"/>
          <w:color w:val="auto"/>
        </w:rPr>
      </w:pPr>
      <w:r>
        <w:rPr>
          <w:rFonts w:ascii="Arial" w:cs="Arial" w:eastAsia="Arial" w:hAnsi="Arial"/>
          <w:sz w:val="13"/>
          <w:szCs w:val="13"/>
          <w:color w:val="auto"/>
        </w:rPr>
        <w:t>“non-recourse debt”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22" w:lineRule="exact"/>
        <w:rPr>
          <w:sz w:val="20"/>
          <w:szCs w:val="20"/>
          <w:color w:val="auto"/>
        </w:rPr>
      </w:pPr>
    </w:p>
    <w:p>
      <w:pPr>
        <w:ind w:left="420" w:right="879" w:firstLine="327"/>
        <w:spacing w:after="0" w:line="282" w:lineRule="auto"/>
        <w:rPr>
          <w:sz w:val="20"/>
          <w:szCs w:val="20"/>
          <w:color w:val="auto"/>
        </w:rPr>
      </w:pPr>
      <w:r>
        <w:rPr>
          <w:rFonts w:ascii="Arial" w:cs="Arial" w:eastAsia="Arial" w:hAnsi="Arial"/>
          <w:sz w:val="13"/>
          <w:szCs w:val="13"/>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10" w:lineRule="exact"/>
        <w:rPr>
          <w:sz w:val="20"/>
          <w:szCs w:val="20"/>
          <w:color w:val="auto"/>
        </w:rPr>
      </w:pPr>
    </w:p>
    <w:p>
      <w:pPr>
        <w:ind w:left="420" w:right="479" w:firstLine="327"/>
        <w:spacing w:after="0" w:line="252" w:lineRule="auto"/>
        <w:rPr>
          <w:sz w:val="20"/>
          <w:szCs w:val="20"/>
          <w:color w:val="auto"/>
        </w:rPr>
      </w:pPr>
      <w:r>
        <w:rPr>
          <w:rFonts w:ascii="Arial" w:cs="Arial" w:eastAsia="Arial" w:hAnsi="Arial"/>
          <w:sz w:val="13"/>
          <w:szCs w:val="13"/>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unless, in the opinion of the board of directors of the Guarantor, such plant or facility or other asset is not of material importance to the total business conducted by the Guarantor and its restricted subsidiaries taken as a whole.</w:t>
      </w:r>
    </w:p>
    <w:p>
      <w:pPr>
        <w:spacing w:after="0" w:line="285" w:lineRule="exact"/>
        <w:rPr>
          <w:sz w:val="20"/>
          <w:szCs w:val="20"/>
          <w:color w:val="auto"/>
        </w:rPr>
      </w:pPr>
    </w:p>
    <w:p>
      <w:pPr>
        <w:ind w:left="740"/>
        <w:spacing w:after="0"/>
        <w:rPr>
          <w:sz w:val="20"/>
          <w:szCs w:val="20"/>
          <w:color w:val="auto"/>
        </w:rPr>
      </w:pPr>
      <w:r>
        <w:rPr>
          <w:rFonts w:ascii="Arial" w:cs="Arial" w:eastAsia="Arial" w:hAnsi="Arial"/>
          <w:sz w:val="13"/>
          <w:szCs w:val="13"/>
          <w:color w:val="auto"/>
        </w:rPr>
        <w:t>“restricted subsidiary” means any subsidiary of the Guarantor which owns a restricted property.</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9019"/>
          </w:cols>
          <w:pgMar w:left="1440" w:top="237" w:right="1440" w:bottom="1440" w:gutter="0" w:footer="0" w:header="0"/>
        </w:sectPr>
      </w:pPr>
    </w:p>
    <w:bookmarkStart w:id="72" w:name="page73"/>
    <w:bookmarkEnd w:id="72"/>
    <w:p>
      <w:pPr>
        <w:ind w:left="420" w:right="419" w:firstLine="327"/>
        <w:spacing w:after="0" w:line="24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205980" cy="31750"/>
                    </a:xfrm>
                    <a:prstGeom prst="rect">
                      <a:avLst/>
                    </a:prstGeom>
                    <a:noFill/>
                  </pic:spPr>
                </pic:pic>
              </a:graphicData>
            </a:graphic>
          </wp:anchor>
        </w:drawing>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w:t>
      </w:r>
    </w:p>
    <w:p>
      <w:pPr>
        <w:spacing w:after="0" w:line="1" w:lineRule="exact"/>
        <w:rPr>
          <w:sz w:val="20"/>
          <w:szCs w:val="20"/>
          <w:color w:val="auto"/>
        </w:rPr>
      </w:pPr>
    </w:p>
    <w:p>
      <w:pPr>
        <w:ind w:left="420" w:right="439" w:hanging="10"/>
        <w:spacing w:after="0" w:line="248" w:lineRule="auto"/>
        <w:tabs>
          <w:tab w:leader="none" w:pos="613" w:val="left"/>
        </w:tabs>
        <w:numPr>
          <w:ilvl w:val="0"/>
          <w:numId w:val="45"/>
        </w:numPr>
        <w:rPr>
          <w:rFonts w:ascii="Arial" w:cs="Arial" w:eastAsia="Arial" w:hAnsi="Arial"/>
          <w:sz w:val="13"/>
          <w:szCs w:val="13"/>
          <w:color w:val="auto"/>
        </w:rPr>
      </w:pPr>
      <w:r>
        <w:rPr>
          <w:rFonts w:ascii="Arial" w:cs="Arial" w:eastAsia="Arial" w:hAnsi="Arial"/>
          <w:sz w:val="13"/>
          <w:szCs w:val="13"/>
          <w:color w:val="auto"/>
        </w:rPr>
        <w:t>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Consolidation, Merger and Sale of Assets</w:t>
      </w:r>
    </w:p>
    <w:p>
      <w:pPr>
        <w:spacing w:after="0" w:line="83" w:lineRule="exact"/>
        <w:rPr>
          <w:sz w:val="20"/>
          <w:szCs w:val="20"/>
          <w:color w:val="auto"/>
        </w:rPr>
      </w:pPr>
    </w:p>
    <w:p>
      <w:pPr>
        <w:ind w:left="420" w:right="439" w:firstLine="327"/>
        <w:spacing w:after="0" w:line="249" w:lineRule="auto"/>
        <w:rPr>
          <w:sz w:val="20"/>
          <w:szCs w:val="20"/>
          <w:color w:val="auto"/>
        </w:rPr>
      </w:pPr>
      <w:r>
        <w:rPr>
          <w:rFonts w:ascii="Arial" w:cs="Arial" w:eastAsia="Arial" w:hAnsi="Arial"/>
          <w:sz w:val="13"/>
          <w:szCs w:val="13"/>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debt securities by an indenture supplemental to the indenture to which the Company or the Guarantor is a party,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Assumption by a Subsidiary</w:t>
      </w:r>
    </w:p>
    <w:p>
      <w:pPr>
        <w:spacing w:after="0" w:line="83" w:lineRule="exact"/>
        <w:rPr>
          <w:sz w:val="20"/>
          <w:szCs w:val="20"/>
          <w:color w:val="auto"/>
        </w:rPr>
      </w:pPr>
    </w:p>
    <w:p>
      <w:pPr>
        <w:ind w:left="420" w:right="959" w:firstLine="327"/>
        <w:spacing w:after="0" w:line="282" w:lineRule="auto"/>
        <w:rPr>
          <w:sz w:val="20"/>
          <w:szCs w:val="20"/>
          <w:color w:val="auto"/>
        </w:rPr>
      </w:pPr>
      <w:r>
        <w:rPr>
          <w:rFonts w:ascii="Arial" w:cs="Arial" w:eastAsia="Arial" w:hAnsi="Arial"/>
          <w:sz w:val="13"/>
          <w:szCs w:val="13"/>
          <w:color w:val="auto"/>
        </w:rPr>
        <w:t>Any subsidiary of the Guarantor may, at its option, assume the obligations of the Company under the indenture and the debt securities, provided that:</w:t>
      </w:r>
    </w:p>
    <w:p>
      <w:pPr>
        <w:spacing w:after="0" w:line="40" w:lineRule="exact"/>
        <w:rPr>
          <w:sz w:val="20"/>
          <w:szCs w:val="20"/>
          <w:color w:val="auto"/>
        </w:rPr>
      </w:pPr>
    </w:p>
    <w:p>
      <w:pPr>
        <w:ind w:left="1140" w:right="619" w:hanging="409"/>
        <w:spacing w:after="0" w:line="282" w:lineRule="auto"/>
        <w:tabs>
          <w:tab w:leader="none" w:pos="11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such subsidiary expressly assumes such obligations in an assumption agreement or supplemental indenture duly executed and delivered to the trustee, and</w:t>
      </w:r>
    </w:p>
    <w:p>
      <w:pPr>
        <w:spacing w:after="0" w:line="39" w:lineRule="exact"/>
        <w:rPr>
          <w:rFonts w:ascii="Arial" w:cs="Arial" w:eastAsia="Arial" w:hAnsi="Arial"/>
          <w:sz w:val="13"/>
          <w:szCs w:val="13"/>
          <w:color w:val="auto"/>
        </w:rPr>
      </w:pPr>
    </w:p>
    <w:p>
      <w:pPr>
        <w:ind w:left="1140" w:right="719" w:hanging="409"/>
        <w:spacing w:after="0" w:line="282" w:lineRule="auto"/>
        <w:tabs>
          <w:tab w:leader="none" w:pos="11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immediately after giving effect to such assumption, no event of default and no event which, after notice or lapse of time or both, would become an event of default, shall have occurred and be continuing.</w:t>
      </w:r>
    </w:p>
    <w:p>
      <w:pPr>
        <w:spacing w:after="0" w:line="110" w:lineRule="exact"/>
        <w:rPr>
          <w:sz w:val="20"/>
          <w:szCs w:val="20"/>
          <w:color w:val="auto"/>
        </w:rPr>
      </w:pPr>
    </w:p>
    <w:p>
      <w:pPr>
        <w:ind w:left="420" w:right="579" w:firstLine="327"/>
        <w:spacing w:after="0" w:line="251" w:lineRule="auto"/>
        <w:rPr>
          <w:sz w:val="20"/>
          <w:szCs w:val="20"/>
          <w:color w:val="auto"/>
        </w:rPr>
      </w:pPr>
      <w:r>
        <w:rPr>
          <w:rFonts w:ascii="Arial" w:cs="Arial" w:eastAsia="Arial" w:hAnsi="Arial"/>
          <w:sz w:val="13"/>
          <w:szCs w:val="13"/>
          <w:color w:val="auto"/>
        </w:rPr>
        <w:t>Upon any such assumption, the person so assuming the Company’s obligations under the indenture and the debt securities will succeed to, and be substituted for, and may exercise any right and power of, the Company under such debt securities and the indenture with the same effect as if such person had been the issuer thereof, and the Company will be released from its liability as obligor under such debt securities. An officer’s certificate and an opinion of counsel will be delivered to the trustee, which will serve as conclusive evidence of compliance with these provisions.</w:t>
      </w:r>
    </w:p>
    <w:p>
      <w:pPr>
        <w:spacing w:after="0" w:line="212" w:lineRule="exact"/>
        <w:rPr>
          <w:sz w:val="20"/>
          <w:szCs w:val="20"/>
          <w:color w:val="auto"/>
        </w:rPr>
      </w:pPr>
    </w:p>
    <w:p>
      <w:pPr>
        <w:ind w:left="420" w:right="439" w:firstLine="327"/>
        <w:spacing w:after="0" w:line="249" w:lineRule="auto"/>
        <w:rPr>
          <w:sz w:val="20"/>
          <w:szCs w:val="20"/>
          <w:color w:val="auto"/>
        </w:rPr>
      </w:pPr>
      <w:r>
        <w:rPr>
          <w:rFonts w:ascii="Arial" w:cs="Arial" w:eastAsia="Arial" w:hAnsi="Arial"/>
          <w:sz w:val="13"/>
          <w:szCs w:val="13"/>
          <w:i w:val="1"/>
          <w:iCs w:val="1"/>
          <w:color w:val="auto"/>
        </w:rPr>
        <w:t>An assumption of the Company’s obligations as the issuer of the debt securities by a subsidiary of the Guarantor may be treated for U.S. federal income tax purposes as a taxable exchange of the Company’s debt securities for new debt securities issued by such subsidiary of the Guarantor. In that event, beneficial owners of such debt securities may recognize taxable gain for U.S. federal income tax purposes, as well as other possible adverse tax consequences. Beneficial owners of debt securities who are U.S. persons for U.S. federal income tax purposes should consult their tax advisors regarding the U.S. federal, state and local income tax consequences of an assumption of the Company’s obligations as issuer of debt securities by a subsidiary of the Guarantor.</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9019"/>
          </w:cols>
          <w:pgMar w:left="1440" w:top="237" w:right="1440" w:bottom="1440" w:gutter="0" w:footer="0" w:header="0"/>
        </w:sectPr>
      </w:pPr>
    </w:p>
    <w:bookmarkStart w:id="73" w:name="page74"/>
    <w:bookmarkEnd w:id="73"/>
    <w:p>
      <w:pPr>
        <w:ind w:left="4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205980" cy="31750"/>
                    </a:xfrm>
                    <a:prstGeom prst="rect">
                      <a:avLst/>
                    </a:prstGeom>
                    <a:noFill/>
                  </pic:spPr>
                </pic:pic>
              </a:graphicData>
            </a:graphic>
          </wp:anchor>
        </w:drawing>
        <w:t>Events of Default</w:t>
      </w:r>
    </w:p>
    <w:p>
      <w:pPr>
        <w:spacing w:after="0" w:line="83" w:lineRule="exact"/>
        <w:rPr>
          <w:sz w:val="20"/>
          <w:szCs w:val="20"/>
          <w:color w:val="auto"/>
        </w:rPr>
      </w:pPr>
    </w:p>
    <w:p>
      <w:pPr>
        <w:ind w:left="420" w:right="419" w:firstLine="327"/>
        <w:spacing w:after="0" w:line="282" w:lineRule="auto"/>
        <w:rPr>
          <w:sz w:val="20"/>
          <w:szCs w:val="20"/>
          <w:color w:val="auto"/>
        </w:rPr>
      </w:pPr>
      <w:r>
        <w:rPr>
          <w:rFonts w:ascii="Arial" w:cs="Arial" w:eastAsia="Arial" w:hAnsi="Arial"/>
          <w:sz w:val="13"/>
          <w:szCs w:val="13"/>
          <w:color w:val="auto"/>
        </w:rPr>
        <w:t>The following are “Events of Default” with respect to debt securities of a particular series, except to the extent provided in the officer’s certificate, supplemental indenture or resolution of the board of directors pursuant to which a series of debt securities is issued:</w:t>
      </w:r>
    </w:p>
    <w:p>
      <w:pPr>
        <w:spacing w:after="0" w:line="40" w:lineRule="exact"/>
        <w:rPr>
          <w:sz w:val="20"/>
          <w:szCs w:val="20"/>
          <w:color w:val="auto"/>
        </w:rPr>
      </w:pPr>
    </w:p>
    <w:p>
      <w:pPr>
        <w:ind w:left="1140" w:right="899" w:hanging="328"/>
        <w:spacing w:after="0" w:line="282" w:lineRule="auto"/>
        <w:tabs>
          <w:tab w:leader="none" w:pos="11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Company’s failure to pay any interest on any of the debt securities of such series within 30 days after such interest becomes due and payable;</w:t>
      </w:r>
    </w:p>
    <w:p>
      <w:pPr>
        <w:spacing w:after="0" w:line="39" w:lineRule="exact"/>
        <w:rPr>
          <w:rFonts w:ascii="Arial" w:cs="Arial" w:eastAsia="Arial" w:hAnsi="Arial"/>
          <w:sz w:val="13"/>
          <w:szCs w:val="13"/>
          <w:color w:val="auto"/>
        </w:rPr>
      </w:pPr>
    </w:p>
    <w:p>
      <w:pPr>
        <w:ind w:left="1140" w:right="539" w:hanging="328"/>
        <w:spacing w:after="0" w:line="282" w:lineRule="auto"/>
        <w:tabs>
          <w:tab w:leader="none" w:pos="11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Company’s failure to pay principal on any of the debt securities of such series at maturity, or if applicable, the redemption price, when the same become due and payable;</w:t>
      </w:r>
    </w:p>
    <w:p>
      <w:pPr>
        <w:spacing w:after="0" w:line="39" w:lineRule="exact"/>
        <w:rPr>
          <w:rFonts w:ascii="Arial" w:cs="Arial" w:eastAsia="Arial" w:hAnsi="Arial"/>
          <w:sz w:val="13"/>
          <w:szCs w:val="13"/>
          <w:color w:val="auto"/>
        </w:rPr>
      </w:pPr>
    </w:p>
    <w:p>
      <w:pPr>
        <w:ind w:left="1140" w:right="599" w:hanging="328"/>
        <w:spacing w:after="0" w:line="282" w:lineRule="auto"/>
        <w:tabs>
          <w:tab w:leader="none" w:pos="11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Company’s failure to pay any sinking fund installment as and when the same becomes due and payable by the terms of the debt securities of such series, and continuance of such default for a period of 30 days;</w:t>
      </w:r>
    </w:p>
    <w:p>
      <w:pPr>
        <w:spacing w:after="0" w:line="39" w:lineRule="exact"/>
        <w:rPr>
          <w:rFonts w:ascii="Arial" w:cs="Arial" w:eastAsia="Arial" w:hAnsi="Arial"/>
          <w:sz w:val="13"/>
          <w:szCs w:val="13"/>
          <w:color w:val="auto"/>
        </w:rPr>
      </w:pPr>
    </w:p>
    <w:p>
      <w:pPr>
        <w:ind w:left="1140" w:right="679" w:hanging="328"/>
        <w:spacing w:after="0" w:line="251" w:lineRule="auto"/>
        <w:tabs>
          <w:tab w:leader="none" w:pos="11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Company’s failure to comply with any of its covenants or agreements in any of the debt securities of such series or the indenture (other than an agreement or covenant that the Company has included in the indenture solely for the benefit of another series of debt securities that does not constitute part of the Company’s debt securities of such series) for 90 days after written notice by the trustee or by the holders of at least 25% in principal amount of all outstanding debt securities of such series of debt securities;</w:t>
      </w:r>
    </w:p>
    <w:p>
      <w:pPr>
        <w:spacing w:after="0" w:line="61" w:lineRule="exact"/>
        <w:rPr>
          <w:rFonts w:ascii="Arial" w:cs="Arial" w:eastAsia="Arial" w:hAnsi="Arial"/>
          <w:sz w:val="13"/>
          <w:szCs w:val="13"/>
          <w:color w:val="auto"/>
        </w:rPr>
      </w:pPr>
    </w:p>
    <w:p>
      <w:pPr>
        <w:ind w:left="1140" w:right="439" w:hanging="328"/>
        <w:spacing w:after="0" w:line="262" w:lineRule="auto"/>
        <w:tabs>
          <w:tab w:leader="none" w:pos="11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except as permitted by the indenture, the Guarantee of such series of the Company’s debt securities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52" w:lineRule="exact"/>
        <w:rPr>
          <w:rFonts w:ascii="Arial" w:cs="Arial" w:eastAsia="Arial" w:hAnsi="Arial"/>
          <w:sz w:val="13"/>
          <w:szCs w:val="13"/>
          <w:color w:val="auto"/>
        </w:rPr>
      </w:pPr>
    </w:p>
    <w:p>
      <w:pPr>
        <w:ind w:left="1140" w:hanging="328"/>
        <w:spacing w:after="0"/>
        <w:tabs>
          <w:tab w:leader="none" w:pos="11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certain events involving bankruptcy, insolvency or reorganization of the Company or the Guarantor.</w:t>
      </w:r>
    </w:p>
    <w:p>
      <w:pPr>
        <w:spacing w:after="0" w:line="162" w:lineRule="exact"/>
        <w:rPr>
          <w:sz w:val="20"/>
          <w:szCs w:val="20"/>
          <w:color w:val="auto"/>
        </w:rPr>
      </w:pPr>
    </w:p>
    <w:p>
      <w:pPr>
        <w:ind w:left="420" w:right="459" w:firstLine="327"/>
        <w:spacing w:after="0" w:line="255" w:lineRule="auto"/>
        <w:rPr>
          <w:sz w:val="20"/>
          <w:szCs w:val="20"/>
          <w:color w:val="auto"/>
        </w:rPr>
      </w:pPr>
      <w:r>
        <w:rPr>
          <w:rFonts w:ascii="Arial" w:cs="Arial" w:eastAsia="Arial" w:hAnsi="Arial"/>
          <w:sz w:val="13"/>
          <w:szCs w:val="13"/>
          <w:color w:val="auto"/>
        </w:rPr>
        <w:t>A default under one series of debt securities issued under the indenture will not necessarily be a default under another series of debt securities under the indenture. The trustee may withhold notice to the holders of a series of debt securities issued under the indenture of any default or event of default (except in any payment on the debt securities of such series) if the trustee considers it in the interest of the holders of the debt securities of that series to do so.</w:t>
      </w:r>
    </w:p>
    <w:p>
      <w:pPr>
        <w:spacing w:after="0" w:line="127" w:lineRule="exact"/>
        <w:rPr>
          <w:sz w:val="20"/>
          <w:szCs w:val="20"/>
          <w:color w:val="auto"/>
        </w:rPr>
      </w:pPr>
    </w:p>
    <w:p>
      <w:pPr>
        <w:ind w:left="420" w:right="439" w:firstLine="327"/>
        <w:spacing w:after="0" w:line="248" w:lineRule="auto"/>
        <w:rPr>
          <w:sz w:val="20"/>
          <w:szCs w:val="20"/>
          <w:color w:val="auto"/>
        </w:rPr>
      </w:pPr>
      <w:r>
        <w:rPr>
          <w:rFonts w:ascii="Arial" w:cs="Arial" w:eastAsia="Arial" w:hAnsi="Arial"/>
          <w:sz w:val="13"/>
          <w:szCs w:val="13"/>
          <w:color w:val="auto"/>
        </w:rPr>
        <w:t>If an event of default for a series of the Company’s debt securities occurs and is continuing, the trustee or the holders of at least 25% in principal amount of the outstanding debt securities of that series may require the Company to pay immediately the principal amount plus accrued and unpaid interest on such debt securities of that series. If an event of default relating to certain events of bankruptcy, insolvency or reorganization occurs with respect to the Company (or with respect to the Guarantor), the principal amount plus accrued and unpaid interest on the Company’s debt securities of that series (or in the case of the Guarantor, all debt securities) will become immediately due and payable without any action on the part of the trustee or any holder. The holders of a majority in principal amount of such outstanding debt securities of such series may in some cases rescind this accelerated payment requirement.</w:t>
      </w:r>
    </w:p>
    <w:p>
      <w:pPr>
        <w:spacing w:after="0" w:line="133" w:lineRule="exact"/>
        <w:rPr>
          <w:sz w:val="20"/>
          <w:szCs w:val="20"/>
          <w:color w:val="auto"/>
        </w:rPr>
      </w:pPr>
    </w:p>
    <w:p>
      <w:pPr>
        <w:ind w:left="420" w:right="559" w:firstLine="327"/>
        <w:spacing w:after="0" w:line="282" w:lineRule="auto"/>
        <w:rPr>
          <w:sz w:val="20"/>
          <w:szCs w:val="20"/>
          <w:color w:val="auto"/>
        </w:rPr>
      </w:pPr>
      <w:r>
        <w:rPr>
          <w:rFonts w:ascii="Arial" w:cs="Arial" w:eastAsia="Arial" w:hAnsi="Arial"/>
          <w:sz w:val="13"/>
          <w:szCs w:val="13"/>
          <w:color w:val="auto"/>
        </w:rPr>
        <w:t>A holder of debt securities of any series may pursue any remedy under the indenture applicable to the debt securities of that series only if:</w:t>
      </w:r>
    </w:p>
    <w:p>
      <w:pPr>
        <w:spacing w:after="0" w:line="40" w:lineRule="exact"/>
        <w:rPr>
          <w:sz w:val="20"/>
          <w:szCs w:val="20"/>
          <w:color w:val="auto"/>
        </w:rPr>
      </w:pPr>
    </w:p>
    <w:p>
      <w:pPr>
        <w:ind w:left="1140" w:hanging="328"/>
        <w:spacing w:after="0"/>
        <w:tabs>
          <w:tab w:leader="none" w:pos="11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holder gives the trustee written notice of a continuing event of default for such debt securities;</w:t>
      </w:r>
    </w:p>
    <w:p>
      <w:pPr>
        <w:spacing w:after="0" w:line="91" w:lineRule="exact"/>
        <w:rPr>
          <w:rFonts w:ascii="Arial" w:cs="Arial" w:eastAsia="Arial" w:hAnsi="Arial"/>
          <w:sz w:val="13"/>
          <w:szCs w:val="13"/>
          <w:color w:val="auto"/>
        </w:rPr>
      </w:pPr>
    </w:p>
    <w:p>
      <w:pPr>
        <w:ind w:left="1140" w:right="439" w:hanging="328"/>
        <w:spacing w:after="0" w:line="282" w:lineRule="auto"/>
        <w:tabs>
          <w:tab w:leader="none" w:pos="11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holders of at least 25% in principal amount of the debt securities of such series then outstanding make a written request to the trustee to pursue the remedy;</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9019"/>
          </w:cols>
          <w:pgMar w:left="1440" w:top="235" w:right="1440" w:bottom="1440" w:gutter="0" w:footer="0" w:header="0"/>
        </w:sectPr>
      </w:pPr>
    </w:p>
    <w:bookmarkStart w:id="74" w:name="page75"/>
    <w:bookmarkEnd w:id="74"/>
    <w:p>
      <w:pPr>
        <w:ind w:left="1140" w:hanging="328"/>
        <w:spacing w:after="0"/>
        <w:tabs>
          <w:tab w:leader="none" w:pos="1140" w:val="left"/>
        </w:tabs>
        <w:numPr>
          <w:ilvl w:val="0"/>
          <w:numId w:val="49"/>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the holder furnishes to the trustee indemnity reasonably satisfactory to the trustee;</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trustee fails to act for a period of 60 days after receipt of notice and furnishing of indemnity; and</w:t>
      </w:r>
    </w:p>
    <w:p>
      <w:pPr>
        <w:spacing w:after="0" w:line="91" w:lineRule="exact"/>
        <w:rPr>
          <w:rFonts w:ascii="Arial" w:cs="Arial" w:eastAsia="Arial" w:hAnsi="Arial"/>
          <w:sz w:val="13"/>
          <w:szCs w:val="13"/>
          <w:color w:val="auto"/>
        </w:rPr>
      </w:pPr>
    </w:p>
    <w:p>
      <w:pPr>
        <w:ind w:left="1140" w:right="519" w:hanging="328"/>
        <w:spacing w:after="0" w:line="282" w:lineRule="auto"/>
        <w:tabs>
          <w:tab w:leader="none" w:pos="11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during that 60-day period, the holders of a majority in principal amount of the outstanding debt securities of that series do not give the trustee a direction inconsistent with the request.</w:t>
      </w:r>
    </w:p>
    <w:p>
      <w:pPr>
        <w:spacing w:after="0" w:line="110" w:lineRule="exact"/>
        <w:rPr>
          <w:sz w:val="20"/>
          <w:szCs w:val="20"/>
          <w:color w:val="auto"/>
        </w:rPr>
      </w:pPr>
    </w:p>
    <w:p>
      <w:pPr>
        <w:ind w:left="420" w:right="639" w:firstLine="327"/>
        <w:spacing w:after="0" w:line="282" w:lineRule="auto"/>
        <w:rPr>
          <w:sz w:val="20"/>
          <w:szCs w:val="20"/>
          <w:color w:val="auto"/>
        </w:rPr>
      </w:pPr>
      <w:r>
        <w:rPr>
          <w:rFonts w:ascii="Arial" w:cs="Arial" w:eastAsia="Arial" w:hAnsi="Arial"/>
          <w:sz w:val="13"/>
          <w:szCs w:val="13"/>
          <w:color w:val="auto"/>
        </w:rPr>
        <w:t>This provision does not, however, affect the right of any holder to sue for enforcement of any overdue payment with respect to the debt securities of such series.</w:t>
      </w:r>
    </w:p>
    <w:p>
      <w:pPr>
        <w:spacing w:after="0" w:line="110" w:lineRule="exact"/>
        <w:rPr>
          <w:sz w:val="20"/>
          <w:szCs w:val="20"/>
          <w:color w:val="auto"/>
        </w:rPr>
      </w:pPr>
    </w:p>
    <w:p>
      <w:pPr>
        <w:ind w:left="420" w:right="439" w:firstLine="327"/>
        <w:spacing w:after="0" w:line="282" w:lineRule="auto"/>
        <w:rPr>
          <w:sz w:val="20"/>
          <w:szCs w:val="20"/>
          <w:color w:val="auto"/>
        </w:rPr>
      </w:pPr>
      <w:r>
        <w:rPr>
          <w:rFonts w:ascii="Arial" w:cs="Arial" w:eastAsia="Arial" w:hAnsi="Arial"/>
          <w:sz w:val="13"/>
          <w:szCs w:val="13"/>
          <w:color w:val="auto"/>
        </w:rPr>
        <w:t>In most cases, holders of a majority in principal amount of the outstanding debt securities of any series issued by the Company (or of all outstanding debt securities affected, voting as one class) may direct the time, method and place of:</w:t>
      </w:r>
    </w:p>
    <w:p>
      <w:pPr>
        <w:spacing w:after="0" w:line="40" w:lineRule="exact"/>
        <w:rPr>
          <w:sz w:val="20"/>
          <w:szCs w:val="20"/>
          <w:color w:val="auto"/>
        </w:rPr>
      </w:pPr>
    </w:p>
    <w:p>
      <w:pPr>
        <w:ind w:left="1140" w:hanging="328"/>
        <w:spacing w:after="0"/>
        <w:tabs>
          <w:tab w:leader="none" w:pos="11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conducting any proceeding for any remedy available to the trustee with respect to the debt securities of such series; and</w:t>
      </w:r>
    </w:p>
    <w:p>
      <w:pPr>
        <w:spacing w:after="0" w:line="91" w:lineRule="exact"/>
        <w:rPr>
          <w:rFonts w:ascii="Arial" w:cs="Arial" w:eastAsia="Arial" w:hAnsi="Arial"/>
          <w:sz w:val="13"/>
          <w:szCs w:val="13"/>
          <w:color w:val="auto"/>
        </w:rPr>
      </w:pPr>
    </w:p>
    <w:p>
      <w:pPr>
        <w:ind w:left="1140" w:right="639" w:hanging="328"/>
        <w:spacing w:after="0" w:line="282" w:lineRule="auto"/>
        <w:tabs>
          <w:tab w:leader="none" w:pos="11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exercising any trust or power conferred on the trustee not relating to or arising under an event of default with respect to the debt securities of such series.</w:t>
      </w:r>
    </w:p>
    <w:p>
      <w:pPr>
        <w:spacing w:after="0" w:line="110" w:lineRule="exact"/>
        <w:rPr>
          <w:sz w:val="20"/>
          <w:szCs w:val="20"/>
          <w:color w:val="auto"/>
        </w:rPr>
      </w:pPr>
    </w:p>
    <w:p>
      <w:pPr>
        <w:ind w:left="420" w:right="659" w:firstLine="327"/>
        <w:spacing w:after="0" w:line="282" w:lineRule="auto"/>
        <w:rPr>
          <w:sz w:val="20"/>
          <w:szCs w:val="20"/>
          <w:color w:val="auto"/>
        </w:rPr>
      </w:pPr>
      <w:r>
        <w:rPr>
          <w:rFonts w:ascii="Arial" w:cs="Arial" w:eastAsia="Arial" w:hAnsi="Arial"/>
          <w:sz w:val="13"/>
          <w:szCs w:val="13"/>
          <w:color w:val="auto"/>
        </w:rPr>
        <w:t>The indenture requires the Company to file with the trustee each year a written statement as to its compliance with the covenants contained in the indenture.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Modification and Waiver</w:t>
      </w:r>
    </w:p>
    <w:p>
      <w:pPr>
        <w:spacing w:after="0" w:line="83" w:lineRule="exact"/>
        <w:rPr>
          <w:sz w:val="20"/>
          <w:szCs w:val="20"/>
          <w:color w:val="auto"/>
        </w:rPr>
      </w:pPr>
    </w:p>
    <w:p>
      <w:pPr>
        <w:ind w:left="420" w:right="439" w:firstLine="327"/>
        <w:spacing w:after="0" w:line="245" w:lineRule="auto"/>
        <w:rPr>
          <w:sz w:val="20"/>
          <w:szCs w:val="20"/>
          <w:color w:val="auto"/>
        </w:rPr>
      </w:pPr>
      <w:r>
        <w:rPr>
          <w:rFonts w:ascii="Arial" w:cs="Arial" w:eastAsia="Arial" w:hAnsi="Arial"/>
          <w:sz w:val="13"/>
          <w:szCs w:val="13"/>
          <w:color w:val="auto"/>
        </w:rPr>
        <w:t>Except as provided in the next two succeeding paragraphs, the indenture or the debt securities of any series or Guarantee may be amended or supplemented, and waivers may be obtained, with the consent of the holders of at least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the indenture or the debt securities of such series or Guarantee may be waived with the consent of the holders of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(other than in respect of a provision contained in the applicable indenture that cannot be modified or amended without the consent of the holder of each outstanding debt security affected thereby).</w:t>
      </w:r>
    </w:p>
    <w:p>
      <w:pPr>
        <w:spacing w:after="0" w:line="135" w:lineRule="exact"/>
        <w:rPr>
          <w:sz w:val="20"/>
          <w:szCs w:val="20"/>
          <w:color w:val="auto"/>
        </w:rPr>
      </w:pPr>
    </w:p>
    <w:p>
      <w:pPr>
        <w:ind w:left="420" w:right="499" w:firstLine="327"/>
        <w:spacing w:after="0" w:line="282" w:lineRule="auto"/>
        <w:rPr>
          <w:sz w:val="20"/>
          <w:szCs w:val="20"/>
          <w:color w:val="auto"/>
        </w:rPr>
      </w:pPr>
      <w:r>
        <w:rPr>
          <w:rFonts w:ascii="Arial" w:cs="Arial" w:eastAsia="Arial" w:hAnsi="Arial"/>
          <w:sz w:val="13"/>
          <w:szCs w:val="13"/>
          <w:color w:val="auto"/>
        </w:rPr>
        <w:t>Without the consent of each holder of outstanding debt securities of any series, an amendment, supplement or waiver may not (with respect to any debt securities held by a non-consenting holder):</w:t>
      </w:r>
    </w:p>
    <w:p>
      <w:pPr>
        <w:spacing w:after="0" w:line="40" w:lineRule="exact"/>
        <w:rPr>
          <w:sz w:val="20"/>
          <w:szCs w:val="20"/>
          <w:color w:val="auto"/>
        </w:rPr>
      </w:pPr>
    </w:p>
    <w:p>
      <w:pPr>
        <w:ind w:left="1140" w:hanging="328"/>
        <w:spacing w:after="0"/>
        <w:tabs>
          <w:tab w:leader="none" w:pos="11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reduce the amount of debt securities of such series whose holders must consent to an amendment, supplement or waiver;</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reduce the rate of or change the time for payment of interest on the debt securities of such series;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reduce the principal or change the stated maturity of any debt securities of such series;</w:t>
      </w:r>
    </w:p>
    <w:p>
      <w:pPr>
        <w:spacing w:after="0" w:line="91" w:lineRule="exact"/>
        <w:rPr>
          <w:rFonts w:ascii="Arial" w:cs="Arial" w:eastAsia="Arial" w:hAnsi="Arial"/>
          <w:sz w:val="13"/>
          <w:szCs w:val="13"/>
          <w:color w:val="auto"/>
        </w:rPr>
      </w:pPr>
    </w:p>
    <w:p>
      <w:pPr>
        <w:ind w:left="1140" w:right="759" w:hanging="328"/>
        <w:spacing w:after="0" w:line="282" w:lineRule="auto"/>
        <w:tabs>
          <w:tab w:leader="none" w:pos="11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reduce any premium payable on the redemption of any debt security of such series or change the time at which any debt security of such series may or must be redeemed;</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9019"/>
          </w:cols>
          <w:pgMar w:left="1440" w:top="237" w:right="1440" w:bottom="1440" w:gutter="0" w:footer="0" w:header="0"/>
        </w:sectPr>
      </w:pPr>
    </w:p>
    <w:bookmarkStart w:id="75" w:name="page76"/>
    <w:bookmarkEnd w:id="75"/>
    <w:p>
      <w:pPr>
        <w:ind w:left="1140" w:hanging="328"/>
        <w:spacing w:after="0"/>
        <w:tabs>
          <w:tab w:leader="none" w:pos="1140" w:val="left"/>
        </w:tabs>
        <w:numPr>
          <w:ilvl w:val="0"/>
          <w:numId w:val="52"/>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205980" cy="31750"/>
                    </a:xfrm>
                    <a:prstGeom prst="rect">
                      <a:avLst/>
                    </a:prstGeom>
                    <a:noFill/>
                  </pic:spPr>
                </pic:pic>
              </a:graphicData>
            </a:graphic>
          </wp:anchor>
        </w:drawing>
        <w:t>change any obligation to pay Additional Amounts on the debt securities of such series;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make payments on any debt security of such series payable in currency other than as originally stated in such debt security;</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impair the holder’s right to institute suit for the enforcement of any payment on any debt security of such series;</w:t>
      </w:r>
    </w:p>
    <w:p>
      <w:pPr>
        <w:spacing w:after="0" w:line="91" w:lineRule="exact"/>
        <w:rPr>
          <w:rFonts w:ascii="Arial" w:cs="Arial" w:eastAsia="Arial" w:hAnsi="Arial"/>
          <w:sz w:val="13"/>
          <w:szCs w:val="13"/>
          <w:color w:val="auto"/>
        </w:rPr>
      </w:pPr>
    </w:p>
    <w:p>
      <w:pPr>
        <w:ind w:left="1140" w:right="579" w:hanging="328"/>
        <w:spacing w:after="0" w:line="262" w:lineRule="auto"/>
        <w:tabs>
          <w:tab w:leader="none" w:pos="11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make any change in the percentage of principal amount of the debt securities of such series necessary to waive compliance with certain provisions of the indenture the debt securities of such series were issued under or to make any change in this provision for modification; or</w:t>
      </w:r>
    </w:p>
    <w:p>
      <w:pPr>
        <w:spacing w:after="0" w:line="52" w:lineRule="exact"/>
        <w:rPr>
          <w:rFonts w:ascii="Arial" w:cs="Arial" w:eastAsia="Arial" w:hAnsi="Arial"/>
          <w:sz w:val="13"/>
          <w:szCs w:val="13"/>
          <w:color w:val="auto"/>
        </w:rPr>
      </w:pPr>
    </w:p>
    <w:p>
      <w:pPr>
        <w:ind w:left="1140" w:hanging="328"/>
        <w:spacing w:after="0"/>
        <w:tabs>
          <w:tab w:leader="none" w:pos="11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waive a continuing default or Event of Default regarding any payment on the debt securities.</w:t>
      </w:r>
    </w:p>
    <w:p>
      <w:pPr>
        <w:spacing w:after="0" w:line="162" w:lineRule="exact"/>
        <w:rPr>
          <w:sz w:val="20"/>
          <w:szCs w:val="20"/>
          <w:color w:val="auto"/>
        </w:rPr>
      </w:pPr>
    </w:p>
    <w:p>
      <w:pPr>
        <w:ind w:left="420" w:right="579" w:firstLine="327"/>
        <w:spacing w:after="0" w:line="262" w:lineRule="auto"/>
        <w:rPr>
          <w:sz w:val="20"/>
          <w:szCs w:val="20"/>
          <w:color w:val="auto"/>
        </w:rPr>
      </w:pPr>
      <w:r>
        <w:rPr>
          <w:rFonts w:ascii="Arial" w:cs="Arial" w:eastAsia="Arial" w:hAnsi="Arial"/>
          <w:sz w:val="13"/>
          <w:szCs w:val="13"/>
          <w:color w:val="auto"/>
        </w:rPr>
        <w:t>Notwithstanding the preceding, without the consent of any holder of debt securities of any series, the Company, the Guarantor and the trustee may amend or supplement the indenture, the applicable debt securities of any series or the Guarantee in certain circumstances, including:</w:t>
      </w:r>
    </w:p>
    <w:p>
      <w:pPr>
        <w:spacing w:after="0" w:line="52" w:lineRule="exact"/>
        <w:rPr>
          <w:sz w:val="20"/>
          <w:szCs w:val="20"/>
          <w:color w:val="auto"/>
        </w:rPr>
      </w:pPr>
    </w:p>
    <w:p>
      <w:pPr>
        <w:ind w:left="1140" w:hanging="328"/>
        <w:spacing w:after="0"/>
        <w:tabs>
          <w:tab w:leader="none" w:pos="11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to cure any ambiguity, omission, defect or inconsistency;</w:t>
      </w:r>
    </w:p>
    <w:p>
      <w:pPr>
        <w:spacing w:after="0" w:line="91" w:lineRule="exact"/>
        <w:rPr>
          <w:rFonts w:ascii="Arial" w:cs="Arial" w:eastAsia="Arial" w:hAnsi="Arial"/>
          <w:sz w:val="13"/>
          <w:szCs w:val="13"/>
          <w:color w:val="auto"/>
        </w:rPr>
      </w:pPr>
    </w:p>
    <w:p>
      <w:pPr>
        <w:ind w:left="1140" w:right="459" w:hanging="328"/>
        <w:spacing w:after="0" w:line="251" w:lineRule="auto"/>
        <w:tabs>
          <w:tab w:leader="none" w:pos="11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to provide for the assumption of the Company’s or the Guarantor’s obligations under the indenture, and such series of debt securities or the Guarantee, as applicable, by a successor upon any merger, consolidation or asset transfer in accordance with the requirements under “—Consolidation, Merger and Sale of Assets” or to provide for the assumption of the Company’s obligations under the indenture by a subsidiary of the Guarantor in accordance with the requirements under “—Assumption by a Subsidiary” above;</w:t>
      </w:r>
    </w:p>
    <w:p>
      <w:pPr>
        <w:spacing w:after="0" w:line="61" w:lineRule="exact"/>
        <w:rPr>
          <w:rFonts w:ascii="Arial" w:cs="Arial" w:eastAsia="Arial" w:hAnsi="Arial"/>
          <w:sz w:val="13"/>
          <w:szCs w:val="13"/>
          <w:color w:val="auto"/>
        </w:rPr>
      </w:pPr>
    </w:p>
    <w:p>
      <w:pPr>
        <w:ind w:left="1140" w:hanging="328"/>
        <w:spacing w:after="0"/>
        <w:tabs>
          <w:tab w:leader="none" w:pos="11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to provide for uncertificated debt securities of any series in addition to or in place of certificated debt securities;</w:t>
      </w:r>
    </w:p>
    <w:p>
      <w:pPr>
        <w:spacing w:after="0" w:line="91" w:lineRule="exact"/>
        <w:rPr>
          <w:rFonts w:ascii="Arial" w:cs="Arial" w:eastAsia="Arial" w:hAnsi="Arial"/>
          <w:sz w:val="13"/>
          <w:szCs w:val="13"/>
          <w:color w:val="auto"/>
        </w:rPr>
      </w:pPr>
    </w:p>
    <w:p>
      <w:pPr>
        <w:ind w:left="1140" w:right="1059" w:hanging="328"/>
        <w:spacing w:after="0" w:line="282" w:lineRule="auto"/>
        <w:tabs>
          <w:tab w:leader="none" w:pos="11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to provide any security for or guarantees of the debt securities or for the addition of an additional obligor on the debt securities;</w:t>
      </w:r>
    </w:p>
    <w:p>
      <w:pPr>
        <w:spacing w:after="0" w:line="39" w:lineRule="exact"/>
        <w:rPr>
          <w:rFonts w:ascii="Arial" w:cs="Arial" w:eastAsia="Arial" w:hAnsi="Arial"/>
          <w:sz w:val="13"/>
          <w:szCs w:val="13"/>
          <w:color w:val="auto"/>
        </w:rPr>
      </w:pPr>
    </w:p>
    <w:p>
      <w:pPr>
        <w:ind w:left="1140" w:right="979" w:hanging="328"/>
        <w:spacing w:after="0" w:line="282" w:lineRule="auto"/>
        <w:tabs>
          <w:tab w:leader="none" w:pos="11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to comply with any requirement to effect or maintain the qualification of the indenture under the Trust Indenture Act, if applicable;</w:t>
      </w:r>
    </w:p>
    <w:p>
      <w:pPr>
        <w:spacing w:after="0" w:line="39" w:lineRule="exact"/>
        <w:rPr>
          <w:rFonts w:ascii="Arial" w:cs="Arial" w:eastAsia="Arial" w:hAnsi="Arial"/>
          <w:sz w:val="13"/>
          <w:szCs w:val="13"/>
          <w:color w:val="auto"/>
        </w:rPr>
      </w:pPr>
    </w:p>
    <w:p>
      <w:pPr>
        <w:ind w:left="1140" w:right="759" w:hanging="328"/>
        <w:spacing w:after="0" w:line="282" w:lineRule="auto"/>
        <w:tabs>
          <w:tab w:leader="none" w:pos="11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to add covenants that would benefit the holders of any outstanding series of debt securities or to surrender any rights the Company has under the indenture;</w:t>
      </w:r>
    </w:p>
    <w:p>
      <w:pPr>
        <w:spacing w:after="0" w:line="39" w:lineRule="exact"/>
        <w:rPr>
          <w:rFonts w:ascii="Arial" w:cs="Arial" w:eastAsia="Arial" w:hAnsi="Arial"/>
          <w:sz w:val="13"/>
          <w:szCs w:val="13"/>
          <w:color w:val="auto"/>
        </w:rPr>
      </w:pPr>
    </w:p>
    <w:p>
      <w:pPr>
        <w:ind w:left="1140" w:right="659" w:hanging="328"/>
        <w:spacing w:after="0" w:line="262" w:lineRule="auto"/>
        <w:tabs>
          <w:tab w:leader="none" w:pos="11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to change or eliminate any of the provisions of the indenture, provided that any such change or elimination will not become effective with respect to any outstanding debt security of any series created prior to the execution of such supplemental indenture which is entitled to the benefit of such provision;</w:t>
      </w:r>
    </w:p>
    <w:p>
      <w:pPr>
        <w:spacing w:after="0" w:line="52" w:lineRule="exact"/>
        <w:rPr>
          <w:rFonts w:ascii="Arial" w:cs="Arial" w:eastAsia="Arial" w:hAnsi="Arial"/>
          <w:sz w:val="13"/>
          <w:szCs w:val="13"/>
          <w:color w:val="auto"/>
        </w:rPr>
      </w:pPr>
    </w:p>
    <w:p>
      <w:pPr>
        <w:ind w:left="1140" w:hanging="328"/>
        <w:spacing w:after="0"/>
        <w:tabs>
          <w:tab w:leader="none" w:pos="11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to provide for the issuance of and establish forms and terms and conditions of a new series of debt securities;</w:t>
      </w:r>
    </w:p>
    <w:p>
      <w:pPr>
        <w:spacing w:after="0" w:line="91" w:lineRule="exact"/>
        <w:rPr>
          <w:rFonts w:ascii="Arial" w:cs="Arial" w:eastAsia="Arial" w:hAnsi="Arial"/>
          <w:sz w:val="13"/>
          <w:szCs w:val="13"/>
          <w:color w:val="auto"/>
        </w:rPr>
      </w:pPr>
    </w:p>
    <w:p>
      <w:pPr>
        <w:ind w:left="1140" w:right="499" w:hanging="328"/>
        <w:spacing w:after="0" w:line="282" w:lineRule="auto"/>
        <w:tabs>
          <w:tab w:leader="none" w:pos="11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to issue additional debt securities of any series; provided that such additional debt securities have the same terms as, and be deemed part of the same series as, the applicable series of debt securities to the extent required under the indenture;</w:t>
      </w:r>
    </w:p>
    <w:p>
      <w:pPr>
        <w:spacing w:after="0" w:line="39" w:lineRule="exact"/>
        <w:rPr>
          <w:rFonts w:ascii="Arial" w:cs="Arial" w:eastAsia="Arial" w:hAnsi="Arial"/>
          <w:sz w:val="13"/>
          <w:szCs w:val="13"/>
          <w:color w:val="auto"/>
        </w:rPr>
      </w:pPr>
    </w:p>
    <w:p>
      <w:pPr>
        <w:ind w:left="1140" w:right="519" w:hanging="328"/>
        <w:spacing w:after="0" w:line="262" w:lineRule="auto"/>
        <w:tabs>
          <w:tab w:leader="none" w:pos="11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to evidence and provide for the acceptance and appointment of a successor trustee with respect to the debt securities of one or more series and to add to or change any of the provisions of the indenture as are necessary to provide for or facilitate the administration of the trust by more than one trustee;</w:t>
      </w:r>
    </w:p>
    <w:p>
      <w:pPr>
        <w:spacing w:after="0" w:line="52" w:lineRule="exact"/>
        <w:rPr>
          <w:rFonts w:ascii="Arial" w:cs="Arial" w:eastAsia="Arial" w:hAnsi="Arial"/>
          <w:sz w:val="13"/>
          <w:szCs w:val="13"/>
          <w:color w:val="auto"/>
        </w:rPr>
      </w:pPr>
    </w:p>
    <w:p>
      <w:pPr>
        <w:ind w:left="1140" w:hanging="328"/>
        <w:spacing w:after="0"/>
        <w:tabs>
          <w:tab w:leader="none" w:pos="11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to add additional Events of Default with respect to any series of debt securities; and</w:t>
      </w:r>
    </w:p>
    <w:p>
      <w:pPr>
        <w:spacing w:after="0" w:line="91" w:lineRule="exact"/>
        <w:rPr>
          <w:rFonts w:ascii="Arial" w:cs="Arial" w:eastAsia="Arial" w:hAnsi="Arial"/>
          <w:sz w:val="13"/>
          <w:szCs w:val="13"/>
          <w:color w:val="auto"/>
        </w:rPr>
      </w:pPr>
    </w:p>
    <w:p>
      <w:pPr>
        <w:ind w:left="1140" w:right="939" w:hanging="328"/>
        <w:spacing w:after="0" w:line="282" w:lineRule="auto"/>
        <w:tabs>
          <w:tab w:leader="none" w:pos="11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to make any change that does not adversely affect any of its outstanding debt securities of such series in any material respect.</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9019"/>
          </w:cols>
          <w:pgMar w:left="1440" w:top="237" w:right="1440" w:bottom="1440" w:gutter="0" w:footer="0" w:header="0"/>
        </w:sectPr>
      </w:pPr>
    </w:p>
    <w:bookmarkStart w:id="76" w:name="page77"/>
    <w:bookmarkEnd w:id="76"/>
    <w:p>
      <w:pPr>
        <w:ind w:left="420"/>
        <w:spacing w:after="0"/>
        <w:rPr>
          <w:sz w:val="20"/>
          <w:szCs w:val="20"/>
          <w:color w:val="auto"/>
        </w:rPr>
      </w:pPr>
      <w:r>
        <w:rPr>
          <w:rFonts w:ascii="Arial" w:cs="Arial" w:eastAsia="Arial" w:hAnsi="Arial"/>
          <w:sz w:val="13"/>
          <w:szCs w:val="13"/>
          <w:b w:val="1"/>
          <w:bCs w:val="1"/>
          <w:i w:val="1"/>
          <w:i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205980" cy="31750"/>
                    </a:xfrm>
                    <a:prstGeom prst="rect">
                      <a:avLst/>
                    </a:prstGeom>
                    <a:noFill/>
                  </pic:spPr>
                </pic:pic>
              </a:graphicData>
            </a:graphic>
          </wp:anchor>
        </w:drawing>
        <w:t>No Personal Liability of Directors, Officers, Employees, Stockholders and Certain Others</w:t>
      </w:r>
    </w:p>
    <w:p>
      <w:pPr>
        <w:spacing w:after="0" w:line="81" w:lineRule="exact"/>
        <w:rPr>
          <w:sz w:val="20"/>
          <w:szCs w:val="20"/>
          <w:color w:val="auto"/>
        </w:rPr>
      </w:pPr>
    </w:p>
    <w:p>
      <w:pPr>
        <w:ind w:left="420" w:right="479" w:firstLine="327"/>
        <w:spacing w:after="0" w:line="251" w:lineRule="auto"/>
        <w:rPr>
          <w:sz w:val="20"/>
          <w:szCs w:val="20"/>
          <w:color w:val="auto"/>
        </w:rPr>
      </w:pPr>
      <w:r>
        <w:rPr>
          <w:rFonts w:ascii="Arial" w:cs="Arial" w:eastAsia="Arial" w:hAnsi="Arial"/>
          <w:sz w:val="13"/>
          <w:szCs w:val="13"/>
          <w:color w:val="auto"/>
        </w:rPr>
        <w:t>No director, officer, employee, incorporator or similar founder, stockholder or member of the Company or the Guarantor, as such, will have any liability for any obligations of the Company or the Guarantor under the applicable debt securities, indenture or Guarantee or for any claim based on, in respect of, or by reason of, such 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Defeasance</w:t>
      </w:r>
    </w:p>
    <w:p>
      <w:pPr>
        <w:spacing w:after="0" w:line="83" w:lineRule="exact"/>
        <w:rPr>
          <w:sz w:val="20"/>
          <w:szCs w:val="20"/>
          <w:color w:val="auto"/>
        </w:rPr>
      </w:pPr>
    </w:p>
    <w:p>
      <w:pPr>
        <w:ind w:left="420" w:right="579" w:firstLine="327"/>
        <w:spacing w:after="0" w:line="257" w:lineRule="auto"/>
        <w:rPr>
          <w:sz w:val="20"/>
          <w:szCs w:val="20"/>
          <w:color w:val="auto"/>
        </w:rPr>
      </w:pPr>
      <w:r>
        <w:rPr>
          <w:rFonts w:ascii="Arial" w:cs="Arial" w:eastAsia="Arial" w:hAnsi="Arial"/>
          <w:sz w:val="13"/>
          <w:szCs w:val="13"/>
          <w:color w:val="auto"/>
        </w:rPr>
        <w:t>The term defeasance means the discharge of the Company from some or all of its obligations under the indenture. If the Company deposits with the trustee funds or government obligations (as defined in the indenture) sufficient to make payments on any particular series of debt securities on the dates those payments are due and payable, then, at the Company’s option, either of the following will occur:</w:t>
      </w:r>
    </w:p>
    <w:p>
      <w:pPr>
        <w:spacing w:after="0" w:line="212" w:lineRule="exact"/>
        <w:rPr>
          <w:sz w:val="20"/>
          <w:szCs w:val="20"/>
          <w:color w:val="auto"/>
        </w:rPr>
      </w:pPr>
    </w:p>
    <w:p>
      <w:pPr>
        <w:ind w:left="1140" w:right="1059" w:hanging="328"/>
        <w:spacing w:after="0" w:line="282" w:lineRule="auto"/>
        <w:tabs>
          <w:tab w:leader="none" w:pos="11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it will be discharged from its obligations with respect to the debt securities of such series, except as described in the paragraph immediately below (“legal defeasance”); or</w:t>
      </w:r>
    </w:p>
    <w:p>
      <w:pPr>
        <w:spacing w:after="0" w:line="39" w:lineRule="exact"/>
        <w:rPr>
          <w:rFonts w:ascii="Arial" w:cs="Arial" w:eastAsia="Arial" w:hAnsi="Arial"/>
          <w:sz w:val="13"/>
          <w:szCs w:val="13"/>
          <w:color w:val="auto"/>
        </w:rPr>
      </w:pPr>
    </w:p>
    <w:p>
      <w:pPr>
        <w:ind w:left="1140" w:right="759" w:hanging="328"/>
        <w:spacing w:after="0" w:line="282" w:lineRule="auto"/>
        <w:tabs>
          <w:tab w:leader="none" w:pos="11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it will no longer have any obligation to comply with the restrictive covenants under the indenture with respect to the debt securities of such series, and the related Events of Default will no longer apply to the Company (“covenant defeasance”).</w:t>
      </w:r>
    </w:p>
    <w:p>
      <w:pPr>
        <w:spacing w:after="0" w:line="110" w:lineRule="exact"/>
        <w:rPr>
          <w:sz w:val="20"/>
          <w:szCs w:val="20"/>
          <w:color w:val="auto"/>
        </w:rPr>
      </w:pPr>
    </w:p>
    <w:p>
      <w:pPr>
        <w:ind w:left="420" w:right="419" w:firstLine="327"/>
        <w:spacing w:after="0" w:line="249" w:lineRule="auto"/>
        <w:rPr>
          <w:sz w:val="20"/>
          <w:szCs w:val="20"/>
          <w:color w:val="auto"/>
        </w:rPr>
      </w:pPr>
      <w:r>
        <w:rPr>
          <w:rFonts w:ascii="Arial" w:cs="Arial" w:eastAsia="Arial" w:hAnsi="Arial"/>
          <w:sz w:val="13"/>
          <w:szCs w:val="13"/>
          <w:color w:val="auto"/>
        </w:rPr>
        <w:t>We may exercise our legal defeasance option notwithstanding our prior exercise of our covenant defeasance option. If we defease any series of debt securities, the holders of the defeased debt securities will not be entitled to the benefits of the indenture under which such debt securities were issued, except for the Company’s obligations to register the transfer or exchange of debt securities of such series, replace stolen, lost or mutilated debt securities, pay Additional Amounts, maintain paying agencies and hold moneys for payment in trust and to compensate and indemnify the trustee. In the case of covenant defeasance, the Company’s obligation to pay principal, premium and interest on the debt securities of such series will also survive.</w:t>
      </w:r>
    </w:p>
    <w:p>
      <w:pPr>
        <w:spacing w:after="0" w:line="133" w:lineRule="exact"/>
        <w:rPr>
          <w:sz w:val="20"/>
          <w:szCs w:val="20"/>
          <w:color w:val="auto"/>
        </w:rPr>
      </w:pPr>
    </w:p>
    <w:p>
      <w:pPr>
        <w:jc w:val="both"/>
        <w:ind w:left="420" w:right="519" w:firstLine="327"/>
        <w:spacing w:after="0" w:line="255" w:lineRule="auto"/>
        <w:rPr>
          <w:sz w:val="20"/>
          <w:szCs w:val="20"/>
          <w:color w:val="auto"/>
        </w:rPr>
      </w:pPr>
      <w:r>
        <w:rPr>
          <w:rFonts w:ascii="Arial" w:cs="Arial" w:eastAsia="Arial" w:hAnsi="Arial"/>
          <w:sz w:val="13"/>
          <w:szCs w:val="13"/>
          <w:color w:val="auto"/>
        </w:rPr>
        <w:t>In addition to the other requirements, we will be required to deliver to the trustee an opinion of counsel that the deposit and related defeasance would not cause the beneficial owners of the debt securities of such series to recognize income, gain or loss for U.S. federal income tax purposes. If the Company elects legal defeasance, that opinion of counsel must be based upon a ruling from the U.S. Internal Revenue Service addressed to the Company or trustee or a change in law to that effect.</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Concerning the Trustee</w:t>
      </w:r>
    </w:p>
    <w:p>
      <w:pPr>
        <w:spacing w:after="0" w:line="83" w:lineRule="exact"/>
        <w:rPr>
          <w:sz w:val="20"/>
          <w:szCs w:val="20"/>
          <w:color w:val="auto"/>
        </w:rPr>
      </w:pPr>
    </w:p>
    <w:p>
      <w:pPr>
        <w:ind w:left="420" w:right="539" w:firstLine="327"/>
        <w:spacing w:after="0" w:line="282" w:lineRule="auto"/>
        <w:rPr>
          <w:sz w:val="20"/>
          <w:szCs w:val="20"/>
          <w:color w:val="auto"/>
        </w:rPr>
      </w:pPr>
      <w:r>
        <w:rPr>
          <w:rFonts w:ascii="Arial" w:cs="Arial" w:eastAsia="Arial" w:hAnsi="Arial"/>
          <w:sz w:val="13"/>
          <w:szCs w:val="13"/>
          <w:color w:val="auto"/>
        </w:rPr>
        <w:t>The Bank of New York Mellon is trustee under the indenture. The trustee performs services for the Guarantor and its subsidiaries in the ordinary course of business.</w:t>
      </w:r>
    </w:p>
    <w:p>
      <w:pPr>
        <w:spacing w:after="0" w:line="110" w:lineRule="exact"/>
        <w:rPr>
          <w:sz w:val="20"/>
          <w:szCs w:val="20"/>
          <w:color w:val="auto"/>
        </w:rPr>
      </w:pPr>
    </w:p>
    <w:p>
      <w:pPr>
        <w:ind w:left="420" w:right="499" w:firstLine="327"/>
        <w:spacing w:after="0" w:line="255" w:lineRule="auto"/>
        <w:rPr>
          <w:sz w:val="20"/>
          <w:szCs w:val="20"/>
          <w:color w:val="auto"/>
        </w:rPr>
      </w:pPr>
      <w:r>
        <w:rPr>
          <w:rFonts w:ascii="Arial" w:cs="Arial" w:eastAsia="Arial" w:hAnsi="Arial"/>
          <w:sz w:val="13"/>
          <w:szCs w:val="13"/>
          <w:color w:val="auto"/>
        </w:rPr>
        <w:t>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debt securities issued under the indenture only after those holders have furnished the trustee indemnity reasonably satisfactory to it.</w:t>
      </w:r>
    </w:p>
    <w:p>
      <w:pPr>
        <w:spacing w:after="0" w:line="127" w:lineRule="exact"/>
        <w:rPr>
          <w:sz w:val="20"/>
          <w:szCs w:val="20"/>
          <w:color w:val="auto"/>
        </w:rPr>
      </w:pPr>
    </w:p>
    <w:p>
      <w:pPr>
        <w:ind w:left="420" w:right="519" w:firstLine="327"/>
        <w:spacing w:after="0" w:line="282" w:lineRule="auto"/>
        <w:rPr>
          <w:sz w:val="20"/>
          <w:szCs w:val="20"/>
          <w:color w:val="auto"/>
        </w:rPr>
      </w:pPr>
      <w:r>
        <w:rPr>
          <w:rFonts w:ascii="Arial" w:cs="Arial" w:eastAsia="Arial" w:hAnsi="Arial"/>
          <w:sz w:val="13"/>
          <w:szCs w:val="13"/>
          <w:color w:val="auto"/>
        </w:rPr>
        <w:t>If the trustee becomes a creditor of the Company, it will be subject to limitations in the indenture to which the Company is a party on its rights to obtain payment of claims or to realize on certain property</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9019"/>
          </w:cols>
          <w:pgMar w:left="1440" w:top="237" w:right="1440" w:bottom="1440" w:gutter="0" w:footer="0" w:header="0"/>
        </w:sectPr>
      </w:pPr>
    </w:p>
    <w:bookmarkStart w:id="77" w:name="page78"/>
    <w:bookmarkEnd w:id="77"/>
    <w:p>
      <w:pPr>
        <w:ind w:left="420" w:right="579"/>
        <w:spacing w:after="0" w:line="28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205980" cy="31750"/>
                    </a:xfrm>
                    <a:prstGeom prst="rect">
                      <a:avLst/>
                    </a:prstGeom>
                    <a:noFill/>
                  </pic:spPr>
                </pic:pic>
              </a:graphicData>
            </a:graphic>
          </wp:anchor>
        </w:drawing>
        <w:t>received for any such claim, as security or otherwise. The trustee is permitted to engage in other transactions with us. If, however, it acquires any conflicting interest, it must eliminate such conflict, resign or obtain an order from the SEC permitting it to remain as trustee.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Paying Agent and Registrar for the Debt Securities</w:t>
      </w:r>
    </w:p>
    <w:p>
      <w:pPr>
        <w:spacing w:after="0" w:line="83" w:lineRule="exact"/>
        <w:rPr>
          <w:sz w:val="20"/>
          <w:szCs w:val="20"/>
          <w:color w:val="auto"/>
        </w:rPr>
      </w:pPr>
    </w:p>
    <w:p>
      <w:pPr>
        <w:ind w:left="420" w:right="439" w:firstLine="327"/>
        <w:spacing w:after="0" w:line="247" w:lineRule="auto"/>
        <w:rPr>
          <w:sz w:val="20"/>
          <w:szCs w:val="20"/>
          <w:color w:val="auto"/>
        </w:rPr>
      </w:pPr>
      <w:r>
        <w:rPr>
          <w:rFonts w:ascii="Arial" w:cs="Arial" w:eastAsia="Arial" w:hAnsi="Arial"/>
          <w:sz w:val="13"/>
          <w:szCs w:val="13"/>
          <w:color w:val="auto"/>
        </w:rPr>
        <w:t>We will maintain one or more paying agents (each, a “Paying Agent”) for any debt securities we issue in the Borough of Manhattan, City of New York. We will also maintain a Paying Agent in a member state of the European Union that is not obligated to withhold or deduct tax pursuant to the European Union Directive 2003/48/EC or any other directive implementing the conclusions of the ECOFIN Council meeting of 26 and 27 November 2000 on the taxation of savings income, or any law implementing, or complying with or introduced in order to conform to, such directive. Upon written notice to the trustee accompanied by an officer’s certificate, we may appoint one or more Paying Agents, other than the trustee, for all or any series of such debt securities. If we fail to appoint or maintain another entity as Paying Agent, the trustee will act as such. The Company, the Guarantor or any of the Guarantor’s subsidiaries, upon notice to the trustee, may act as Paying Agent.</w:t>
      </w:r>
    </w:p>
    <w:p>
      <w:pPr>
        <w:spacing w:after="0" w:line="288" w:lineRule="exact"/>
        <w:rPr>
          <w:sz w:val="20"/>
          <w:szCs w:val="20"/>
          <w:color w:val="auto"/>
        </w:rPr>
      </w:pPr>
    </w:p>
    <w:p>
      <w:pPr>
        <w:ind w:left="420" w:right="439" w:firstLine="327"/>
        <w:spacing w:after="0" w:line="255" w:lineRule="auto"/>
        <w:rPr>
          <w:sz w:val="20"/>
          <w:szCs w:val="20"/>
          <w:color w:val="auto"/>
        </w:rPr>
      </w:pPr>
      <w:r>
        <w:rPr>
          <w:rFonts w:ascii="Arial" w:cs="Arial" w:eastAsia="Arial" w:hAnsi="Arial"/>
          <w:sz w:val="13"/>
          <w:szCs w:val="13"/>
          <w:color w:val="auto"/>
        </w:rPr>
        <w:t>We will also maintain one or more registrars (each, a “Registrar”) with an office in the Borough of Manhattan, City of New York. Upon written notice to the trustee accompanied by an officer’s certificate, we may appoint one or more registrars, other than the trustee, for all or any series of debt securities. If we fail to appoint or maintain another entity as registrar, the trustee will act as such. The Company, the Guarantor or any of the Guarantor’s subsidiaries, upon notice to the trustee, may act as registrar.</w:t>
      </w:r>
    </w:p>
    <w:p>
      <w:pPr>
        <w:spacing w:after="0" w:line="127" w:lineRule="exact"/>
        <w:rPr>
          <w:sz w:val="20"/>
          <w:szCs w:val="20"/>
          <w:color w:val="auto"/>
        </w:rPr>
      </w:pPr>
    </w:p>
    <w:p>
      <w:pPr>
        <w:ind w:left="420" w:right="439" w:firstLine="327"/>
        <w:spacing w:after="0" w:line="251" w:lineRule="auto"/>
        <w:rPr>
          <w:sz w:val="20"/>
          <w:szCs w:val="20"/>
          <w:color w:val="auto"/>
        </w:rPr>
      </w:pPr>
      <w:r>
        <w:rPr>
          <w:rFonts w:ascii="Arial" w:cs="Arial" w:eastAsia="Arial" w:hAnsi="Arial"/>
          <w:sz w:val="13"/>
          <w:szCs w:val="13"/>
          <w:color w:val="auto"/>
        </w:rPr>
        <w:t>We will also maintain a transfer agent with an office in the Borough of Manhattan, City of New York. Each transfer agent will perform the functions of a transfer agent. Upon written notice to the trustee accompanied by an officer’s certificate, we may appoint one or more transfer agents, other than the trustee, for all or any series of debt securities. If we fail to appoint or maintain another entity as transfer agent, the trustee will act as such. The Company, the Guarantor or any of the Guarantor’s subsidiaries, upon notice to the trustee, may act as transfer agent.</w:t>
      </w:r>
    </w:p>
    <w:p>
      <w:pPr>
        <w:spacing w:after="0" w:line="131" w:lineRule="exact"/>
        <w:rPr>
          <w:sz w:val="20"/>
          <w:szCs w:val="20"/>
          <w:color w:val="auto"/>
        </w:rPr>
      </w:pPr>
    </w:p>
    <w:p>
      <w:pPr>
        <w:ind w:left="420" w:right="539" w:firstLine="327"/>
        <w:spacing w:after="0" w:line="282" w:lineRule="auto"/>
        <w:rPr>
          <w:sz w:val="20"/>
          <w:szCs w:val="20"/>
          <w:color w:val="auto"/>
        </w:rPr>
      </w:pPr>
      <w:r>
        <w:rPr>
          <w:rFonts w:ascii="Arial" w:cs="Arial" w:eastAsia="Arial" w:hAnsi="Arial"/>
          <w:sz w:val="13"/>
          <w:szCs w:val="13"/>
          <w:color w:val="auto"/>
        </w:rPr>
        <w:t>The Registrar will maintain a register reflecting ownership of debt securities outstanding from time to time and the Paying Agent will make payments on and facilitate transfer of debt securities on our behalf.</w:t>
      </w:r>
    </w:p>
    <w:p>
      <w:pPr>
        <w:spacing w:after="0" w:line="11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We may change any Paying Agents, Registrars or transfer agents without prior notice to the holders of debt securities.</w:t>
      </w:r>
    </w:p>
    <w:p>
      <w:pPr>
        <w:spacing w:after="0" w:line="240"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Book-Entry, Delivery and Form</w:t>
      </w:r>
    </w:p>
    <w:p>
      <w:pPr>
        <w:spacing w:after="0" w:line="83" w:lineRule="exact"/>
        <w:rPr>
          <w:sz w:val="20"/>
          <w:szCs w:val="20"/>
          <w:color w:val="auto"/>
        </w:rPr>
      </w:pPr>
    </w:p>
    <w:p>
      <w:pPr>
        <w:ind w:left="420" w:right="639" w:firstLine="327"/>
        <w:spacing w:after="0" w:line="251" w:lineRule="auto"/>
        <w:rPr>
          <w:sz w:val="20"/>
          <w:szCs w:val="20"/>
          <w:color w:val="auto"/>
        </w:rPr>
      </w:pPr>
      <w:r>
        <w:rPr>
          <w:rFonts w:ascii="Arial" w:cs="Arial" w:eastAsia="Arial" w:hAnsi="Arial"/>
          <w:sz w:val="13"/>
          <w:szCs w:val="13"/>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authorized denominations and will be issued in registered form only, without coupons.</w:t>
      </w:r>
    </w:p>
    <w:p>
      <w:pPr>
        <w:spacing w:after="0" w:line="131" w:lineRule="exact"/>
        <w:rPr>
          <w:sz w:val="20"/>
          <w:szCs w:val="20"/>
          <w:color w:val="auto"/>
        </w:rPr>
      </w:pPr>
    </w:p>
    <w:p>
      <w:pPr>
        <w:ind w:left="420" w:right="439" w:firstLine="327"/>
        <w:spacing w:after="0" w:line="251" w:lineRule="auto"/>
        <w:rPr>
          <w:sz w:val="20"/>
          <w:szCs w:val="20"/>
          <w:color w:val="auto"/>
        </w:rPr>
      </w:pPr>
      <w:r>
        <w:rPr>
          <w:rFonts w:ascii="Arial" w:cs="Arial" w:eastAsia="Arial" w:hAnsi="Arial"/>
          <w:sz w:val="13"/>
          <w:szCs w:val="13"/>
          <w:color w:val="auto"/>
        </w:rPr>
        <w:t>We anticipate that the Debt Depository for the debt securities will be, and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9019"/>
          </w:cols>
          <w:pgMar w:left="1440" w:top="237" w:right="1440" w:bottom="1440" w:gutter="0" w:footer="0" w:header="0"/>
        </w:sectPr>
      </w:pPr>
    </w:p>
    <w:bookmarkStart w:id="78" w:name="page79"/>
    <w:bookmarkEnd w:id="78"/>
    <w:p>
      <w:pPr>
        <w:ind w:left="420" w:right="439" w:firstLine="327"/>
        <w:spacing w:after="0" w:line="28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205980" cy="31750"/>
                    </a:xfrm>
                    <a:prstGeom prst="rect">
                      <a:avLst/>
                    </a:prstGeom>
                    <a:noFill/>
                  </pic:spPr>
                </pic:pic>
              </a:graphicData>
            </a:graphic>
          </wp:anchor>
        </w:drawing>
        <w:t>Beneficial interests in the global securities will be represented through book-entry accounts of financial institutions acting on behalf of beneficial owners as direct or indirect participants in DTC.</w:t>
      </w:r>
    </w:p>
    <w:p>
      <w:pPr>
        <w:spacing w:after="0" w:line="110" w:lineRule="exact"/>
        <w:rPr>
          <w:sz w:val="20"/>
          <w:szCs w:val="20"/>
          <w:color w:val="auto"/>
        </w:rPr>
      </w:pPr>
    </w:p>
    <w:p>
      <w:pPr>
        <w:ind w:left="420" w:right="499" w:firstLine="327"/>
        <w:spacing w:after="0" w:line="247" w:lineRule="auto"/>
        <w:rPr>
          <w:sz w:val="20"/>
          <w:szCs w:val="20"/>
          <w:color w:val="auto"/>
        </w:rPr>
      </w:pPr>
      <w:r>
        <w:rPr>
          <w:rFonts w:ascii="Arial" w:cs="Arial" w:eastAsia="Arial" w:hAnsi="Arial"/>
          <w:sz w:val="13"/>
          <w:szCs w:val="13"/>
          <w:color w:val="auto"/>
        </w:rPr>
        <w:t>Investors may elect to hold their interests in the global securities in DTC (in the United States) through its direct and indirect participants, including Euroclear Bank SA/NV, or “Euroclear,” and Clearstream Banking S.A., or “Clearstream.”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authorized denominations. Except as set forth below, the global securities may be transferred, in whole and not in part, only to another nominee of DTC or to a successor of DTC or its nominee.</w:t>
      </w:r>
    </w:p>
    <w:p>
      <w:pPr>
        <w:spacing w:after="0" w:line="134" w:lineRule="exact"/>
        <w:rPr>
          <w:sz w:val="20"/>
          <w:szCs w:val="20"/>
          <w:color w:val="auto"/>
        </w:rPr>
      </w:pPr>
    </w:p>
    <w:p>
      <w:pPr>
        <w:ind w:left="740"/>
        <w:spacing w:after="0"/>
        <w:rPr>
          <w:sz w:val="20"/>
          <w:szCs w:val="20"/>
          <w:color w:val="auto"/>
        </w:rPr>
      </w:pPr>
      <w:r>
        <w:rPr>
          <w:rFonts w:ascii="Arial" w:cs="Arial" w:eastAsia="Arial" w:hAnsi="Arial"/>
          <w:sz w:val="13"/>
          <w:szCs w:val="13"/>
          <w:color w:val="auto"/>
        </w:rPr>
        <w:t>Debt securities represented by a global security can be exchanged for definitive securities in registered form only if:</w:t>
      </w:r>
    </w:p>
    <w:p>
      <w:pPr>
        <w:spacing w:after="0" w:line="91" w:lineRule="exact"/>
        <w:rPr>
          <w:sz w:val="20"/>
          <w:szCs w:val="20"/>
          <w:color w:val="auto"/>
        </w:rPr>
      </w:pPr>
    </w:p>
    <w:p>
      <w:pPr>
        <w:ind w:left="1140" w:right="659" w:hanging="328"/>
        <w:spacing w:after="0" w:line="282" w:lineRule="auto"/>
        <w:tabs>
          <w:tab w:leader="none" w:pos="11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DTC notifies us that it is unwilling or unable to continue as Debt Depository for that global security and we do not appoint a successor Debt Depository within 90 days after receiving that notice;</w:t>
      </w:r>
    </w:p>
    <w:p>
      <w:pPr>
        <w:spacing w:after="0" w:line="39" w:lineRule="exact"/>
        <w:rPr>
          <w:rFonts w:ascii="Arial" w:cs="Arial" w:eastAsia="Arial" w:hAnsi="Arial"/>
          <w:sz w:val="13"/>
          <w:szCs w:val="13"/>
          <w:color w:val="auto"/>
        </w:rPr>
      </w:pPr>
    </w:p>
    <w:p>
      <w:pPr>
        <w:ind w:left="1140" w:right="439" w:hanging="328"/>
        <w:spacing w:after="0" w:line="262" w:lineRule="auto"/>
        <w:tabs>
          <w:tab w:leader="none" w:pos="11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at any time DTC ceases to be a clearing agency registered or in good standing under the Exchange Act, or other applicable statute or regulation and we do not appoint a successor depositary within 90 days after becoming aware that DTC has ceased to be registered as a clearing agency; or</w:t>
      </w:r>
    </w:p>
    <w:p>
      <w:pPr>
        <w:spacing w:after="0" w:line="52" w:lineRule="exact"/>
        <w:rPr>
          <w:rFonts w:ascii="Arial" w:cs="Arial" w:eastAsia="Arial" w:hAnsi="Arial"/>
          <w:sz w:val="13"/>
          <w:szCs w:val="13"/>
          <w:color w:val="auto"/>
        </w:rPr>
      </w:pPr>
    </w:p>
    <w:p>
      <w:pPr>
        <w:ind w:left="1140" w:right="519" w:hanging="328"/>
        <w:spacing w:after="0" w:line="282" w:lineRule="auto"/>
        <w:tabs>
          <w:tab w:leader="none" w:pos="11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we determine that that global security will be exchangeable for definitive securities in registered form and notify the trustee of such decision in writing.</w:t>
      </w:r>
    </w:p>
    <w:p>
      <w:pPr>
        <w:spacing w:after="0" w:line="110" w:lineRule="exact"/>
        <w:rPr>
          <w:sz w:val="20"/>
          <w:szCs w:val="20"/>
          <w:color w:val="auto"/>
        </w:rPr>
      </w:pPr>
    </w:p>
    <w:p>
      <w:pPr>
        <w:ind w:left="420" w:right="519" w:firstLine="327"/>
        <w:spacing w:after="0" w:line="262" w:lineRule="auto"/>
        <w:rPr>
          <w:sz w:val="20"/>
          <w:szCs w:val="20"/>
          <w:color w:val="auto"/>
        </w:rPr>
      </w:pPr>
      <w:r>
        <w:rPr>
          <w:rFonts w:ascii="Arial" w:cs="Arial" w:eastAsia="Arial" w:hAnsi="Arial"/>
          <w:sz w:val="13"/>
          <w:szCs w:val="13"/>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22" w:lineRule="exact"/>
        <w:rPr>
          <w:sz w:val="20"/>
          <w:szCs w:val="20"/>
          <w:color w:val="auto"/>
        </w:rPr>
      </w:pPr>
    </w:p>
    <w:p>
      <w:pPr>
        <w:ind w:left="420" w:right="539" w:firstLine="327"/>
        <w:spacing w:after="0" w:line="255" w:lineRule="auto"/>
        <w:rPr>
          <w:sz w:val="20"/>
          <w:szCs w:val="20"/>
          <w:color w:val="auto"/>
        </w:rPr>
      </w:pPr>
      <w:r>
        <w:rPr>
          <w:rFonts w:ascii="Arial" w:cs="Arial" w:eastAsia="Arial" w:hAnsi="Arial"/>
          <w:sz w:val="13"/>
          <w:szCs w:val="13"/>
          <w:color w:val="auto"/>
        </w:rPr>
        <w:t>We will make principal and interest payments on all debt securities represented by a global security to a Paying Agent which in turn will make payment to DTC or its nominee, as the case may be, as the sole registered owner and the sole holder of the debt securities represented by a global security for all purposes under the indenture. Accordingly, we, the Guarantor, the trustee, any Paying Agent, Registrar or transfer agent will have no responsibility or liability for:</w:t>
      </w:r>
    </w:p>
    <w:p>
      <w:pPr>
        <w:spacing w:after="0" w:line="57" w:lineRule="exact"/>
        <w:rPr>
          <w:sz w:val="20"/>
          <w:szCs w:val="20"/>
          <w:color w:val="auto"/>
        </w:rPr>
      </w:pPr>
    </w:p>
    <w:p>
      <w:pPr>
        <w:ind w:left="1140" w:right="679" w:hanging="328"/>
        <w:spacing w:after="0" w:line="282" w:lineRule="auto"/>
        <w:tabs>
          <w:tab w:leader="none" w:pos="11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any aspect of DTC’s records relating to, or payments made on account of, beneficial ownership interests in a debt security represented by a global security; or</w:t>
      </w:r>
    </w:p>
    <w:p>
      <w:pPr>
        <w:spacing w:after="0" w:line="39" w:lineRule="exact"/>
        <w:rPr>
          <w:rFonts w:ascii="Arial" w:cs="Arial" w:eastAsia="Arial" w:hAnsi="Arial"/>
          <w:sz w:val="13"/>
          <w:szCs w:val="13"/>
          <w:color w:val="auto"/>
        </w:rPr>
      </w:pPr>
    </w:p>
    <w:p>
      <w:pPr>
        <w:ind w:left="1140" w:right="459" w:hanging="328"/>
        <w:spacing w:after="0" w:line="262" w:lineRule="auto"/>
        <w:tabs>
          <w:tab w:leader="none" w:pos="11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22" w:lineRule="exact"/>
        <w:rPr>
          <w:sz w:val="20"/>
          <w:szCs w:val="20"/>
          <w:color w:val="auto"/>
        </w:rPr>
      </w:pPr>
    </w:p>
    <w:p>
      <w:pPr>
        <w:ind w:left="420" w:right="599" w:firstLine="327"/>
        <w:spacing w:after="0" w:line="251" w:lineRule="auto"/>
        <w:rPr>
          <w:sz w:val="20"/>
          <w:szCs w:val="20"/>
          <w:color w:val="auto"/>
        </w:rPr>
      </w:pPr>
      <w:r>
        <w:rPr>
          <w:rFonts w:ascii="Arial" w:cs="Arial" w:eastAsia="Arial" w:hAnsi="Arial"/>
          <w:sz w:val="13"/>
          <w:szCs w:val="13"/>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9019"/>
          </w:cols>
          <w:pgMar w:left="1440" w:top="237" w:right="1440" w:bottom="1440" w:gutter="0" w:footer="0" w:header="0"/>
        </w:sectPr>
      </w:pPr>
    </w:p>
    <w:bookmarkStart w:id="79" w:name="page80"/>
    <w:bookmarkEnd w:id="79"/>
    <w:p>
      <w:pPr>
        <w:ind w:left="420" w:right="519"/>
        <w:spacing w:after="0" w:line="28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205980" cy="31750"/>
                    </a:xfrm>
                    <a:prstGeom prst="rect">
                      <a:avLst/>
                    </a:prstGeom>
                    <a:noFill/>
                  </pic:spPr>
                </pic:pic>
              </a:graphicData>
            </a:graphic>
          </wp:anchor>
        </w:drawing>
        <w:t>practices, as is the case with securities held for customer accounts registered in “street name,” and will be the sole responsibility of those participants. Book-entry notes may be more difficult to pledge because of the lack of a physical note.</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DTC</w:t>
      </w:r>
    </w:p>
    <w:p>
      <w:pPr>
        <w:spacing w:after="0" w:line="81" w:lineRule="exact"/>
        <w:rPr>
          <w:sz w:val="20"/>
          <w:szCs w:val="20"/>
          <w:color w:val="auto"/>
        </w:rPr>
      </w:pPr>
    </w:p>
    <w:p>
      <w:pPr>
        <w:ind w:left="420" w:right="439" w:firstLine="327"/>
        <w:spacing w:after="0" w:line="246" w:lineRule="auto"/>
        <w:rPr>
          <w:sz w:val="20"/>
          <w:szCs w:val="20"/>
          <w:color w:val="auto"/>
        </w:rPr>
      </w:pPr>
      <w:r>
        <w:rPr>
          <w:rFonts w:ascii="Arial" w:cs="Arial" w:eastAsia="Arial" w:hAnsi="Arial"/>
          <w:sz w:val="13"/>
          <w:szCs w:val="13"/>
          <w:color w:val="auto"/>
        </w:rPr>
        <w:t>So long as DTC or its nominee is the registered owner of a global security, DTC or its nominee, as the case may be, will be considered the sole owner and holder of the debt securities represented by that global security for all purposes of the debt securities. Except as set forth above,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w:t>
      </w:r>
    </w:p>
    <w:p>
      <w:pPr>
        <w:spacing w:after="0" w:line="133" w:lineRule="exact"/>
        <w:rPr>
          <w:sz w:val="20"/>
          <w:szCs w:val="20"/>
          <w:color w:val="auto"/>
        </w:rPr>
      </w:pPr>
    </w:p>
    <w:p>
      <w:pPr>
        <w:ind w:left="420" w:right="519" w:firstLine="327"/>
        <w:spacing w:after="0" w:line="252" w:lineRule="auto"/>
        <w:rPr>
          <w:sz w:val="20"/>
          <w:szCs w:val="20"/>
          <w:color w:val="auto"/>
        </w:rPr>
      </w:pPr>
      <w:r>
        <w:rPr>
          <w:rFonts w:ascii="Arial" w:cs="Arial" w:eastAsia="Arial" w:hAnsi="Arial"/>
          <w:sz w:val="13"/>
          <w:szCs w:val="13"/>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285" w:lineRule="exact"/>
        <w:rPr>
          <w:sz w:val="20"/>
          <w:szCs w:val="20"/>
          <w:color w:val="auto"/>
        </w:rPr>
      </w:pPr>
    </w:p>
    <w:p>
      <w:pPr>
        <w:ind w:left="420" w:right="579" w:firstLine="327"/>
        <w:spacing w:after="0" w:line="255" w:lineRule="auto"/>
        <w:rPr>
          <w:sz w:val="20"/>
          <w:szCs w:val="20"/>
          <w:color w:val="auto"/>
        </w:rPr>
      </w:pPr>
      <w:r>
        <w:rPr>
          <w:rFonts w:ascii="Arial" w:cs="Arial" w:eastAsia="Arial" w:hAnsi="Arial"/>
          <w:sz w:val="13"/>
          <w:szCs w:val="13"/>
          <w:color w:val="auto"/>
        </w:rPr>
        <w:t>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27" w:lineRule="exact"/>
        <w:rPr>
          <w:sz w:val="20"/>
          <w:szCs w:val="20"/>
          <w:color w:val="auto"/>
        </w:rPr>
      </w:pPr>
    </w:p>
    <w:p>
      <w:pPr>
        <w:jc w:val="both"/>
        <w:ind w:left="420" w:right="499" w:firstLine="327"/>
        <w:spacing w:after="0" w:line="262" w:lineRule="auto"/>
        <w:rPr>
          <w:sz w:val="20"/>
          <w:szCs w:val="20"/>
          <w:color w:val="auto"/>
        </w:rPr>
      </w:pPr>
      <w:r>
        <w:rPr>
          <w:rFonts w:ascii="Arial" w:cs="Arial" w:eastAsia="Arial" w:hAnsi="Arial"/>
          <w:sz w:val="13"/>
          <w:szCs w:val="13"/>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22" w:lineRule="exact"/>
        <w:rPr>
          <w:sz w:val="20"/>
          <w:szCs w:val="20"/>
          <w:color w:val="auto"/>
        </w:rPr>
      </w:pPr>
    </w:p>
    <w:p>
      <w:pPr>
        <w:ind w:left="420" w:right="499" w:firstLine="327"/>
        <w:spacing w:after="0" w:line="246" w:lineRule="auto"/>
        <w:rPr>
          <w:sz w:val="20"/>
          <w:szCs w:val="20"/>
          <w:color w:val="auto"/>
        </w:rPr>
      </w:pPr>
      <w:r>
        <w:rPr>
          <w:rFonts w:ascii="Arial" w:cs="Arial" w:eastAsia="Arial" w:hAnsi="Arial"/>
          <w:sz w:val="13"/>
          <w:szCs w:val="13"/>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9019"/>
          </w:cols>
          <w:pgMar w:left="1440" w:top="237" w:right="1440" w:bottom="1440" w:gutter="0" w:footer="0" w:header="0"/>
        </w:sectPr>
      </w:pPr>
    </w:p>
    <w:bookmarkStart w:id="80" w:name="page81"/>
    <w:bookmarkEnd w:id="80"/>
    <w:p>
      <w:pPr>
        <w:ind w:left="420" w:right="499" w:firstLine="327"/>
        <w:spacing w:after="0" w:line="28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The information in this section concerning DTC and DTC’s book-entry system has been obtained from sources that we believe to be reliable, but none of us, the trustee or any of our respective agents takes any responsibility for the accuracy thereof.</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Clearstream</w:t>
      </w:r>
    </w:p>
    <w:p>
      <w:pPr>
        <w:spacing w:after="0" w:line="81" w:lineRule="exact"/>
        <w:rPr>
          <w:sz w:val="20"/>
          <w:szCs w:val="20"/>
          <w:color w:val="auto"/>
        </w:rPr>
      </w:pPr>
    </w:p>
    <w:p>
      <w:pPr>
        <w:ind w:left="420" w:right="439" w:firstLine="327"/>
        <w:spacing w:after="0" w:line="245" w:lineRule="auto"/>
        <w:rPr>
          <w:sz w:val="20"/>
          <w:szCs w:val="20"/>
          <w:color w:val="auto"/>
        </w:rPr>
      </w:pPr>
      <w:r>
        <w:rPr>
          <w:rFonts w:ascii="Arial" w:cs="Arial" w:eastAsia="Arial" w:hAnsi="Arial"/>
          <w:sz w:val="13"/>
          <w:szCs w:val="13"/>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w:t>
      </w:r>
      <w:r>
        <w:rPr>
          <w:rFonts w:ascii="Arial" w:cs="Arial" w:eastAsia="Arial" w:hAnsi="Arial"/>
          <w:sz w:val="13"/>
          <w:szCs w:val="13"/>
          <w:i w:val="1"/>
          <w:iCs w:val="1"/>
          <w:color w:val="auto"/>
        </w:rPr>
        <w:t>Commission de Surveillance du Secteur</w:t>
      </w:r>
      <w:r>
        <w:rPr>
          <w:rFonts w:ascii="Arial" w:cs="Arial" w:eastAsia="Arial" w:hAnsi="Arial"/>
          <w:sz w:val="13"/>
          <w:szCs w:val="13"/>
          <w:color w:val="auto"/>
        </w:rPr>
        <w:t xml:space="preserve"> </w:t>
      </w:r>
      <w:r>
        <w:rPr>
          <w:rFonts w:ascii="Arial" w:cs="Arial" w:eastAsia="Arial" w:hAnsi="Arial"/>
          <w:sz w:val="13"/>
          <w:szCs w:val="13"/>
          <w:i w:val="1"/>
          <w:iCs w:val="1"/>
          <w:color w:val="auto"/>
        </w:rPr>
        <w:t>Financier</w:t>
      </w:r>
      <w:r>
        <w:rPr>
          <w:rFonts w:ascii="Arial" w:cs="Arial" w:eastAsia="Arial" w:hAnsi="Arial"/>
          <w:sz w:val="13"/>
          <w:szCs w:val="13"/>
          <w:color w:val="auto"/>
        </w:rPr>
        <w:t>). Clearstream Participants are recognized financial institutions around the world, including underwriters, securities brokers and</w:t>
      </w:r>
      <w:r>
        <w:rPr>
          <w:rFonts w:ascii="Arial" w:cs="Arial" w:eastAsia="Arial" w:hAnsi="Arial"/>
          <w:sz w:val="13"/>
          <w:szCs w:val="13"/>
          <w:i w:val="1"/>
          <w:iCs w:val="1"/>
          <w:color w:val="auto"/>
        </w:rPr>
        <w:t xml:space="preserve"> </w:t>
      </w:r>
      <w:r>
        <w:rPr>
          <w:rFonts w:ascii="Arial" w:cs="Arial" w:eastAsia="Arial" w:hAnsi="Arial"/>
          <w:sz w:val="13"/>
          <w:szCs w:val="13"/>
          <w:color w:val="auto"/>
        </w:rPr>
        <w:t>dealers, banks, trust companies and clearing corporations. In the United States,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288" w:lineRule="exact"/>
        <w:rPr>
          <w:sz w:val="20"/>
          <w:szCs w:val="20"/>
          <w:color w:val="auto"/>
        </w:rPr>
      </w:pPr>
    </w:p>
    <w:p>
      <w:pPr>
        <w:ind w:left="420" w:right="619" w:firstLine="327"/>
        <w:spacing w:after="0" w:line="282" w:lineRule="auto"/>
        <w:rPr>
          <w:sz w:val="20"/>
          <w:szCs w:val="20"/>
          <w:color w:val="auto"/>
        </w:rPr>
      </w:pPr>
      <w:r>
        <w:rPr>
          <w:rFonts w:ascii="Arial" w:cs="Arial" w:eastAsia="Arial" w:hAnsi="Arial"/>
          <w:sz w:val="13"/>
          <w:szCs w:val="13"/>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Euroclear</w:t>
      </w:r>
    </w:p>
    <w:p>
      <w:pPr>
        <w:spacing w:after="0" w:line="81" w:lineRule="exact"/>
        <w:rPr>
          <w:sz w:val="20"/>
          <w:szCs w:val="20"/>
          <w:color w:val="auto"/>
        </w:rPr>
      </w:pPr>
    </w:p>
    <w:p>
      <w:pPr>
        <w:ind w:left="420" w:right="439" w:firstLine="327"/>
        <w:spacing w:after="0" w:line="245" w:lineRule="auto"/>
        <w:rPr>
          <w:sz w:val="20"/>
          <w:szCs w:val="20"/>
          <w:color w:val="auto"/>
        </w:rPr>
      </w:pPr>
      <w:r>
        <w:rPr>
          <w:rFonts w:ascii="Arial" w:cs="Arial" w:eastAsia="Arial" w:hAnsi="Arial"/>
          <w:sz w:val="13"/>
          <w:szCs w:val="13"/>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37" w:lineRule="exact"/>
        <w:rPr>
          <w:sz w:val="20"/>
          <w:szCs w:val="20"/>
          <w:color w:val="auto"/>
        </w:rPr>
      </w:pPr>
    </w:p>
    <w:p>
      <w:pPr>
        <w:ind w:left="420" w:right="819" w:firstLine="327"/>
        <w:spacing w:after="0" w:line="282" w:lineRule="auto"/>
        <w:rPr>
          <w:sz w:val="20"/>
          <w:szCs w:val="20"/>
          <w:color w:val="auto"/>
        </w:rPr>
      </w:pPr>
      <w:r>
        <w:rPr>
          <w:rFonts w:ascii="Arial" w:cs="Arial" w:eastAsia="Arial" w:hAnsi="Arial"/>
          <w:sz w:val="13"/>
          <w:szCs w:val="13"/>
          <w:color w:val="auto"/>
        </w:rPr>
        <w:t>The Euroclear Operator advises us that it is regulated and examined by the Belgian banking and Finance Commission and the National Bank of Belgium.</w:t>
      </w:r>
    </w:p>
    <w:p>
      <w:pPr>
        <w:spacing w:after="0" w:line="110" w:lineRule="exact"/>
        <w:rPr>
          <w:sz w:val="20"/>
          <w:szCs w:val="20"/>
          <w:color w:val="auto"/>
        </w:rPr>
      </w:pPr>
    </w:p>
    <w:p>
      <w:pPr>
        <w:ind w:left="420" w:right="459" w:firstLine="327"/>
        <w:spacing w:after="0" w:line="262" w:lineRule="auto"/>
        <w:rPr>
          <w:sz w:val="20"/>
          <w:szCs w:val="20"/>
          <w:color w:val="auto"/>
        </w:rPr>
      </w:pPr>
      <w:r>
        <w:rPr>
          <w:rFonts w:ascii="Arial" w:cs="Arial" w:eastAsia="Arial" w:hAnsi="Arial"/>
          <w:sz w:val="13"/>
          <w:szCs w:val="13"/>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9019"/>
          </w:cols>
          <w:pgMar w:left="1440" w:top="237" w:right="1440" w:bottom="1440" w:gutter="0" w:footer="0" w:header="0"/>
        </w:sectPr>
      </w:pPr>
    </w:p>
    <w:bookmarkStart w:id="81" w:name="page82"/>
    <w:bookmarkEnd w:id="81"/>
    <w:p>
      <w:pPr>
        <w:ind w:left="420" w:right="679"/>
        <w:spacing w:after="0" w:line="25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205980" cy="31750"/>
                    </a:xfrm>
                    <a:prstGeom prst="rect">
                      <a:avLst/>
                    </a:prstGeom>
                    <a:noFill/>
                  </pic:spPr>
                </pic:pic>
              </a:graphicData>
            </a:graphic>
          </wp:anchor>
        </w:drawing>
        <w:t>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27" w:lineRule="exact"/>
        <w:rPr>
          <w:sz w:val="20"/>
          <w:szCs w:val="20"/>
          <w:color w:val="auto"/>
        </w:rPr>
      </w:pPr>
    </w:p>
    <w:p>
      <w:pPr>
        <w:ind w:left="420" w:right="719" w:firstLine="327"/>
        <w:spacing w:after="0" w:line="282" w:lineRule="auto"/>
        <w:rPr>
          <w:sz w:val="20"/>
          <w:szCs w:val="20"/>
          <w:color w:val="auto"/>
        </w:rPr>
      </w:pPr>
      <w:r>
        <w:rPr>
          <w:rFonts w:ascii="Arial" w:cs="Arial" w:eastAsia="Arial" w:hAnsi="Arial"/>
          <w:sz w:val="13"/>
          <w:szCs w:val="13"/>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10" w:lineRule="exact"/>
        <w:rPr>
          <w:sz w:val="20"/>
          <w:szCs w:val="20"/>
          <w:color w:val="auto"/>
        </w:rPr>
      </w:pPr>
    </w:p>
    <w:p>
      <w:pPr>
        <w:ind w:left="420" w:right="559" w:firstLine="327"/>
        <w:spacing w:after="0" w:line="255" w:lineRule="auto"/>
        <w:rPr>
          <w:sz w:val="20"/>
          <w:szCs w:val="20"/>
          <w:color w:val="auto"/>
        </w:rPr>
      </w:pPr>
      <w:r>
        <w:rPr>
          <w:rFonts w:ascii="Arial" w:cs="Arial" w:eastAsia="Arial" w:hAnsi="Arial"/>
          <w:sz w:val="13"/>
          <w:szCs w:val="13"/>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Global Clearance and Settlement Procedures</w:t>
      </w:r>
    </w:p>
    <w:p>
      <w:pPr>
        <w:spacing w:after="0" w:line="81" w:lineRule="exact"/>
        <w:rPr>
          <w:sz w:val="20"/>
          <w:szCs w:val="20"/>
          <w:color w:val="auto"/>
        </w:rPr>
      </w:pPr>
    </w:p>
    <w:p>
      <w:pPr>
        <w:ind w:left="420" w:right="719" w:firstLine="327"/>
        <w:spacing w:after="0" w:line="251" w:lineRule="auto"/>
        <w:rPr>
          <w:sz w:val="20"/>
          <w:szCs w:val="20"/>
          <w:color w:val="auto"/>
        </w:rPr>
      </w:pPr>
      <w:r>
        <w:rPr>
          <w:rFonts w:ascii="Arial" w:cs="Arial" w:eastAsia="Arial" w:hAnsi="Arial"/>
          <w:sz w:val="13"/>
          <w:szCs w:val="13"/>
          <w:color w:val="auto"/>
        </w:rPr>
        <w:t>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31" w:lineRule="exact"/>
        <w:rPr>
          <w:sz w:val="20"/>
          <w:szCs w:val="20"/>
          <w:color w:val="auto"/>
        </w:rPr>
      </w:pPr>
    </w:p>
    <w:p>
      <w:pPr>
        <w:ind w:left="420" w:right="479" w:firstLine="327"/>
        <w:spacing w:after="0" w:line="246" w:lineRule="auto"/>
        <w:rPr>
          <w:sz w:val="20"/>
          <w:szCs w:val="20"/>
          <w:color w:val="auto"/>
        </w:rPr>
      </w:pPr>
      <w:r>
        <w:rPr>
          <w:rFonts w:ascii="Arial" w:cs="Arial" w:eastAsia="Arial" w:hAnsi="Arial"/>
          <w:sz w:val="13"/>
          <w:szCs w:val="13"/>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36" w:lineRule="exact"/>
        <w:rPr>
          <w:sz w:val="20"/>
          <w:szCs w:val="20"/>
          <w:color w:val="auto"/>
        </w:rPr>
      </w:pPr>
    </w:p>
    <w:p>
      <w:pPr>
        <w:ind w:left="420" w:right="419" w:firstLine="327"/>
        <w:spacing w:after="0" w:line="248" w:lineRule="auto"/>
        <w:rPr>
          <w:sz w:val="20"/>
          <w:szCs w:val="20"/>
          <w:color w:val="auto"/>
        </w:rPr>
      </w:pPr>
      <w:r>
        <w:rPr>
          <w:rFonts w:ascii="Arial" w:cs="Arial" w:eastAsia="Arial" w:hAnsi="Arial"/>
          <w:sz w:val="13"/>
          <w:szCs w:val="13"/>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33" w:lineRule="exact"/>
        <w:rPr>
          <w:sz w:val="20"/>
          <w:szCs w:val="20"/>
          <w:color w:val="auto"/>
        </w:rPr>
      </w:pPr>
    </w:p>
    <w:p>
      <w:pPr>
        <w:ind w:left="420" w:right="859" w:firstLine="327"/>
        <w:spacing w:after="0" w:line="282" w:lineRule="auto"/>
        <w:rPr>
          <w:sz w:val="20"/>
          <w:szCs w:val="20"/>
          <w:color w:val="auto"/>
        </w:rPr>
      </w:pPr>
      <w:r>
        <w:rPr>
          <w:rFonts w:ascii="Arial" w:cs="Arial" w:eastAsia="Arial" w:hAnsi="Arial"/>
          <w:sz w:val="13"/>
          <w:szCs w:val="13"/>
          <w:color w:val="auto"/>
        </w:rPr>
        <w:t>If the debt securities are cleared only through Euroclear and Clearstream (and not DTC), you will be able to make and receive through Euroclear and Clearstream payments, deliveries, transfers,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9019"/>
          </w:cols>
          <w:pgMar w:left="1440" w:top="237" w:right="1440" w:bottom="1440" w:gutter="0" w:footer="0" w:header="0"/>
        </w:sectPr>
      </w:pPr>
    </w:p>
    <w:bookmarkStart w:id="82" w:name="page83"/>
    <w:bookmarkEnd w:id="82"/>
    <w:p>
      <w:pPr>
        <w:ind w:left="420" w:right="459"/>
        <w:spacing w:after="0" w:line="24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205980" cy="31750"/>
                    </a:xfrm>
                    <a:prstGeom prst="rect">
                      <a:avLst/>
                    </a:prstGeom>
                    <a:noFill/>
                  </pic:spPr>
                </pic:pic>
              </a:graphicData>
            </a:graphic>
          </wp:anchor>
        </w:drawing>
        <w:t>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287" w:lineRule="exact"/>
        <w:rPr>
          <w:sz w:val="20"/>
          <w:szCs w:val="20"/>
          <w:color w:val="auto"/>
        </w:rPr>
      </w:pPr>
    </w:p>
    <w:p>
      <w:pPr>
        <w:ind w:left="420" w:right="539" w:firstLine="327"/>
        <w:spacing w:after="0" w:line="251" w:lineRule="auto"/>
        <w:rPr>
          <w:sz w:val="20"/>
          <w:szCs w:val="20"/>
          <w:color w:val="auto"/>
        </w:rPr>
      </w:pPr>
      <w:r>
        <w:rPr>
          <w:rFonts w:ascii="Arial" w:cs="Arial" w:eastAsia="Arial" w:hAnsi="Arial"/>
          <w:sz w:val="13"/>
          <w:szCs w:val="13"/>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None of the Company, the Guarantor,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9019"/>
          </w:cols>
          <w:pgMar w:left="1440" w:top="237"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205980" cy="31750"/>
                    </a:xfrm>
                    <a:prstGeom prst="rect">
                      <a:avLst/>
                    </a:prstGeom>
                    <a:noFill/>
                  </pic:spPr>
                </pic:pic>
              </a:graphicData>
            </a:graphic>
          </wp:anchor>
        </w:drawing>
        <w:t>Plan of Distribution</w:t>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3"/>
          <w:szCs w:val="13"/>
          <w:color w:val="auto"/>
        </w:rPr>
        <w:t>We may sell the securities offered pursuant to this prospectus in any of the following ways:</w:t>
      </w:r>
    </w:p>
    <w:p>
      <w:pPr>
        <w:spacing w:after="0" w:line="91" w:lineRule="exact"/>
        <w:rPr>
          <w:sz w:val="20"/>
          <w:szCs w:val="20"/>
          <w:color w:val="auto"/>
        </w:rPr>
      </w:pPr>
    </w:p>
    <w:p>
      <w:pPr>
        <w:ind w:left="1140" w:hanging="328"/>
        <w:spacing w:after="0"/>
        <w:tabs>
          <w:tab w:leader="none" w:pos="11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directly to one or more purchasers;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through agents;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through underwriters, brokers or dealers;</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through a combination of any of these methods of sale; or</w:t>
      </w:r>
    </w:p>
    <w:p>
      <w:pPr>
        <w:spacing w:after="0" w:line="91" w:lineRule="exact"/>
        <w:rPr>
          <w:rFonts w:ascii="Arial" w:cs="Arial" w:eastAsia="Arial" w:hAnsi="Arial"/>
          <w:sz w:val="13"/>
          <w:szCs w:val="13"/>
          <w:color w:val="auto"/>
        </w:rPr>
      </w:pPr>
    </w:p>
    <w:p>
      <w:pPr>
        <w:ind w:left="1140" w:hanging="328"/>
        <w:spacing w:after="0"/>
        <w:tabs>
          <w:tab w:leader="none" w:pos="11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through any other methods described in a prospectus supplement.</w:t>
      </w:r>
    </w:p>
    <w:p>
      <w:pPr>
        <w:spacing w:after="0" w:line="162" w:lineRule="exact"/>
        <w:rPr>
          <w:sz w:val="20"/>
          <w:szCs w:val="20"/>
          <w:color w:val="auto"/>
        </w:rPr>
      </w:pPr>
    </w:p>
    <w:p>
      <w:pPr>
        <w:ind w:left="420" w:right="659" w:firstLine="327"/>
        <w:spacing w:after="0" w:line="282" w:lineRule="auto"/>
        <w:rPr>
          <w:sz w:val="20"/>
          <w:szCs w:val="20"/>
          <w:color w:val="auto"/>
        </w:rPr>
      </w:pPr>
      <w:r>
        <w:rPr>
          <w:rFonts w:ascii="Arial" w:cs="Arial" w:eastAsia="Arial" w:hAnsi="Arial"/>
          <w:sz w:val="13"/>
          <w:szCs w:val="13"/>
          <w:color w:val="auto"/>
        </w:rPr>
        <w:t>We will identify the specific plan of distribution, including any underwriters, brokers, dealers, agents or direct purchasers and their compensation in a prospectus supplement.</w:t>
      </w:r>
    </w:p>
    <w:p>
      <w:pPr>
        <w:spacing w:after="0" w:line="110" w:lineRule="exact"/>
        <w:rPr>
          <w:sz w:val="20"/>
          <w:szCs w:val="20"/>
          <w:color w:val="auto"/>
        </w:rPr>
      </w:pPr>
    </w:p>
    <w:p>
      <w:pPr>
        <w:ind w:left="420" w:right="519" w:firstLine="327"/>
        <w:spacing w:after="0" w:line="251" w:lineRule="auto"/>
        <w:rPr>
          <w:sz w:val="20"/>
          <w:szCs w:val="20"/>
          <w:color w:val="auto"/>
        </w:rPr>
      </w:pPr>
      <w:r>
        <w:rPr>
          <w:rFonts w:ascii="Arial" w:cs="Arial" w:eastAsia="Arial" w:hAnsi="Arial"/>
          <w:sz w:val="13"/>
          <w:szCs w:val="13"/>
          <w:color w:val="auto"/>
        </w:rPr>
        <w:t>Underwriters and agents may be entitled under agreements entered into with the Company or the Guarantor, if applicable, to indemnification by the Company or the Guarantor, if applicable, against certain civil liabilities, including liabilities under the Securities Act, or to contribution with respect to payments which the underwriters or agents may be required to make. Underwriters and agents may be customers of, engage in transactions with, or perform services for the Company, the Guarantor and our affiliates in the ordinary course of business.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9019"/>
          </w:cols>
          <w:pgMar w:left="1440" w:top="235" w:right="1440"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205980" cy="31750"/>
                    </a:xfrm>
                    <a:prstGeom prst="rect">
                      <a:avLst/>
                    </a:prstGeom>
                    <a:noFill/>
                  </pic:spPr>
                </pic:pic>
              </a:graphicData>
            </a:graphic>
          </wp:anchor>
        </w:drawing>
        <w:t>Validity of the Securities</w:t>
      </w:r>
    </w:p>
    <w:p>
      <w:pPr>
        <w:spacing w:after="0" w:line="164" w:lineRule="exact"/>
        <w:rPr>
          <w:sz w:val="20"/>
          <w:szCs w:val="20"/>
          <w:color w:val="auto"/>
        </w:rPr>
      </w:pPr>
    </w:p>
    <w:p>
      <w:pPr>
        <w:ind w:left="420" w:right="579" w:firstLine="327"/>
        <w:spacing w:after="0" w:line="255" w:lineRule="auto"/>
        <w:rPr>
          <w:sz w:val="20"/>
          <w:szCs w:val="20"/>
          <w:color w:val="auto"/>
        </w:rPr>
      </w:pPr>
      <w:r>
        <w:rPr>
          <w:rFonts w:ascii="Arial" w:cs="Arial" w:eastAsia="Arial" w:hAnsi="Arial"/>
          <w:sz w:val="13"/>
          <w:szCs w:val="13"/>
          <w:color w:val="auto"/>
        </w:rPr>
        <w:t>The validity of the debt securities and guarantees offered hereby will be passed upon for us by Gibson, Dunn &amp; Crutcher LLP, New York, New York. Certain matters of Luxembourg law will be passed upon by Loyens &amp; Loeff Luxembourg SARL, Luxembourg, Grand Duchy of Luxembourg; and certain matters of Curaçao will be passed upon by STvB Advocaten (Europe) N.V., Amsterdam, The Netherlands.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9019"/>
          </w:cols>
          <w:pgMar w:left="1440" w:top="235" w:right="1440" w:bottom="1440" w:gutter="0" w:footer="0" w:header="0"/>
        </w:sectPr>
      </w:pPr>
    </w:p>
    <w:bookmarkStart w:id="85" w:name="page86"/>
    <w:bookmarkEnd w:id="85"/>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205980" cy="31750"/>
                    </a:xfrm>
                    <a:prstGeom prst="rect">
                      <a:avLst/>
                    </a:prstGeom>
                    <a:noFill/>
                  </pic:spPr>
                </pic:pic>
              </a:graphicData>
            </a:graphic>
          </wp:anchor>
        </w:drawing>
        <w:t>Experts</w:t>
      </w:r>
    </w:p>
    <w:p>
      <w:pPr>
        <w:spacing w:after="0" w:line="164" w:lineRule="exact"/>
        <w:rPr>
          <w:sz w:val="20"/>
          <w:szCs w:val="20"/>
          <w:color w:val="auto"/>
        </w:rPr>
      </w:pPr>
    </w:p>
    <w:p>
      <w:pPr>
        <w:ind w:left="420" w:right="539" w:firstLine="327"/>
        <w:spacing w:after="0" w:line="251" w:lineRule="auto"/>
        <w:rPr>
          <w:sz w:val="20"/>
          <w:szCs w:val="20"/>
          <w:color w:val="auto"/>
        </w:rPr>
      </w:pPr>
      <w:r>
        <w:rPr>
          <w:rFonts w:ascii="Arial" w:cs="Arial" w:eastAsia="Arial" w:hAnsi="Arial"/>
          <w:sz w:val="13"/>
          <w:szCs w:val="13"/>
          <w:color w:val="auto"/>
        </w:rPr>
        <w:t>The financial statements and management’s assessment of the effectiveness of internal control over financial reporting (which is included in Management’s Report on Internal Control over Financial Reporting) incorporated in this Prospectus by reference to SLB Limited’s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9019"/>
          </w:cols>
          <w:pgMar w:left="1440" w:top="235" w:right="1440"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205980" cy="31750"/>
                    </a:xfrm>
                    <a:prstGeom prst="rect">
                      <a:avLst/>
                    </a:prstGeom>
                    <a:noFill/>
                  </pic:spPr>
                </pic:pic>
              </a:graphicData>
            </a:graphic>
          </wp:anchor>
        </w:drawing>
        <w:drawing>
          <wp:anchor simplePos="0" relativeHeight="251657728" behindDoc="1" locked="0" layoutInCell="0" allowOverlap="1">
            <wp:simplePos x="0" y="0"/>
            <wp:positionH relativeFrom="page">
              <wp:posOffset>1177925</wp:posOffset>
            </wp:positionH>
            <wp:positionV relativeFrom="page">
              <wp:posOffset>184785</wp:posOffset>
            </wp:positionV>
            <wp:extent cx="519874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5198745" cy="6350"/>
                    </a:xfrm>
                    <a:prstGeom prst="rect">
                      <a:avLst/>
                    </a:prstGeom>
                    <a:noFill/>
                  </pic:spPr>
                </pic:pic>
              </a:graphicData>
            </a:graphic>
          </wp:anchor>
        </w:drawing>
        <w:t>Schlumberger Investment S.A.</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US$500,000,000 4.550% Senior Notes due 2031</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US$500,000,000 4.800% Senior Notes due 2033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US$1,000,000,000 5.150% Senior Notes due 2036</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Fully and unconditionally guaranteed by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SLB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2315210</wp:posOffset>
            </wp:positionH>
            <wp:positionV relativeFrom="paragraph">
              <wp:posOffset>975995</wp:posOffset>
            </wp:positionV>
            <wp:extent cx="108966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1089660" cy="6350"/>
                    </a:xfrm>
                    <a:prstGeom prst="rect">
                      <a:avLst/>
                    </a:prstGeom>
                    <a:noFill/>
                  </pic:spPr>
                </pic:pic>
              </a:graphicData>
            </a:graphic>
          </wp:anchor>
        </w:drawing>
        <w:drawing>
          <wp:anchor simplePos="0" relativeHeight="251657728" behindDoc="1" locked="0" layoutInCell="0" allowOverlap="1">
            <wp:simplePos x="0" y="0"/>
            <wp:positionH relativeFrom="column">
              <wp:posOffset>2392045</wp:posOffset>
            </wp:positionH>
            <wp:positionV relativeFrom="paragraph">
              <wp:posOffset>122555</wp:posOffset>
            </wp:positionV>
            <wp:extent cx="936625" cy="5670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936625" cy="567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2315210</wp:posOffset>
            </wp:positionH>
            <wp:positionV relativeFrom="paragraph">
              <wp:posOffset>184150</wp:posOffset>
            </wp:positionV>
            <wp:extent cx="108966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1089660" cy="635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420" w:type="dxa"/>
        <w:tblCellMar>
          <w:top w:w="0" w:type="dxa"/>
          <w:left w:w="0" w:type="dxa"/>
          <w:bottom w:w="0" w:type="dxa"/>
          <w:right w:w="0" w:type="dxa"/>
        </w:tblCellMar>
      </w:tblPr>
      <w:tr>
        <w:trPr>
          <w:trHeight w:val="185"/>
        </w:trPr>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2"/>
          </w:tcPr>
          <w:p>
            <w:pPr>
              <w:jc w:val="center"/>
              <w:ind w:right="1380"/>
              <w:spacing w:after="0"/>
              <w:rPr>
                <w:sz w:val="20"/>
                <w:szCs w:val="20"/>
                <w:color w:val="auto"/>
              </w:rPr>
            </w:pPr>
            <w:r>
              <w:rPr>
                <w:rFonts w:ascii="Arial" w:cs="Arial" w:eastAsia="Arial" w:hAnsi="Arial"/>
                <w:sz w:val="13"/>
                <w:szCs w:val="13"/>
                <w:b w:val="1"/>
                <w:bCs w:val="1"/>
                <w:color w:val="auto"/>
              </w:rPr>
              <w:t>April 30, 2026</w:t>
            </w:r>
          </w:p>
        </w:tc>
        <w:tc>
          <w:tcPr>
            <w:tcW w:w="2140" w:type="dxa"/>
            <w:vAlign w:val="bottom"/>
          </w:tcPr>
          <w:p>
            <w:pPr>
              <w:spacing w:after="0"/>
              <w:rPr>
                <w:sz w:val="16"/>
                <w:szCs w:val="16"/>
                <w:color w:val="auto"/>
              </w:rPr>
            </w:pPr>
          </w:p>
        </w:tc>
      </w:tr>
      <w:tr>
        <w:trPr>
          <w:trHeight w:val="241"/>
        </w:trPr>
        <w:tc>
          <w:tcPr>
            <w:tcW w:w="16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720" w:type="dxa"/>
            <w:vAlign w:val="bottom"/>
            <w:tcBorders>
              <w:bottom w:val="single" w:sz="8" w:color="auto"/>
            </w:tcBorders>
            <w:gridSpan w:val="2"/>
          </w:tcPr>
          <w:p>
            <w:pPr>
              <w:spacing w:after="0"/>
              <w:rPr>
                <w:sz w:val="20"/>
                <w:szCs w:val="20"/>
                <w:color w:val="auto"/>
              </w:rPr>
            </w:pPr>
          </w:p>
        </w:tc>
        <w:tc>
          <w:tcPr>
            <w:tcW w:w="1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321"/>
        </w:trPr>
        <w:tc>
          <w:tcPr>
            <w:tcW w:w="1640" w:type="dxa"/>
            <w:vAlign w:val="bottom"/>
          </w:tcPr>
          <w:p>
            <w:pPr>
              <w:spacing w:after="0"/>
              <w:rPr>
                <w:sz w:val="24"/>
                <w:szCs w:val="24"/>
                <w:color w:val="auto"/>
              </w:rPr>
            </w:pPr>
          </w:p>
        </w:tc>
        <w:tc>
          <w:tcPr>
            <w:tcW w:w="4400" w:type="dxa"/>
            <w:vAlign w:val="bottom"/>
            <w:gridSpan w:val="4"/>
          </w:tcPr>
          <w:p>
            <w:pPr>
              <w:jc w:val="center"/>
              <w:ind w:left="433"/>
              <w:spacing w:after="0"/>
              <w:rPr>
                <w:sz w:val="20"/>
                <w:szCs w:val="20"/>
                <w:color w:val="auto"/>
              </w:rPr>
            </w:pPr>
            <w:r>
              <w:rPr>
                <w:rFonts w:ascii="Arial" w:cs="Arial" w:eastAsia="Arial" w:hAnsi="Arial"/>
                <w:sz w:val="13"/>
                <w:szCs w:val="13"/>
                <w:b w:val="1"/>
                <w:bCs w:val="1"/>
                <w:i w:val="1"/>
                <w:iCs w:val="1"/>
                <w:color w:val="auto"/>
              </w:rPr>
              <w:t>Joint Book-Running Managers</w:t>
            </w:r>
          </w:p>
        </w:tc>
        <w:tc>
          <w:tcPr>
            <w:tcW w:w="2140" w:type="dxa"/>
            <w:vAlign w:val="bottom"/>
          </w:tcPr>
          <w:p>
            <w:pPr>
              <w:spacing w:after="0"/>
              <w:rPr>
                <w:sz w:val="24"/>
                <w:szCs w:val="24"/>
                <w:color w:val="auto"/>
              </w:rPr>
            </w:pPr>
          </w:p>
        </w:tc>
      </w:tr>
      <w:tr>
        <w:trPr>
          <w:trHeight w:val="361"/>
        </w:trPr>
        <w:tc>
          <w:tcPr>
            <w:tcW w:w="1640" w:type="dxa"/>
            <w:vAlign w:val="bottom"/>
          </w:tcPr>
          <w:p>
            <w:pPr>
              <w:spacing w:after="0"/>
              <w:rPr>
                <w:sz w:val="20"/>
                <w:szCs w:val="20"/>
                <w:color w:val="auto"/>
              </w:rPr>
            </w:pPr>
            <w:r>
              <w:rPr>
                <w:rFonts w:ascii="Arial" w:cs="Arial" w:eastAsia="Arial" w:hAnsi="Arial"/>
                <w:sz w:val="16"/>
                <w:szCs w:val="16"/>
                <w:b w:val="1"/>
                <w:bCs w:val="1"/>
                <w:color w:val="auto"/>
              </w:rPr>
              <w:t>J.P. Morgan</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2"/>
          </w:tcPr>
          <w:p>
            <w:pPr>
              <w:ind w:left="380"/>
              <w:spacing w:after="0"/>
              <w:rPr>
                <w:sz w:val="20"/>
                <w:szCs w:val="20"/>
                <w:color w:val="auto"/>
              </w:rPr>
            </w:pPr>
            <w:r>
              <w:rPr>
                <w:rFonts w:ascii="Arial" w:cs="Arial" w:eastAsia="Arial" w:hAnsi="Arial"/>
                <w:sz w:val="16"/>
                <w:szCs w:val="16"/>
                <w:b w:val="1"/>
                <w:bCs w:val="1"/>
                <w:color w:val="auto"/>
              </w:rPr>
              <w:t>HSBC</w:t>
            </w: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Standard Chartered Bank</w:t>
            </w:r>
          </w:p>
        </w:tc>
      </w:tr>
      <w:tr>
        <w:trPr>
          <w:trHeight w:val="245"/>
        </w:trPr>
        <w:tc>
          <w:tcPr>
            <w:tcW w:w="1640" w:type="dxa"/>
            <w:vAlign w:val="bottom"/>
          </w:tcPr>
          <w:p>
            <w:pPr>
              <w:spacing w:after="0"/>
              <w:rPr>
                <w:sz w:val="20"/>
                <w:szCs w:val="20"/>
                <w:color w:val="auto"/>
              </w:rPr>
            </w:pPr>
            <w:r>
              <w:rPr>
                <w:rFonts w:ascii="Arial" w:cs="Arial" w:eastAsia="Arial" w:hAnsi="Arial"/>
                <w:sz w:val="15"/>
                <w:szCs w:val="15"/>
                <w:b w:val="1"/>
                <w:bCs w:val="1"/>
                <w:color w:val="auto"/>
              </w:rPr>
              <w:t>BNP PARIBAS</w:t>
            </w:r>
          </w:p>
        </w:tc>
        <w:tc>
          <w:tcPr>
            <w:tcW w:w="1880" w:type="dxa"/>
            <w:vAlign w:val="bottom"/>
            <w:gridSpan w:val="2"/>
          </w:tcPr>
          <w:p>
            <w:pPr>
              <w:ind w:left="680"/>
              <w:spacing w:after="0"/>
              <w:rPr>
                <w:sz w:val="20"/>
                <w:szCs w:val="20"/>
                <w:color w:val="auto"/>
              </w:rPr>
            </w:pPr>
            <w:r>
              <w:rPr>
                <w:rFonts w:ascii="Arial" w:cs="Arial" w:eastAsia="Arial" w:hAnsi="Arial"/>
                <w:sz w:val="15"/>
                <w:szCs w:val="15"/>
                <w:b w:val="1"/>
                <w:bCs w:val="1"/>
                <w:color w:val="auto"/>
              </w:rPr>
              <w:t>BofA Securities</w:t>
            </w:r>
          </w:p>
        </w:tc>
        <w:tc>
          <w:tcPr>
            <w:tcW w:w="2520" w:type="dxa"/>
            <w:vAlign w:val="bottom"/>
            <w:gridSpan w:val="2"/>
          </w:tcPr>
          <w:p>
            <w:pPr>
              <w:ind w:left="940"/>
              <w:spacing w:after="0"/>
              <w:rPr>
                <w:sz w:val="20"/>
                <w:szCs w:val="20"/>
                <w:color w:val="auto"/>
              </w:rPr>
            </w:pPr>
            <w:r>
              <w:rPr>
                <w:rFonts w:ascii="Arial" w:cs="Arial" w:eastAsia="Arial" w:hAnsi="Arial"/>
                <w:sz w:val="15"/>
                <w:szCs w:val="15"/>
                <w:b w:val="1"/>
                <w:bCs w:val="1"/>
                <w:color w:val="auto"/>
              </w:rPr>
              <w:t>Citigroup</w:t>
            </w:r>
          </w:p>
        </w:tc>
        <w:tc>
          <w:tcPr>
            <w:tcW w:w="2140" w:type="dxa"/>
            <w:vAlign w:val="bottom"/>
          </w:tcPr>
          <w:p>
            <w:pPr>
              <w:jc w:val="right"/>
              <w:spacing w:after="0"/>
              <w:rPr>
                <w:sz w:val="20"/>
                <w:szCs w:val="20"/>
                <w:color w:val="auto"/>
              </w:rPr>
            </w:pPr>
            <w:r>
              <w:rPr>
                <w:rFonts w:ascii="Arial" w:cs="Arial" w:eastAsia="Arial" w:hAnsi="Arial"/>
                <w:sz w:val="15"/>
                <w:szCs w:val="15"/>
                <w:b w:val="1"/>
                <w:bCs w:val="1"/>
                <w:color w:val="auto"/>
              </w:rPr>
              <w:t>Deutsche Bank Securities</w:t>
            </w:r>
          </w:p>
        </w:tc>
      </w:tr>
      <w:tr>
        <w:trPr>
          <w:trHeight w:val="291"/>
        </w:trPr>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2"/>
          </w:tcPr>
          <w:p>
            <w:pPr>
              <w:jc w:val="center"/>
              <w:ind w:right="1400"/>
              <w:spacing w:after="0"/>
              <w:rPr>
                <w:sz w:val="20"/>
                <w:szCs w:val="20"/>
                <w:color w:val="auto"/>
              </w:rPr>
            </w:pPr>
            <w:r>
              <w:rPr>
                <w:rFonts w:ascii="Arial" w:cs="Arial" w:eastAsia="Arial" w:hAnsi="Arial"/>
                <w:sz w:val="12"/>
                <w:szCs w:val="12"/>
                <w:b w:val="1"/>
                <w:bCs w:val="1"/>
                <w:i w:val="1"/>
                <w:iCs w:val="1"/>
                <w:color w:val="auto"/>
                <w:w w:val="99"/>
              </w:rPr>
              <w:t>Co-Managers</w:t>
            </w:r>
          </w:p>
        </w:tc>
        <w:tc>
          <w:tcPr>
            <w:tcW w:w="2140" w:type="dxa"/>
            <w:vAlign w:val="bottom"/>
          </w:tcPr>
          <w:p>
            <w:pPr>
              <w:spacing w:after="0"/>
              <w:rPr>
                <w:sz w:val="24"/>
                <w:szCs w:val="24"/>
                <w:color w:val="auto"/>
              </w:rPr>
            </w:pPr>
          </w:p>
        </w:tc>
      </w:tr>
      <w:tr>
        <w:trPr>
          <w:trHeight w:val="331"/>
        </w:trPr>
        <w:tc>
          <w:tcPr>
            <w:tcW w:w="1640" w:type="dxa"/>
            <w:vAlign w:val="bottom"/>
          </w:tcPr>
          <w:p>
            <w:pPr>
              <w:spacing w:after="0"/>
              <w:rPr>
                <w:sz w:val="20"/>
                <w:szCs w:val="20"/>
                <w:color w:val="auto"/>
              </w:rPr>
            </w:pPr>
            <w:r>
              <w:rPr>
                <w:rFonts w:ascii="Arial" w:cs="Arial" w:eastAsia="Arial" w:hAnsi="Arial"/>
                <w:sz w:val="12"/>
                <w:szCs w:val="12"/>
                <w:b w:val="1"/>
                <w:bCs w:val="1"/>
                <w:color w:val="auto"/>
              </w:rPr>
              <w:t>BBVA</w:t>
            </w:r>
          </w:p>
        </w:tc>
        <w:tc>
          <w:tcPr>
            <w:tcW w:w="1880" w:type="dxa"/>
            <w:vAlign w:val="bottom"/>
            <w:gridSpan w:val="2"/>
          </w:tcPr>
          <w:p>
            <w:pPr>
              <w:ind w:left="640"/>
              <w:spacing w:after="0"/>
              <w:rPr>
                <w:sz w:val="20"/>
                <w:szCs w:val="20"/>
                <w:color w:val="auto"/>
              </w:rPr>
            </w:pPr>
            <w:r>
              <w:rPr>
                <w:rFonts w:ascii="Arial" w:cs="Arial" w:eastAsia="Arial" w:hAnsi="Arial"/>
                <w:sz w:val="12"/>
                <w:szCs w:val="12"/>
                <w:b w:val="1"/>
                <w:bCs w:val="1"/>
                <w:color w:val="auto"/>
              </w:rPr>
              <w:t>MUFG</w:t>
            </w:r>
          </w:p>
        </w:tc>
        <w:tc>
          <w:tcPr>
            <w:tcW w:w="2520" w:type="dxa"/>
            <w:vAlign w:val="bottom"/>
            <w:gridSpan w:val="2"/>
          </w:tcPr>
          <w:p>
            <w:pPr>
              <w:ind w:left="1100"/>
              <w:spacing w:after="0"/>
              <w:rPr>
                <w:sz w:val="20"/>
                <w:szCs w:val="20"/>
                <w:color w:val="auto"/>
              </w:rPr>
            </w:pPr>
            <w:r>
              <w:rPr>
                <w:rFonts w:ascii="Arial" w:cs="Arial" w:eastAsia="Arial" w:hAnsi="Arial"/>
                <w:sz w:val="12"/>
                <w:szCs w:val="12"/>
                <w:b w:val="1"/>
                <w:bCs w:val="1"/>
                <w:color w:val="auto"/>
              </w:rPr>
              <w:t>SOCIETE GENERALE</w:t>
            </w:r>
          </w:p>
        </w:tc>
        <w:tc>
          <w:tcPr>
            <w:tcW w:w="2140" w:type="dxa"/>
            <w:vAlign w:val="bottom"/>
          </w:tcPr>
          <w:p>
            <w:pPr>
              <w:jc w:val="right"/>
              <w:spacing w:after="0"/>
              <w:rPr>
                <w:sz w:val="20"/>
                <w:szCs w:val="20"/>
                <w:color w:val="auto"/>
              </w:rPr>
            </w:pPr>
            <w:r>
              <w:rPr>
                <w:rFonts w:ascii="Arial" w:cs="Arial" w:eastAsia="Arial" w:hAnsi="Arial"/>
                <w:sz w:val="12"/>
                <w:szCs w:val="12"/>
                <w:b w:val="1"/>
                <w:bCs w:val="1"/>
                <w:color w:val="auto"/>
              </w:rPr>
              <w:t>UniCredit</w:t>
            </w:r>
          </w:p>
        </w:tc>
      </w:tr>
      <w:tr>
        <w:trPr>
          <w:trHeight w:val="468"/>
        </w:trPr>
        <w:tc>
          <w:tcPr>
            <w:tcW w:w="16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r>
        <w:trPr>
          <w:trHeight w:val="60"/>
        </w:trPr>
        <w:tc>
          <w:tcPr>
            <w:tcW w:w="16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r>
    </w:tbl>
    <w:p>
      <w:pPr>
        <w:sectPr>
          <w:pgSz w:w="11900" w:h="16838" w:orient="portrait"/>
          <w:cols w:equalWidth="0" w:num="1">
            <w:col w:w="9019"/>
          </w:cols>
          <w:pgMar w:left="1440" w:top="596" w:right="1440" w:bottom="1440" w:gutter="0" w:footer="0" w:header="0"/>
        </w:sectPr>
      </w:pPr>
    </w:p>
    <w:bookmarkStart w:id="87" w:name="page88"/>
    <w:bookmarkEnd w:id="87"/>
    <w:p>
      <w:pPr>
        <w:spacing w:after="0" w:line="62" w:lineRule="exact"/>
        <w:rPr>
          <w:sz w:val="20"/>
          <w:szCs w:val="20"/>
          <w:color w:val="auto"/>
        </w:rPr>
      </w:pPr>
    </w:p>
    <w:p>
      <w:pPr>
        <w:ind w:left="3580"/>
        <w:spacing w:after="0"/>
        <w:rPr>
          <w:sz w:val="20"/>
          <w:szCs w:val="20"/>
          <w:color w:val="auto"/>
        </w:rPr>
      </w:pPr>
      <w:r>
        <w:rPr>
          <w:rFonts w:ascii="Arial" w:cs="Arial" w:eastAsia="Arial" w:hAnsi="Arial"/>
          <w:sz w:val="27"/>
          <w:szCs w:val="27"/>
          <w:b w:val="1"/>
          <w:bCs w:val="1"/>
          <w:color w:val="auto"/>
        </w:rPr>
        <w:t>Calculation of Filing Fee Tables</w:t>
      </w:r>
    </w:p>
    <w:p>
      <w:pPr>
        <w:spacing w:after="0" w:line="161"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1"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SLB LIMITED/NV</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0" w:type="dxa"/>
            <w:vAlign w:val="bottom"/>
            <w:tcBorders>
              <w:bottom w:val="single" w:sz="8" w:color="auto"/>
            </w:tcBorders>
          </w:tcPr>
          <w:p>
            <w:pPr>
              <w:spacing w:after="0"/>
              <w:rPr>
                <w:sz w:val="22"/>
                <w:szCs w:val="22"/>
                <w:color w:val="auto"/>
              </w:rPr>
            </w:pPr>
          </w:p>
        </w:tc>
        <w:tc>
          <w:tcPr>
            <w:tcW w:w="4440" w:type="dxa"/>
            <w:vAlign w:val="bottom"/>
            <w:tcBorders>
              <w:bottom w:val="single" w:sz="8" w:color="auto"/>
            </w:tcBorders>
            <w:gridSpan w:val="11"/>
          </w:tcPr>
          <w:p>
            <w:pPr>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4"/>
          </w:tcPr>
          <w:p>
            <w:pPr>
              <w:ind w:left="2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Filing Fee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Previously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10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5"/>
                <w:szCs w:val="15"/>
                <w:color w:val="auto"/>
              </w:rPr>
            </w:pPr>
          </w:p>
        </w:tc>
        <w:tc>
          <w:tcPr>
            <w:tcW w:w="12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Paid in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w w:val="99"/>
              </w:rPr>
              <w:t>Connection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ind w:left="20"/>
              <w:spacing w:after="0" w:line="181" w:lineRule="exact"/>
              <w:rPr>
                <w:sz w:val="20"/>
                <w:szCs w:val="20"/>
                <w:color w:val="auto"/>
              </w:rPr>
            </w:pPr>
            <w:r>
              <w:rPr>
                <w:rFonts w:ascii="Arial" w:cs="Arial" w:eastAsia="Arial" w:hAnsi="Arial"/>
                <w:sz w:val="16"/>
                <w:szCs w:val="16"/>
                <w:b w:val="1"/>
                <w:bCs w:val="1"/>
                <w:color w:val="auto"/>
                <w:w w:val="98"/>
              </w:rPr>
              <w:t>Security</w:t>
            </w:r>
          </w:p>
        </w:tc>
        <w:tc>
          <w:tcPr>
            <w:tcW w:w="20" w:type="dxa"/>
            <w:vAlign w:val="bottom"/>
          </w:tcPr>
          <w:p>
            <w:pPr>
              <w:spacing w:after="0"/>
              <w:rPr>
                <w:sz w:val="15"/>
                <w:szCs w:val="15"/>
                <w:color w:val="auto"/>
              </w:rPr>
            </w:pPr>
          </w:p>
        </w:tc>
        <w:tc>
          <w:tcPr>
            <w:tcW w:w="860" w:type="dxa"/>
            <w:vAlign w:val="bottom"/>
            <w:shd w:val="clear" w:color="auto" w:fill="9ADAF6"/>
          </w:tcPr>
          <w:p>
            <w:pPr>
              <w:ind w:left="120"/>
              <w:spacing w:after="0" w:line="181"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Calculation</w:t>
            </w:r>
          </w:p>
        </w:tc>
        <w:tc>
          <w:tcPr>
            <w:tcW w:w="20" w:type="dxa"/>
            <w:vAlign w:val="bottom"/>
          </w:tcPr>
          <w:p>
            <w:pPr>
              <w:spacing w:after="0"/>
              <w:rPr>
                <w:sz w:val="15"/>
                <w:szCs w:val="15"/>
                <w:color w:val="auto"/>
              </w:rPr>
            </w:pPr>
          </w:p>
        </w:tc>
        <w:tc>
          <w:tcPr>
            <w:tcW w:w="1060" w:type="dxa"/>
            <w:vAlign w:val="bottom"/>
            <w:shd w:val="clear" w:color="auto" w:fill="9ADAF6"/>
          </w:tcPr>
          <w:p>
            <w:pPr>
              <w:jc w:val="right"/>
              <w:ind w:right="140"/>
              <w:spacing w:after="0" w:line="181" w:lineRule="exact"/>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5"/>
                <w:szCs w:val="15"/>
                <w:color w:val="auto"/>
              </w:rPr>
            </w:pPr>
          </w:p>
        </w:tc>
        <w:tc>
          <w:tcPr>
            <w:tcW w:w="12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Amount of</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8"/>
              </w:rPr>
              <w:t>Forward</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8"/>
              </w:rPr>
              <w:t>Forward</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8"/>
              </w:rPr>
              <w:t>Forward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ind w:left="160"/>
              <w:spacing w:after="0" w:line="181"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860" w:type="dxa"/>
            <w:vAlign w:val="bottom"/>
            <w:shd w:val="clear" w:color="auto" w:fill="9ADAF6"/>
          </w:tcPr>
          <w:p>
            <w:pPr>
              <w:ind w:left="40"/>
              <w:spacing w:after="0" w:line="181" w:lineRule="exact"/>
              <w:rPr>
                <w:sz w:val="20"/>
                <w:szCs w:val="20"/>
                <w:color w:val="auto"/>
              </w:rPr>
            </w:pPr>
            <w:r>
              <w:rPr>
                <w:rFonts w:ascii="Arial" w:cs="Arial" w:eastAsia="Arial" w:hAnsi="Arial"/>
                <w:sz w:val="16"/>
                <w:szCs w:val="16"/>
                <w:b w:val="1"/>
                <w:bCs w:val="1"/>
                <w:color w:val="auto"/>
                <w:w w:val="99"/>
              </w:rPr>
              <w:t>Class Title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or Carry</w:t>
            </w:r>
          </w:p>
        </w:tc>
        <w:tc>
          <w:tcPr>
            <w:tcW w:w="20" w:type="dxa"/>
            <w:vAlign w:val="bottom"/>
          </w:tcPr>
          <w:p>
            <w:pPr>
              <w:spacing w:after="0"/>
              <w:rPr>
                <w:sz w:val="15"/>
                <w:szCs w:val="15"/>
                <w:color w:val="auto"/>
              </w:rPr>
            </w:pPr>
          </w:p>
        </w:tc>
        <w:tc>
          <w:tcPr>
            <w:tcW w:w="1060" w:type="dxa"/>
            <w:vAlign w:val="bottom"/>
            <w:shd w:val="clear" w:color="auto" w:fill="9ADAF6"/>
          </w:tcPr>
          <w:p>
            <w:pPr>
              <w:jc w:val="right"/>
              <w:ind w:right="40"/>
              <w:spacing w:after="0" w:line="181" w:lineRule="exact"/>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12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5"/>
                <w:szCs w:val="15"/>
                <w:color w:val="auto"/>
              </w:rPr>
            </w:pPr>
          </w:p>
        </w:tc>
        <w:tc>
          <w:tcPr>
            <w:tcW w:w="9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4"/>
              </w:rPr>
              <w:t>File</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10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5"/>
                <w:szCs w:val="15"/>
                <w:color w:val="auto"/>
              </w:rPr>
            </w:pPr>
          </w:p>
        </w:tc>
        <w:tc>
          <w:tcPr>
            <w:tcW w:w="12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8"/>
              </w:rPr>
              <w:t>Effective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7"/>
              </w:rPr>
              <w:t>Rule</w:t>
            </w:r>
          </w:p>
        </w:tc>
        <w:tc>
          <w:tcPr>
            <w:tcW w:w="20" w:type="dxa"/>
            <w:vAlign w:val="bottom"/>
          </w:tcPr>
          <w:p>
            <w:pPr>
              <w:spacing w:after="0"/>
              <w:rPr>
                <w:sz w:val="17"/>
                <w:szCs w:val="17"/>
                <w:color w:val="auto"/>
              </w:rPr>
            </w:pPr>
          </w:p>
        </w:tc>
        <w:tc>
          <w:tcPr>
            <w:tcW w:w="10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17"/>
                <w:szCs w:val="17"/>
                <w:color w:val="auto"/>
              </w:rPr>
            </w:pPr>
          </w:p>
        </w:tc>
        <w:tc>
          <w:tcPr>
            <w:tcW w:w="12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7"/>
                <w:szCs w:val="17"/>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to be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Carried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gridSpan w:val="5"/>
          </w:tcPr>
          <w:p>
            <w:pPr>
              <w:ind w:left="100"/>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ind w:left="20"/>
              <w:spacing w:after="0" w:line="180" w:lineRule="exact"/>
              <w:rPr>
                <w:sz w:val="20"/>
                <w:szCs w:val="20"/>
                <w:color w:val="auto"/>
              </w:rPr>
            </w:pPr>
            <w:r>
              <w:rPr>
                <w:rFonts w:ascii="Arial" w:cs="Arial" w:eastAsia="Arial" w:hAnsi="Arial"/>
                <w:sz w:val="16"/>
                <w:szCs w:val="16"/>
                <w:color w:val="auto"/>
              </w:rPr>
              <w:t>4.550%</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76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860" w:type="dxa"/>
            <w:vAlign w:val="bottom"/>
            <w:shd w:val="clear" w:color="auto" w:fill="E7E7E2"/>
          </w:tcPr>
          <w:p>
            <w:pPr>
              <w:ind w:left="20"/>
              <w:spacing w:after="0" w:line="181" w:lineRule="exact"/>
              <w:rPr>
                <w:sz w:val="20"/>
                <w:szCs w:val="20"/>
                <w:color w:val="auto"/>
              </w:rPr>
            </w:pPr>
            <w:r>
              <w:rPr>
                <w:rFonts w:ascii="Arial" w:cs="Arial" w:eastAsia="Arial" w:hAnsi="Arial"/>
                <w:sz w:val="16"/>
                <w:szCs w:val="16"/>
                <w:color w:val="auto"/>
              </w:rPr>
              <w:t>Senior</w:t>
            </w:r>
          </w:p>
        </w:tc>
        <w:tc>
          <w:tcPr>
            <w:tcW w:w="20" w:type="dxa"/>
            <w:vAlign w:val="bottom"/>
          </w:tcPr>
          <w:p>
            <w:pPr>
              <w:spacing w:after="0"/>
              <w:rPr>
                <w:sz w:val="15"/>
                <w:szCs w:val="15"/>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8"/>
              </w:rPr>
              <w:t>457(r)</w:t>
            </w:r>
          </w:p>
        </w:tc>
        <w:tc>
          <w:tcPr>
            <w:tcW w:w="20" w:type="dxa"/>
            <w:vAlign w:val="bottom"/>
          </w:tcPr>
          <w:p>
            <w:pPr>
              <w:spacing w:after="0"/>
              <w:rPr>
                <w:sz w:val="15"/>
                <w:szCs w:val="15"/>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500,000,000</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$ 0.99916</w:t>
            </w:r>
          </w:p>
        </w:tc>
        <w:tc>
          <w:tcPr>
            <w:tcW w:w="20" w:type="dxa"/>
            <w:vAlign w:val="bottom"/>
          </w:tcPr>
          <w:p>
            <w:pPr>
              <w:spacing w:after="0"/>
              <w:rPr>
                <w:sz w:val="15"/>
                <w:szCs w:val="15"/>
                <w:color w:val="auto"/>
              </w:rPr>
            </w:pPr>
          </w:p>
        </w:tc>
        <w:tc>
          <w:tcPr>
            <w:tcW w:w="12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$ 499,580,000.00</w:t>
            </w:r>
          </w:p>
        </w:tc>
        <w:tc>
          <w:tcPr>
            <w:tcW w:w="20" w:type="dxa"/>
            <w:vAlign w:val="bottom"/>
          </w:tcPr>
          <w:p>
            <w:pPr>
              <w:spacing w:after="0"/>
              <w:rPr>
                <w:sz w:val="15"/>
                <w:szCs w:val="15"/>
                <w:color w:val="auto"/>
              </w:rPr>
            </w:pPr>
          </w:p>
        </w:tc>
        <w:tc>
          <w:tcPr>
            <w:tcW w:w="7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$ 68,992.00</w:t>
            </w: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760" w:type="dxa"/>
            <w:vAlign w:val="bottom"/>
            <w:vMerge w:val="restart"/>
            <w:shd w:val="clear" w:color="auto" w:fill="E7E7E2"/>
          </w:tcPr>
          <w:p>
            <w:pPr>
              <w:spacing w:after="0" w:line="181"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restart"/>
            <w:shd w:val="clear" w:color="auto" w:fill="E7E7E2"/>
          </w:tcPr>
          <w:p>
            <w:pPr>
              <w:ind w:left="20"/>
              <w:spacing w:after="0" w:line="181" w:lineRule="exact"/>
              <w:rPr>
                <w:sz w:val="20"/>
                <w:szCs w:val="20"/>
                <w:color w:val="auto"/>
              </w:rPr>
            </w:pPr>
            <w:r>
              <w:rPr>
                <w:rFonts w:ascii="Arial" w:cs="Arial" w:eastAsia="Arial" w:hAnsi="Arial"/>
                <w:sz w:val="16"/>
                <w:szCs w:val="16"/>
                <w:color w:val="auto"/>
              </w:rPr>
              <w:t>Notes due</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ind w:left="20"/>
              <w:spacing w:after="0"/>
              <w:rPr>
                <w:sz w:val="20"/>
                <w:szCs w:val="20"/>
                <w:color w:val="auto"/>
              </w:rPr>
            </w:pPr>
            <w:r>
              <w:rPr>
                <w:rFonts w:ascii="Arial" w:cs="Arial" w:eastAsia="Arial" w:hAnsi="Arial"/>
                <w:sz w:val="16"/>
                <w:szCs w:val="16"/>
                <w:color w:val="auto"/>
              </w:rPr>
              <w:t>2031</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vMerge w:val="continue"/>
          </w:tcPr>
          <w:p>
            <w:pPr>
              <w:spacing w:after="0"/>
              <w:rPr>
                <w:sz w:val="14"/>
                <w:szCs w:val="14"/>
                <w:color w:val="auto"/>
              </w:rPr>
            </w:pPr>
          </w:p>
        </w:tc>
        <w:tc>
          <w:tcPr>
            <w:tcW w:w="860" w:type="dxa"/>
            <w:vAlign w:val="bottom"/>
            <w:shd w:val="clear" w:color="auto" w:fill="E7E7E2"/>
          </w:tcPr>
          <w:p>
            <w:pPr>
              <w:ind w:left="20"/>
              <w:spacing w:after="0" w:line="170" w:lineRule="exact"/>
              <w:rPr>
                <w:sz w:val="20"/>
                <w:szCs w:val="20"/>
                <w:color w:val="auto"/>
              </w:rPr>
            </w:pPr>
            <w:r>
              <w:rPr>
                <w:rFonts w:ascii="Arial" w:cs="Arial" w:eastAsia="Arial" w:hAnsi="Arial"/>
                <w:sz w:val="16"/>
                <w:szCs w:val="16"/>
                <w:color w:val="auto"/>
              </w:rPr>
              <w:t>4.800%</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76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860" w:type="dxa"/>
            <w:vAlign w:val="bottom"/>
            <w:shd w:val="clear" w:color="auto" w:fill="E7E7E2"/>
          </w:tcPr>
          <w:p>
            <w:pPr>
              <w:ind w:left="20"/>
              <w:spacing w:after="0" w:line="181" w:lineRule="exact"/>
              <w:rPr>
                <w:sz w:val="20"/>
                <w:szCs w:val="20"/>
                <w:color w:val="auto"/>
              </w:rPr>
            </w:pPr>
            <w:r>
              <w:rPr>
                <w:rFonts w:ascii="Arial" w:cs="Arial" w:eastAsia="Arial" w:hAnsi="Arial"/>
                <w:sz w:val="16"/>
                <w:szCs w:val="16"/>
                <w:color w:val="auto"/>
              </w:rPr>
              <w:t>Senior</w:t>
            </w:r>
          </w:p>
        </w:tc>
        <w:tc>
          <w:tcPr>
            <w:tcW w:w="20" w:type="dxa"/>
            <w:vAlign w:val="bottom"/>
          </w:tcPr>
          <w:p>
            <w:pPr>
              <w:spacing w:after="0"/>
              <w:rPr>
                <w:sz w:val="15"/>
                <w:szCs w:val="15"/>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8"/>
              </w:rPr>
              <w:t>457(r)</w:t>
            </w:r>
          </w:p>
        </w:tc>
        <w:tc>
          <w:tcPr>
            <w:tcW w:w="20" w:type="dxa"/>
            <w:vAlign w:val="bottom"/>
          </w:tcPr>
          <w:p>
            <w:pPr>
              <w:spacing w:after="0"/>
              <w:rPr>
                <w:sz w:val="15"/>
                <w:szCs w:val="15"/>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500,000,000</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$ 0.9973</w:t>
            </w:r>
          </w:p>
        </w:tc>
        <w:tc>
          <w:tcPr>
            <w:tcW w:w="20" w:type="dxa"/>
            <w:vAlign w:val="bottom"/>
          </w:tcPr>
          <w:p>
            <w:pPr>
              <w:spacing w:after="0"/>
              <w:rPr>
                <w:sz w:val="15"/>
                <w:szCs w:val="15"/>
                <w:color w:val="auto"/>
              </w:rPr>
            </w:pPr>
          </w:p>
        </w:tc>
        <w:tc>
          <w:tcPr>
            <w:tcW w:w="12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$ 498,650,000.00</w:t>
            </w:r>
          </w:p>
        </w:tc>
        <w:tc>
          <w:tcPr>
            <w:tcW w:w="20" w:type="dxa"/>
            <w:vAlign w:val="bottom"/>
          </w:tcPr>
          <w:p>
            <w:pPr>
              <w:spacing w:after="0"/>
              <w:rPr>
                <w:sz w:val="15"/>
                <w:szCs w:val="15"/>
                <w:color w:val="auto"/>
              </w:rPr>
            </w:pPr>
          </w:p>
        </w:tc>
        <w:tc>
          <w:tcPr>
            <w:tcW w:w="7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$ 68,863.57</w:t>
            </w: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760" w:type="dxa"/>
            <w:vAlign w:val="bottom"/>
            <w:vMerge w:val="restart"/>
            <w:shd w:val="clear" w:color="auto" w:fill="E7E7E2"/>
          </w:tcPr>
          <w:p>
            <w:pPr>
              <w:spacing w:after="0" w:line="181"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restart"/>
            <w:shd w:val="clear" w:color="auto" w:fill="E7E7E2"/>
          </w:tcPr>
          <w:p>
            <w:pPr>
              <w:ind w:left="20"/>
              <w:spacing w:after="0" w:line="181" w:lineRule="exact"/>
              <w:rPr>
                <w:sz w:val="20"/>
                <w:szCs w:val="20"/>
                <w:color w:val="auto"/>
              </w:rPr>
            </w:pPr>
            <w:r>
              <w:rPr>
                <w:rFonts w:ascii="Arial" w:cs="Arial" w:eastAsia="Arial" w:hAnsi="Arial"/>
                <w:sz w:val="16"/>
                <w:szCs w:val="16"/>
                <w:color w:val="auto"/>
              </w:rPr>
              <w:t>Notes due</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ind w:left="20"/>
              <w:spacing w:after="0"/>
              <w:rPr>
                <w:sz w:val="20"/>
                <w:szCs w:val="20"/>
                <w:color w:val="auto"/>
              </w:rPr>
            </w:pPr>
            <w:r>
              <w:rPr>
                <w:rFonts w:ascii="Arial" w:cs="Arial" w:eastAsia="Arial" w:hAnsi="Arial"/>
                <w:sz w:val="16"/>
                <w:szCs w:val="16"/>
                <w:color w:val="auto"/>
              </w:rPr>
              <w:t>2033</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vMerge w:val="continue"/>
          </w:tcPr>
          <w:p>
            <w:pPr>
              <w:spacing w:after="0"/>
              <w:rPr>
                <w:sz w:val="14"/>
                <w:szCs w:val="14"/>
                <w:color w:val="auto"/>
              </w:rPr>
            </w:pPr>
          </w:p>
        </w:tc>
        <w:tc>
          <w:tcPr>
            <w:tcW w:w="860" w:type="dxa"/>
            <w:vAlign w:val="bottom"/>
            <w:shd w:val="clear" w:color="auto" w:fill="E7E7E2"/>
          </w:tcPr>
          <w:p>
            <w:pPr>
              <w:ind w:left="20"/>
              <w:spacing w:after="0" w:line="170" w:lineRule="exact"/>
              <w:rPr>
                <w:sz w:val="20"/>
                <w:szCs w:val="20"/>
                <w:color w:val="auto"/>
              </w:rPr>
            </w:pPr>
            <w:r>
              <w:rPr>
                <w:rFonts w:ascii="Arial" w:cs="Arial" w:eastAsia="Arial" w:hAnsi="Arial"/>
                <w:sz w:val="16"/>
                <w:szCs w:val="16"/>
                <w:color w:val="auto"/>
              </w:rPr>
              <w:t>5.150%</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76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3</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860" w:type="dxa"/>
            <w:vAlign w:val="bottom"/>
            <w:shd w:val="clear" w:color="auto" w:fill="E7E7E2"/>
          </w:tcPr>
          <w:p>
            <w:pPr>
              <w:ind w:left="20"/>
              <w:spacing w:after="0" w:line="181" w:lineRule="exact"/>
              <w:rPr>
                <w:sz w:val="20"/>
                <w:szCs w:val="20"/>
                <w:color w:val="auto"/>
              </w:rPr>
            </w:pPr>
            <w:r>
              <w:rPr>
                <w:rFonts w:ascii="Arial" w:cs="Arial" w:eastAsia="Arial" w:hAnsi="Arial"/>
                <w:sz w:val="16"/>
                <w:szCs w:val="16"/>
                <w:color w:val="auto"/>
              </w:rPr>
              <w:t>Senior</w:t>
            </w:r>
          </w:p>
        </w:tc>
        <w:tc>
          <w:tcPr>
            <w:tcW w:w="20" w:type="dxa"/>
            <w:vAlign w:val="bottom"/>
          </w:tcPr>
          <w:p>
            <w:pPr>
              <w:spacing w:after="0"/>
              <w:rPr>
                <w:sz w:val="15"/>
                <w:szCs w:val="15"/>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8"/>
              </w:rPr>
              <w:t>457(r)</w:t>
            </w:r>
          </w:p>
        </w:tc>
        <w:tc>
          <w:tcPr>
            <w:tcW w:w="20" w:type="dxa"/>
            <w:vAlign w:val="bottom"/>
          </w:tcPr>
          <w:p>
            <w:pPr>
              <w:spacing w:after="0"/>
              <w:rPr>
                <w:sz w:val="15"/>
                <w:szCs w:val="15"/>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1,000,000,000</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$ 0.99861</w:t>
            </w:r>
          </w:p>
        </w:tc>
        <w:tc>
          <w:tcPr>
            <w:tcW w:w="20" w:type="dxa"/>
            <w:vAlign w:val="bottom"/>
          </w:tcPr>
          <w:p>
            <w:pPr>
              <w:spacing w:after="0"/>
              <w:rPr>
                <w:sz w:val="15"/>
                <w:szCs w:val="15"/>
                <w:color w:val="auto"/>
              </w:rPr>
            </w:pPr>
          </w:p>
        </w:tc>
        <w:tc>
          <w:tcPr>
            <w:tcW w:w="12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$ 998,610,000.00</w:t>
            </w:r>
          </w:p>
        </w:tc>
        <w:tc>
          <w:tcPr>
            <w:tcW w:w="20" w:type="dxa"/>
            <w:vAlign w:val="bottom"/>
          </w:tcPr>
          <w:p>
            <w:pPr>
              <w:spacing w:after="0"/>
              <w:rPr>
                <w:sz w:val="15"/>
                <w:szCs w:val="15"/>
                <w:color w:val="auto"/>
              </w:rPr>
            </w:pPr>
          </w:p>
        </w:tc>
        <w:tc>
          <w:tcPr>
            <w:tcW w:w="7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8"/>
              </w:rPr>
              <w:t>$ 137,908.04</w:t>
            </w: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760" w:type="dxa"/>
            <w:vAlign w:val="bottom"/>
            <w:vMerge w:val="restart"/>
            <w:shd w:val="clear" w:color="auto" w:fill="E7E7E2"/>
          </w:tcPr>
          <w:p>
            <w:pPr>
              <w:spacing w:after="0" w:line="181"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restart"/>
            <w:shd w:val="clear" w:color="auto" w:fill="E7E7E2"/>
          </w:tcPr>
          <w:p>
            <w:pPr>
              <w:ind w:left="20"/>
              <w:spacing w:after="0" w:line="181" w:lineRule="exact"/>
              <w:rPr>
                <w:sz w:val="20"/>
                <w:szCs w:val="20"/>
                <w:color w:val="auto"/>
              </w:rPr>
            </w:pPr>
            <w:r>
              <w:rPr>
                <w:rFonts w:ascii="Arial" w:cs="Arial" w:eastAsia="Arial" w:hAnsi="Arial"/>
                <w:sz w:val="16"/>
                <w:szCs w:val="16"/>
                <w:color w:val="auto"/>
              </w:rPr>
              <w:t>Notes due</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ind w:left="20"/>
              <w:spacing w:after="0"/>
              <w:rPr>
                <w:sz w:val="20"/>
                <w:szCs w:val="20"/>
                <w:color w:val="auto"/>
              </w:rPr>
            </w:pPr>
            <w:r>
              <w:rPr>
                <w:rFonts w:ascii="Arial" w:cs="Arial" w:eastAsia="Arial" w:hAnsi="Arial"/>
                <w:sz w:val="16"/>
                <w:szCs w:val="16"/>
                <w:color w:val="auto"/>
              </w:rPr>
              <w:t>2036</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ind w:left="20"/>
              <w:spacing w:after="0" w:line="170" w:lineRule="exact"/>
              <w:rPr>
                <w:sz w:val="20"/>
                <w:szCs w:val="20"/>
                <w:color w:val="auto"/>
              </w:rPr>
            </w:pPr>
            <w:r>
              <w:rPr>
                <w:rFonts w:ascii="Arial" w:cs="Arial" w:eastAsia="Arial" w:hAnsi="Arial"/>
                <w:sz w:val="16"/>
                <w:szCs w:val="16"/>
                <w:color w:val="auto"/>
                <w:w w:val="98"/>
              </w:rPr>
              <w:t>Guarantees</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ind w:left="20"/>
              <w:spacing w:after="0" w:line="181" w:lineRule="exact"/>
              <w:rPr>
                <w:sz w:val="20"/>
                <w:szCs w:val="20"/>
                <w:color w:val="auto"/>
              </w:rPr>
            </w:pPr>
            <w:r>
              <w:rPr>
                <w:rFonts w:ascii="Arial" w:cs="Arial" w:eastAsia="Arial" w:hAnsi="Arial"/>
                <w:sz w:val="16"/>
                <w:szCs w:val="16"/>
                <w:color w:val="auto"/>
              </w:rPr>
              <w:t>of 4.550%</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vMerge w:val="restart"/>
            <w:shd w:val="clear" w:color="auto" w:fill="E7E7E2"/>
          </w:tcPr>
          <w:p>
            <w:pPr>
              <w:jc w:val="right"/>
              <w:spacing w:after="0" w:line="181" w:lineRule="exact"/>
              <w:rPr>
                <w:sz w:val="20"/>
                <w:szCs w:val="20"/>
                <w:color w:val="auto"/>
              </w:rPr>
            </w:pPr>
            <w:r>
              <w:rPr>
                <w:rFonts w:ascii="Arial" w:cs="Arial" w:eastAsia="Arial" w:hAnsi="Arial"/>
                <w:sz w:val="16"/>
                <w:szCs w:val="16"/>
                <w:color w:val="auto"/>
                <w:w w:val="89"/>
              </w:rPr>
              <w:t>4</w:t>
            </w:r>
          </w:p>
        </w:tc>
        <w:tc>
          <w:tcPr>
            <w:tcW w:w="20" w:type="dxa"/>
            <w:vAlign w:val="bottom"/>
          </w:tcPr>
          <w:p>
            <w:pPr>
              <w:spacing w:after="0"/>
              <w:rPr>
                <w:sz w:val="7"/>
                <w:szCs w:val="7"/>
                <w:color w:val="auto"/>
              </w:rPr>
            </w:pPr>
          </w:p>
        </w:tc>
        <w:tc>
          <w:tcPr>
            <w:tcW w:w="660" w:type="dxa"/>
            <w:vAlign w:val="bottom"/>
            <w:vMerge w:val="restart"/>
            <w:shd w:val="clear" w:color="auto" w:fill="E7E7E2"/>
          </w:tcPr>
          <w:p>
            <w:pPr>
              <w:ind w:left="20"/>
              <w:spacing w:after="0" w:line="181" w:lineRule="exact"/>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860" w:type="dxa"/>
            <w:vAlign w:val="bottom"/>
            <w:vMerge w:val="restart"/>
            <w:shd w:val="clear" w:color="auto" w:fill="E7E7E2"/>
          </w:tcPr>
          <w:p>
            <w:pPr>
              <w:ind w:left="20"/>
              <w:spacing w:after="0" w:line="181" w:lineRule="exact"/>
              <w:rPr>
                <w:sz w:val="20"/>
                <w:szCs w:val="20"/>
                <w:color w:val="auto"/>
              </w:rPr>
            </w:pPr>
            <w:r>
              <w:rPr>
                <w:rFonts w:ascii="Arial" w:cs="Arial" w:eastAsia="Arial" w:hAnsi="Arial"/>
                <w:sz w:val="16"/>
                <w:szCs w:val="16"/>
                <w:color w:val="auto"/>
              </w:rPr>
              <w:t>Senior</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line="181" w:lineRule="exact"/>
              <w:rPr>
                <w:sz w:val="20"/>
                <w:szCs w:val="20"/>
                <w:color w:val="auto"/>
              </w:rPr>
            </w:pPr>
            <w:r>
              <w:rPr>
                <w:rFonts w:ascii="Arial" w:cs="Arial" w:eastAsia="Arial" w:hAnsi="Arial"/>
                <w:sz w:val="16"/>
                <w:szCs w:val="16"/>
                <w:color w:val="auto"/>
                <w:w w:val="99"/>
              </w:rPr>
              <w:t>Other</w:t>
            </w:r>
          </w:p>
        </w:tc>
        <w:tc>
          <w:tcPr>
            <w:tcW w:w="20" w:type="dxa"/>
            <w:vAlign w:val="bottom"/>
          </w:tcPr>
          <w:p>
            <w:pPr>
              <w:spacing w:after="0"/>
              <w:rPr>
                <w:sz w:val="7"/>
                <w:szCs w:val="7"/>
                <w:color w:val="auto"/>
              </w:rPr>
            </w:pPr>
          </w:p>
        </w:tc>
        <w:tc>
          <w:tcPr>
            <w:tcW w:w="10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restart"/>
            <w:shd w:val="clear" w:color="auto" w:fill="E7E7E2"/>
          </w:tcPr>
          <w:p>
            <w:pPr>
              <w:jc w:val="center"/>
              <w:spacing w:after="0" w:line="181" w:lineRule="exact"/>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60" w:type="dxa"/>
            <w:vAlign w:val="bottom"/>
            <w:vMerge w:val="restart"/>
            <w:shd w:val="clear" w:color="auto" w:fill="E7E7E2"/>
          </w:tcPr>
          <w:p>
            <w:pPr>
              <w:jc w:val="right"/>
              <w:spacing w:after="0" w:line="181" w:lineRule="exact"/>
              <w:rPr>
                <w:sz w:val="20"/>
                <w:szCs w:val="20"/>
                <w:color w:val="auto"/>
              </w:rPr>
            </w:pPr>
            <w:r>
              <w:rPr>
                <w:rFonts w:ascii="Arial" w:cs="Arial" w:eastAsia="Arial" w:hAnsi="Arial"/>
                <w:sz w:val="16"/>
                <w:szCs w:val="16"/>
                <w:color w:val="auto"/>
              </w:rPr>
              <w:t>$ 0.00</w:t>
            </w: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7"/>
                <w:szCs w:val="7"/>
                <w:color w:val="auto"/>
              </w:rPr>
            </w:pPr>
          </w:p>
        </w:tc>
        <w:tc>
          <w:tcPr>
            <w:tcW w:w="1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restart"/>
            <w:shd w:val="clear" w:color="auto" w:fill="E7E7E2"/>
          </w:tcPr>
          <w:p>
            <w:pPr>
              <w:ind w:left="20"/>
              <w:spacing w:after="0" w:line="181" w:lineRule="exact"/>
              <w:rPr>
                <w:sz w:val="20"/>
                <w:szCs w:val="20"/>
                <w:color w:val="auto"/>
              </w:rPr>
            </w:pPr>
            <w:r>
              <w:rPr>
                <w:rFonts w:ascii="Arial" w:cs="Arial" w:eastAsia="Arial" w:hAnsi="Arial"/>
                <w:sz w:val="16"/>
                <w:szCs w:val="16"/>
                <w:color w:val="auto"/>
              </w:rPr>
              <w:t>Notes due</w:t>
            </w: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ind w:left="20"/>
              <w:spacing w:after="0"/>
              <w:rPr>
                <w:sz w:val="20"/>
                <w:szCs w:val="20"/>
                <w:color w:val="auto"/>
              </w:rPr>
            </w:pPr>
            <w:r>
              <w:rPr>
                <w:rFonts w:ascii="Arial" w:cs="Arial" w:eastAsia="Arial" w:hAnsi="Arial"/>
                <w:sz w:val="16"/>
                <w:szCs w:val="16"/>
                <w:color w:val="auto"/>
              </w:rPr>
              <w:t>2031</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ind w:left="20"/>
              <w:spacing w:after="0" w:line="170" w:lineRule="exact"/>
              <w:rPr>
                <w:sz w:val="20"/>
                <w:szCs w:val="20"/>
                <w:color w:val="auto"/>
              </w:rPr>
            </w:pPr>
            <w:r>
              <w:rPr>
                <w:rFonts w:ascii="Arial" w:cs="Arial" w:eastAsia="Arial" w:hAnsi="Arial"/>
                <w:sz w:val="16"/>
                <w:szCs w:val="16"/>
                <w:color w:val="auto"/>
                <w:w w:val="98"/>
              </w:rPr>
              <w:t>Guarantees</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ind w:left="20"/>
              <w:spacing w:after="0" w:line="181" w:lineRule="exact"/>
              <w:rPr>
                <w:sz w:val="20"/>
                <w:szCs w:val="20"/>
                <w:color w:val="auto"/>
              </w:rPr>
            </w:pPr>
            <w:r>
              <w:rPr>
                <w:rFonts w:ascii="Arial" w:cs="Arial" w:eastAsia="Arial" w:hAnsi="Arial"/>
                <w:sz w:val="16"/>
                <w:szCs w:val="16"/>
                <w:color w:val="auto"/>
              </w:rPr>
              <w:t>of 4.800%</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vMerge w:val="restart"/>
            <w:shd w:val="clear" w:color="auto" w:fill="E7E7E2"/>
          </w:tcPr>
          <w:p>
            <w:pPr>
              <w:jc w:val="right"/>
              <w:spacing w:after="0" w:line="181" w:lineRule="exact"/>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7"/>
                <w:szCs w:val="7"/>
                <w:color w:val="auto"/>
              </w:rPr>
            </w:pPr>
          </w:p>
        </w:tc>
        <w:tc>
          <w:tcPr>
            <w:tcW w:w="660" w:type="dxa"/>
            <w:vAlign w:val="bottom"/>
            <w:vMerge w:val="restart"/>
            <w:shd w:val="clear" w:color="auto" w:fill="E7E7E2"/>
          </w:tcPr>
          <w:p>
            <w:pPr>
              <w:ind w:left="20"/>
              <w:spacing w:after="0" w:line="181" w:lineRule="exact"/>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860" w:type="dxa"/>
            <w:vAlign w:val="bottom"/>
            <w:vMerge w:val="restart"/>
            <w:shd w:val="clear" w:color="auto" w:fill="E7E7E2"/>
          </w:tcPr>
          <w:p>
            <w:pPr>
              <w:ind w:left="20"/>
              <w:spacing w:after="0" w:line="181" w:lineRule="exact"/>
              <w:rPr>
                <w:sz w:val="20"/>
                <w:szCs w:val="20"/>
                <w:color w:val="auto"/>
              </w:rPr>
            </w:pPr>
            <w:r>
              <w:rPr>
                <w:rFonts w:ascii="Arial" w:cs="Arial" w:eastAsia="Arial" w:hAnsi="Arial"/>
                <w:sz w:val="16"/>
                <w:szCs w:val="16"/>
                <w:color w:val="auto"/>
              </w:rPr>
              <w:t>Senior</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line="181" w:lineRule="exact"/>
              <w:rPr>
                <w:sz w:val="20"/>
                <w:szCs w:val="20"/>
                <w:color w:val="auto"/>
              </w:rPr>
            </w:pPr>
            <w:r>
              <w:rPr>
                <w:rFonts w:ascii="Arial" w:cs="Arial" w:eastAsia="Arial" w:hAnsi="Arial"/>
                <w:sz w:val="16"/>
                <w:szCs w:val="16"/>
                <w:color w:val="auto"/>
                <w:w w:val="99"/>
              </w:rPr>
              <w:t>Other</w:t>
            </w:r>
          </w:p>
        </w:tc>
        <w:tc>
          <w:tcPr>
            <w:tcW w:w="20" w:type="dxa"/>
            <w:vAlign w:val="bottom"/>
          </w:tcPr>
          <w:p>
            <w:pPr>
              <w:spacing w:after="0"/>
              <w:rPr>
                <w:sz w:val="7"/>
                <w:szCs w:val="7"/>
                <w:color w:val="auto"/>
              </w:rPr>
            </w:pPr>
          </w:p>
        </w:tc>
        <w:tc>
          <w:tcPr>
            <w:tcW w:w="10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restart"/>
            <w:shd w:val="clear" w:color="auto" w:fill="E7E7E2"/>
          </w:tcPr>
          <w:p>
            <w:pPr>
              <w:jc w:val="center"/>
              <w:spacing w:after="0" w:line="181" w:lineRule="exact"/>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60" w:type="dxa"/>
            <w:vAlign w:val="bottom"/>
            <w:vMerge w:val="restart"/>
            <w:shd w:val="clear" w:color="auto" w:fill="E7E7E2"/>
          </w:tcPr>
          <w:p>
            <w:pPr>
              <w:jc w:val="right"/>
              <w:spacing w:after="0" w:line="181" w:lineRule="exact"/>
              <w:rPr>
                <w:sz w:val="20"/>
                <w:szCs w:val="20"/>
                <w:color w:val="auto"/>
              </w:rPr>
            </w:pPr>
            <w:r>
              <w:rPr>
                <w:rFonts w:ascii="Arial" w:cs="Arial" w:eastAsia="Arial" w:hAnsi="Arial"/>
                <w:sz w:val="16"/>
                <w:szCs w:val="16"/>
                <w:color w:val="auto"/>
              </w:rPr>
              <w:t>$ 0.00</w:t>
            </w: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7"/>
                <w:szCs w:val="7"/>
                <w:color w:val="auto"/>
              </w:rPr>
            </w:pPr>
          </w:p>
        </w:tc>
        <w:tc>
          <w:tcPr>
            <w:tcW w:w="1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restart"/>
            <w:shd w:val="clear" w:color="auto" w:fill="E7E7E2"/>
          </w:tcPr>
          <w:p>
            <w:pPr>
              <w:ind w:left="20"/>
              <w:spacing w:after="0" w:line="181" w:lineRule="exact"/>
              <w:rPr>
                <w:sz w:val="20"/>
                <w:szCs w:val="20"/>
                <w:color w:val="auto"/>
              </w:rPr>
            </w:pPr>
            <w:r>
              <w:rPr>
                <w:rFonts w:ascii="Arial" w:cs="Arial" w:eastAsia="Arial" w:hAnsi="Arial"/>
                <w:sz w:val="16"/>
                <w:szCs w:val="16"/>
                <w:color w:val="auto"/>
              </w:rPr>
              <w:t>Notes due</w:t>
            </w: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ind w:left="20"/>
              <w:spacing w:after="0"/>
              <w:rPr>
                <w:sz w:val="20"/>
                <w:szCs w:val="20"/>
                <w:color w:val="auto"/>
              </w:rPr>
            </w:pPr>
            <w:r>
              <w:rPr>
                <w:rFonts w:ascii="Arial" w:cs="Arial" w:eastAsia="Arial" w:hAnsi="Arial"/>
                <w:sz w:val="16"/>
                <w:szCs w:val="16"/>
                <w:color w:val="auto"/>
              </w:rPr>
              <w:t>2033</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ind w:left="20"/>
              <w:spacing w:after="0" w:line="170" w:lineRule="exact"/>
              <w:rPr>
                <w:sz w:val="20"/>
                <w:szCs w:val="20"/>
                <w:color w:val="auto"/>
              </w:rPr>
            </w:pPr>
            <w:r>
              <w:rPr>
                <w:rFonts w:ascii="Arial" w:cs="Arial" w:eastAsia="Arial" w:hAnsi="Arial"/>
                <w:sz w:val="16"/>
                <w:szCs w:val="16"/>
                <w:color w:val="auto"/>
                <w:w w:val="98"/>
              </w:rPr>
              <w:t>Guarantees</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ind w:left="20"/>
              <w:spacing w:after="0" w:line="181" w:lineRule="exact"/>
              <w:rPr>
                <w:sz w:val="20"/>
                <w:szCs w:val="20"/>
                <w:color w:val="auto"/>
              </w:rPr>
            </w:pPr>
            <w:r>
              <w:rPr>
                <w:rFonts w:ascii="Arial" w:cs="Arial" w:eastAsia="Arial" w:hAnsi="Arial"/>
                <w:sz w:val="16"/>
                <w:szCs w:val="16"/>
                <w:color w:val="auto"/>
              </w:rPr>
              <w:t>of 5.150%</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vMerge w:val="restart"/>
            <w:shd w:val="clear" w:color="auto" w:fill="E7E7E2"/>
          </w:tcPr>
          <w:p>
            <w:pPr>
              <w:jc w:val="right"/>
              <w:spacing w:after="0" w:line="181" w:lineRule="exact"/>
              <w:rPr>
                <w:sz w:val="20"/>
                <w:szCs w:val="20"/>
                <w:color w:val="auto"/>
              </w:rPr>
            </w:pPr>
            <w:r>
              <w:rPr>
                <w:rFonts w:ascii="Arial" w:cs="Arial" w:eastAsia="Arial" w:hAnsi="Arial"/>
                <w:sz w:val="16"/>
                <w:szCs w:val="16"/>
                <w:color w:val="auto"/>
                <w:w w:val="89"/>
              </w:rPr>
              <w:t>6</w:t>
            </w:r>
          </w:p>
        </w:tc>
        <w:tc>
          <w:tcPr>
            <w:tcW w:w="20" w:type="dxa"/>
            <w:vAlign w:val="bottom"/>
          </w:tcPr>
          <w:p>
            <w:pPr>
              <w:spacing w:after="0"/>
              <w:rPr>
                <w:sz w:val="7"/>
                <w:szCs w:val="7"/>
                <w:color w:val="auto"/>
              </w:rPr>
            </w:pPr>
          </w:p>
        </w:tc>
        <w:tc>
          <w:tcPr>
            <w:tcW w:w="660" w:type="dxa"/>
            <w:vAlign w:val="bottom"/>
            <w:vMerge w:val="restart"/>
            <w:shd w:val="clear" w:color="auto" w:fill="E7E7E2"/>
          </w:tcPr>
          <w:p>
            <w:pPr>
              <w:ind w:left="20"/>
              <w:spacing w:after="0" w:line="181" w:lineRule="exact"/>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860" w:type="dxa"/>
            <w:vAlign w:val="bottom"/>
            <w:vMerge w:val="restart"/>
            <w:shd w:val="clear" w:color="auto" w:fill="E7E7E2"/>
          </w:tcPr>
          <w:p>
            <w:pPr>
              <w:ind w:left="20"/>
              <w:spacing w:after="0" w:line="181" w:lineRule="exact"/>
              <w:rPr>
                <w:sz w:val="20"/>
                <w:szCs w:val="20"/>
                <w:color w:val="auto"/>
              </w:rPr>
            </w:pPr>
            <w:r>
              <w:rPr>
                <w:rFonts w:ascii="Arial" w:cs="Arial" w:eastAsia="Arial" w:hAnsi="Arial"/>
                <w:sz w:val="16"/>
                <w:szCs w:val="16"/>
                <w:color w:val="auto"/>
              </w:rPr>
              <w:t>Senior</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line="181" w:lineRule="exact"/>
              <w:rPr>
                <w:sz w:val="20"/>
                <w:szCs w:val="20"/>
                <w:color w:val="auto"/>
              </w:rPr>
            </w:pPr>
            <w:r>
              <w:rPr>
                <w:rFonts w:ascii="Arial" w:cs="Arial" w:eastAsia="Arial" w:hAnsi="Arial"/>
                <w:sz w:val="16"/>
                <w:szCs w:val="16"/>
                <w:color w:val="auto"/>
                <w:w w:val="99"/>
              </w:rPr>
              <w:t>Other</w:t>
            </w:r>
          </w:p>
        </w:tc>
        <w:tc>
          <w:tcPr>
            <w:tcW w:w="20" w:type="dxa"/>
            <w:vAlign w:val="bottom"/>
          </w:tcPr>
          <w:p>
            <w:pPr>
              <w:spacing w:after="0"/>
              <w:rPr>
                <w:sz w:val="7"/>
                <w:szCs w:val="7"/>
                <w:color w:val="auto"/>
              </w:rPr>
            </w:pPr>
          </w:p>
        </w:tc>
        <w:tc>
          <w:tcPr>
            <w:tcW w:w="10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restart"/>
            <w:shd w:val="clear" w:color="auto" w:fill="E7E7E2"/>
          </w:tcPr>
          <w:p>
            <w:pPr>
              <w:jc w:val="center"/>
              <w:spacing w:after="0" w:line="181" w:lineRule="exact"/>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60" w:type="dxa"/>
            <w:vAlign w:val="bottom"/>
            <w:vMerge w:val="restart"/>
            <w:shd w:val="clear" w:color="auto" w:fill="E7E7E2"/>
          </w:tcPr>
          <w:p>
            <w:pPr>
              <w:jc w:val="right"/>
              <w:spacing w:after="0" w:line="181" w:lineRule="exact"/>
              <w:rPr>
                <w:sz w:val="20"/>
                <w:szCs w:val="20"/>
                <w:color w:val="auto"/>
              </w:rPr>
            </w:pPr>
            <w:r>
              <w:rPr>
                <w:rFonts w:ascii="Arial" w:cs="Arial" w:eastAsia="Arial" w:hAnsi="Arial"/>
                <w:sz w:val="16"/>
                <w:szCs w:val="16"/>
                <w:color w:val="auto"/>
              </w:rPr>
              <w:t>$ 0.00</w:t>
            </w: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7"/>
                <w:szCs w:val="7"/>
                <w:color w:val="auto"/>
              </w:rPr>
            </w:pPr>
          </w:p>
        </w:tc>
        <w:tc>
          <w:tcPr>
            <w:tcW w:w="1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restart"/>
            <w:shd w:val="clear" w:color="auto" w:fill="E7E7E2"/>
          </w:tcPr>
          <w:p>
            <w:pPr>
              <w:ind w:left="20"/>
              <w:spacing w:after="0" w:line="181" w:lineRule="exact"/>
              <w:rPr>
                <w:sz w:val="20"/>
                <w:szCs w:val="20"/>
                <w:color w:val="auto"/>
              </w:rPr>
            </w:pPr>
            <w:r>
              <w:rPr>
                <w:rFonts w:ascii="Arial" w:cs="Arial" w:eastAsia="Arial" w:hAnsi="Arial"/>
                <w:sz w:val="16"/>
                <w:szCs w:val="16"/>
                <w:color w:val="auto"/>
              </w:rPr>
              <w:t>Notes due</w:t>
            </w: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ind w:left="20"/>
              <w:spacing w:after="0"/>
              <w:rPr>
                <w:sz w:val="20"/>
                <w:szCs w:val="20"/>
                <w:color w:val="auto"/>
              </w:rPr>
            </w:pPr>
            <w:r>
              <w:rPr>
                <w:rFonts w:ascii="Arial" w:cs="Arial" w:eastAsia="Arial" w:hAnsi="Arial"/>
                <w:sz w:val="16"/>
                <w:szCs w:val="16"/>
                <w:color w:val="auto"/>
              </w:rPr>
              <w:t>2036</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-4570730</wp:posOffset>
            </wp:positionV>
            <wp:extent cx="7216775" cy="61480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216775" cy="614807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Fees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Previously</w:t>
      </w:r>
    </w:p>
    <w:p>
      <w:pPr>
        <w:ind w:left="40"/>
        <w:spacing w:after="0"/>
        <w:rPr>
          <w:sz w:val="20"/>
          <w:szCs w:val="20"/>
          <w:color w:val="auto"/>
        </w:rPr>
      </w:pPr>
      <w:r>
        <w:rPr>
          <w:rFonts w:ascii="Arial" w:cs="Arial" w:eastAsia="Arial" w:hAnsi="Arial"/>
          <w:sz w:val="16"/>
          <w:szCs w:val="16"/>
          <w:color w:val="auto"/>
        </w:rPr>
        <w:t>Paid</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60" w:type="dxa"/>
            <w:vAlign w:val="bottom"/>
            <w:gridSpan w:val="5"/>
          </w:tcPr>
          <w:p>
            <w:pPr>
              <w:ind w:left="220"/>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80"/>
        </w:trPr>
        <w:tc>
          <w:tcPr>
            <w:tcW w:w="76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r>
      <w:tr>
        <w:trPr>
          <w:trHeight w:val="181"/>
        </w:trPr>
        <w:tc>
          <w:tcPr>
            <w:tcW w:w="76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r>
      <w:tr>
        <w:trPr>
          <w:trHeight w:val="211"/>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r>
      <w:tr>
        <w:trPr>
          <w:trHeight w:val="190"/>
        </w:trPr>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208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$ 275,763.61</w:t>
            </w:r>
          </w:p>
        </w:tc>
      </w:tr>
      <w:tr>
        <w:trPr>
          <w:trHeight w:val="213"/>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80" w:type="dxa"/>
            <w:vAlign w:val="bottom"/>
            <w:gridSpan w:val="4"/>
          </w:tcPr>
          <w:p>
            <w:pPr>
              <w:jc w:val="right"/>
              <w:ind w:right="20"/>
              <w:spacing w:after="0"/>
              <w:rPr>
                <w:sz w:val="20"/>
                <w:szCs w:val="20"/>
                <w:color w:val="auto"/>
              </w:rPr>
            </w:pPr>
            <w:r>
              <w:rPr>
                <w:rFonts w:ascii="Arial" w:cs="Arial" w:eastAsia="Arial" w:hAnsi="Arial"/>
                <w:sz w:val="16"/>
                <w:szCs w:val="16"/>
                <w:color w:val="auto"/>
              </w:rPr>
              <w:t>1,996,840,000.00</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1"/>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color w:val="auto"/>
                <w:w w:val="99"/>
              </w:rPr>
              <w:t>Total Fees Previously Paid:</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$ 0.00</w:t>
            </w:r>
          </w:p>
        </w:tc>
      </w:tr>
      <w:tr>
        <w:trPr>
          <w:trHeight w:val="221"/>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$ 0.00</w:t>
            </w:r>
          </w:p>
        </w:tc>
      </w:tr>
      <w:tr>
        <w:trPr>
          <w:trHeight w:val="221"/>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$ 275,763.61</w:t>
            </w:r>
          </w:p>
        </w:tc>
      </w:tr>
    </w:tbl>
    <w:p>
      <w:pPr>
        <w:spacing w:after="0" w:line="2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90" w:lineRule="exact"/>
        <w:rPr>
          <w:sz w:val="20"/>
          <w:szCs w:val="20"/>
          <w:color w:val="auto"/>
        </w:rPr>
      </w:pPr>
    </w:p>
    <w:p>
      <w:pPr>
        <w:ind w:left="200" w:hanging="170"/>
        <w:spacing w:after="0"/>
        <w:tabs>
          <w:tab w:leader="none" w:pos="200" w:val="left"/>
        </w:tabs>
        <w:numPr>
          <w:ilvl w:val="0"/>
          <w:numId w:val="58"/>
        </w:numPr>
        <w:rPr>
          <w:rFonts w:ascii="Arial" w:cs="Arial" w:eastAsia="Arial" w:hAnsi="Arial"/>
          <w:sz w:val="20"/>
          <w:szCs w:val="20"/>
          <w:color w:val="auto"/>
          <w:vertAlign w:val="superscript"/>
        </w:rPr>
      </w:pPr>
      <w:r>
        <w:rPr>
          <w:rFonts w:ascii="Arial" w:cs="Arial" w:eastAsia="Arial" w:hAnsi="Arial"/>
          <w:sz w:val="16"/>
          <w:szCs w:val="16"/>
          <w:color w:val="auto"/>
        </w:rPr>
        <w:t>Calculated in accordance with Rule 457(r) of the Securities Act of 1933, as amended. The total registration fee for this offering is $275,763.61.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15454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54545" cy="38100"/>
                    </a:xfrm>
                    <a:prstGeom prst="rect">
                      <a:avLst/>
                    </a:prstGeom>
                    <a:noFill/>
                  </pic:spPr>
                </pic:pic>
              </a:graphicData>
            </a:graphic>
          </wp:anchor>
        </w:drawing>
      </w:r>
    </w:p>
    <w:p>
      <w:pPr>
        <w:spacing w:after="0" w:line="191" w:lineRule="exact"/>
        <w:rPr>
          <w:sz w:val="20"/>
          <w:szCs w:val="20"/>
          <w:color w:val="auto"/>
        </w:rPr>
      </w:pPr>
    </w:p>
    <w:p>
      <w:pPr>
        <w:ind w:left="200" w:hanging="170"/>
        <w:spacing w:after="0"/>
        <w:tabs>
          <w:tab w:leader="none" w:pos="200" w:val="left"/>
        </w:tabs>
        <w:numPr>
          <w:ilvl w:val="0"/>
          <w:numId w:val="59"/>
        </w:numPr>
        <w:rPr>
          <w:rFonts w:ascii="Arial" w:cs="Arial" w:eastAsia="Arial" w:hAnsi="Arial"/>
          <w:sz w:val="20"/>
          <w:szCs w:val="20"/>
          <w:color w:val="auto"/>
          <w:vertAlign w:val="superscript"/>
        </w:rPr>
      </w:pPr>
      <w:r>
        <w:rPr>
          <w:rFonts w:ascii="Arial" w:cs="Arial" w:eastAsia="Arial" w:hAnsi="Arial"/>
          <w:sz w:val="16"/>
          <w:szCs w:val="16"/>
          <w:color w:val="auto"/>
        </w:rPr>
        <w:t>Calculated in accordance with Rule 457(r) of the Securities Act of 1933, as amended. The total registration fee for this offering is $275,763.61.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15454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54545" cy="38100"/>
                    </a:xfrm>
                    <a:prstGeom prst="rect">
                      <a:avLst/>
                    </a:prstGeom>
                    <a:noFill/>
                  </pic:spPr>
                </pic:pic>
              </a:graphicData>
            </a:graphic>
          </wp:anchor>
        </w:drawing>
      </w:r>
    </w:p>
    <w:p>
      <w:pPr>
        <w:spacing w:after="0" w:line="191" w:lineRule="exact"/>
        <w:rPr>
          <w:sz w:val="20"/>
          <w:szCs w:val="20"/>
          <w:color w:val="auto"/>
        </w:rPr>
      </w:pPr>
    </w:p>
    <w:p>
      <w:pPr>
        <w:ind w:left="200" w:hanging="170"/>
        <w:spacing w:after="0"/>
        <w:tabs>
          <w:tab w:leader="none" w:pos="200" w:val="left"/>
        </w:tabs>
        <w:numPr>
          <w:ilvl w:val="0"/>
          <w:numId w:val="60"/>
        </w:numPr>
        <w:rPr>
          <w:rFonts w:ascii="Arial" w:cs="Arial" w:eastAsia="Arial" w:hAnsi="Arial"/>
          <w:sz w:val="20"/>
          <w:szCs w:val="20"/>
          <w:color w:val="auto"/>
          <w:vertAlign w:val="superscript"/>
        </w:rPr>
      </w:pPr>
      <w:r>
        <w:rPr>
          <w:rFonts w:ascii="Arial" w:cs="Arial" w:eastAsia="Arial" w:hAnsi="Arial"/>
          <w:sz w:val="16"/>
          <w:szCs w:val="16"/>
          <w:color w:val="auto"/>
        </w:rPr>
        <w:t>Calculated in accordance with Rule 457(r) of the Securities Act of 1933, as amended. The total registration fee for this offering is $275,763.61.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15454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54545" cy="38100"/>
                    </a:xfrm>
                    <a:prstGeom prst="rect">
                      <a:avLst/>
                    </a:prstGeom>
                    <a:noFill/>
                  </pic:spPr>
                </pic:pic>
              </a:graphicData>
            </a:graphic>
          </wp:anchor>
        </w:drawing>
      </w:r>
    </w:p>
    <w:p>
      <w:pPr>
        <w:spacing w:after="0" w:line="208" w:lineRule="exact"/>
        <w:rPr>
          <w:sz w:val="20"/>
          <w:szCs w:val="20"/>
          <w:color w:val="auto"/>
        </w:rPr>
      </w:pPr>
    </w:p>
    <w:p>
      <w:pPr>
        <w:ind w:left="200" w:right="200" w:hanging="170"/>
        <w:spacing w:after="0" w:line="228" w:lineRule="auto"/>
        <w:tabs>
          <w:tab w:leader="none" w:pos="200" w:val="left"/>
        </w:tabs>
        <w:numPr>
          <w:ilvl w:val="0"/>
          <w:numId w:val="61"/>
        </w:numPr>
        <w:rPr>
          <w:rFonts w:ascii="Arial" w:cs="Arial" w:eastAsia="Arial" w:hAnsi="Arial"/>
          <w:sz w:val="20"/>
          <w:szCs w:val="20"/>
          <w:color w:val="auto"/>
          <w:vertAlign w:val="superscript"/>
        </w:rPr>
      </w:pPr>
      <w:r>
        <w:rPr>
          <w:rFonts w:ascii="Arial" w:cs="Arial" w:eastAsia="Arial" w:hAnsi="Arial"/>
          <w:sz w:val="16"/>
          <w:szCs w:val="16"/>
          <w:color w:val="auto"/>
        </w:rPr>
        <w:t>No separate consideration will be received for the guarantees. Pursuant to Rule 457(n) of the Securities Act of 1933, as amended, no separate registration fee is payable with respect to the guarantees being registered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15454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54545" cy="38100"/>
                    </a:xfrm>
                    <a:prstGeom prst="rect">
                      <a:avLst/>
                    </a:prstGeom>
                    <a:noFill/>
                  </pic:spPr>
                </pic:pic>
              </a:graphicData>
            </a:graphic>
          </wp:anchor>
        </w:drawing>
      </w:r>
    </w:p>
    <w:p>
      <w:pPr>
        <w:spacing w:after="0" w:line="209" w:lineRule="exact"/>
        <w:rPr>
          <w:sz w:val="20"/>
          <w:szCs w:val="20"/>
          <w:color w:val="auto"/>
        </w:rPr>
      </w:pPr>
    </w:p>
    <w:p>
      <w:pPr>
        <w:ind w:left="200" w:right="200" w:hanging="170"/>
        <w:spacing w:after="0" w:line="228" w:lineRule="auto"/>
        <w:tabs>
          <w:tab w:leader="none" w:pos="200" w:val="left"/>
        </w:tabs>
        <w:numPr>
          <w:ilvl w:val="0"/>
          <w:numId w:val="62"/>
        </w:numPr>
        <w:rPr>
          <w:rFonts w:ascii="Arial" w:cs="Arial" w:eastAsia="Arial" w:hAnsi="Arial"/>
          <w:sz w:val="20"/>
          <w:szCs w:val="20"/>
          <w:color w:val="auto"/>
          <w:vertAlign w:val="superscript"/>
        </w:rPr>
      </w:pPr>
      <w:r>
        <w:rPr>
          <w:rFonts w:ascii="Arial" w:cs="Arial" w:eastAsia="Arial" w:hAnsi="Arial"/>
          <w:sz w:val="16"/>
          <w:szCs w:val="16"/>
          <w:color w:val="auto"/>
        </w:rPr>
        <w:t>No separate consideration will be received for the guarantees. Pursuant to Rule 457(n) of the Securities Act of 1933, as amended, no separate registration fee is payable with respect to the guarantees being registered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15454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54545" cy="38100"/>
                    </a:xfrm>
                    <a:prstGeom prst="rect">
                      <a:avLst/>
                    </a:prstGeom>
                    <a:noFill/>
                  </pic:spPr>
                </pic:pic>
              </a:graphicData>
            </a:graphic>
          </wp:anchor>
        </w:drawing>
      </w:r>
    </w:p>
    <w:p>
      <w:pPr>
        <w:spacing w:after="0" w:line="209" w:lineRule="exact"/>
        <w:rPr>
          <w:sz w:val="20"/>
          <w:szCs w:val="20"/>
          <w:color w:val="auto"/>
        </w:rPr>
      </w:pPr>
    </w:p>
    <w:p>
      <w:pPr>
        <w:ind w:left="200" w:right="200" w:hanging="170"/>
        <w:spacing w:after="0" w:line="228" w:lineRule="auto"/>
        <w:tabs>
          <w:tab w:leader="none" w:pos="200" w:val="left"/>
        </w:tabs>
        <w:numPr>
          <w:ilvl w:val="0"/>
          <w:numId w:val="63"/>
        </w:numPr>
        <w:rPr>
          <w:rFonts w:ascii="Arial" w:cs="Arial" w:eastAsia="Arial" w:hAnsi="Arial"/>
          <w:sz w:val="20"/>
          <w:szCs w:val="20"/>
          <w:color w:val="auto"/>
          <w:vertAlign w:val="superscript"/>
        </w:rPr>
      </w:pPr>
      <w:r>
        <w:rPr>
          <w:rFonts w:ascii="Arial" w:cs="Arial" w:eastAsia="Arial" w:hAnsi="Arial"/>
          <w:sz w:val="16"/>
          <w:szCs w:val="16"/>
          <w:color w:val="auto"/>
        </w:rPr>
        <w:t>No separate consideration will be received for the guarantees. Pursuant to Rule 457(n) of the Securities Act of 1933, as amended, no separate registration fee is payable with respect to the guarantees being registered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15454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54545" cy="3810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4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4"/>
          </w:tcPr>
          <w:p>
            <w:pPr>
              <w:ind w:left="400"/>
              <w:spacing w:after="0" w:line="184" w:lineRule="exact"/>
              <w:rPr>
                <w:sz w:val="20"/>
                <w:szCs w:val="20"/>
                <w:color w:val="auto"/>
              </w:rPr>
            </w:pPr>
            <w:r>
              <w:rPr>
                <w:rFonts w:ascii="MS PGothic" w:cs="MS PGothic" w:eastAsia="MS PGothic" w:hAnsi="MS PGothic"/>
                <w:sz w:val="16"/>
                <w:szCs w:val="16"/>
                <w:color w:val="auto"/>
                <w:highlight w:val="black"/>
                <w:w w:val="98"/>
              </w:rPr>
              <w:t>☑</w:t>
            </w:r>
            <w:r>
              <w:rPr>
                <w:rFonts w:ascii="Arial" w:cs="Arial" w:eastAsia="Arial" w:hAnsi="Arial"/>
                <w:sz w:val="16"/>
                <w:szCs w:val="16"/>
                <w:b w:val="1"/>
                <w:bCs w:val="1"/>
                <w:color w:val="auto"/>
                <w:w w:val="98"/>
              </w:rPr>
              <w:t>Not Applicable</w:t>
            </w:r>
          </w:p>
        </w:tc>
      </w:tr>
      <w:tr>
        <w:trPr>
          <w:trHeight w:val="185"/>
        </w:trPr>
        <w:tc>
          <w:tcPr>
            <w:tcW w:w="40" w:type="dxa"/>
            <w:vAlign w:val="bottom"/>
            <w:tcBorders>
              <w:left w:val="single" w:sz="8" w:color="auto"/>
            </w:tcBorders>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Form or</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6"/>
                <w:szCs w:val="16"/>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10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Securities</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8"/>
              </w:rPr>
              <w:t>Aggregate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5"/>
                <w:szCs w:val="15"/>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10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8"/>
              </w:rPr>
              <w:t>Associated</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with</w:t>
            </w:r>
          </w:p>
        </w:tc>
        <w:tc>
          <w:tcPr>
            <w:tcW w:w="60" w:type="dxa"/>
            <w:vAlign w:val="bottom"/>
            <w:tcBorders>
              <w:right w:val="single" w:sz="8" w:color="auto"/>
            </w:tcBorders>
          </w:tcPr>
          <w:p>
            <w:pPr>
              <w:spacing w:after="0"/>
              <w:rPr>
                <w:sz w:val="15"/>
                <w:szCs w:val="15"/>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10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10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Offset</w:t>
            </w:r>
          </w:p>
        </w:tc>
        <w:tc>
          <w:tcPr>
            <w:tcW w:w="60" w:type="dxa"/>
            <w:vAlign w:val="bottom"/>
            <w:tcBorders>
              <w:right w:val="single" w:sz="8" w:color="auto"/>
            </w:tcBorders>
          </w:tcPr>
          <w:p>
            <w:pPr>
              <w:spacing w:after="0"/>
              <w:rPr>
                <w:sz w:val="15"/>
                <w:szCs w:val="15"/>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9"/>
                <w:szCs w:val="19"/>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9"/>
                <w:szCs w:val="19"/>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9"/>
                <w:szCs w:val="19"/>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9"/>
                <w:szCs w:val="19"/>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Source</w:t>
            </w:r>
          </w:p>
        </w:tc>
        <w:tc>
          <w:tcPr>
            <w:tcW w:w="60" w:type="dxa"/>
            <w:vAlign w:val="bottom"/>
            <w:tcBorders>
              <w:right w:val="single" w:sz="8" w:color="auto"/>
            </w:tcBorders>
          </w:tcPr>
          <w:p>
            <w:pPr>
              <w:spacing w:after="0"/>
              <w:rPr>
                <w:sz w:val="19"/>
                <w:szCs w:val="19"/>
                <w:color w:val="auto"/>
              </w:rPr>
            </w:pPr>
          </w:p>
        </w:tc>
      </w:tr>
      <w:tr>
        <w:trPr>
          <w:trHeight w:val="45"/>
        </w:trPr>
        <w:tc>
          <w:tcPr>
            <w:tcW w:w="40" w:type="dxa"/>
            <w:vAlign w:val="bottom"/>
            <w:tcBorders>
              <w:left w:val="single" w:sz="8" w:color="auto"/>
            </w:tcBorders>
          </w:tcPr>
          <w:p>
            <w:pPr>
              <w:spacing w:after="0"/>
              <w:rPr>
                <w:sz w:val="3"/>
                <w:szCs w:val="3"/>
                <w:color w:val="auto"/>
              </w:rPr>
            </w:pPr>
          </w:p>
        </w:tc>
        <w:tc>
          <w:tcPr>
            <w:tcW w:w="1020" w:type="dxa"/>
            <w:vAlign w:val="bottom"/>
            <w:shd w:val="clear" w:color="auto" w:fill="9ADAF6"/>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shd w:val="clear" w:color="auto" w:fill="9ADAF6"/>
          </w:tcPr>
          <w:p>
            <w:pPr>
              <w:spacing w:after="0"/>
              <w:rPr>
                <w:sz w:val="3"/>
                <w:szCs w:val="3"/>
                <w:color w:val="auto"/>
              </w:rPr>
            </w:pPr>
          </w:p>
        </w:tc>
        <w:tc>
          <w:tcPr>
            <w:tcW w:w="20" w:type="dxa"/>
            <w:vAlign w:val="bottom"/>
          </w:tcPr>
          <w:p>
            <w:pPr>
              <w:spacing w:after="0"/>
              <w:rPr>
                <w:sz w:val="3"/>
                <w:szCs w:val="3"/>
                <w:color w:val="auto"/>
              </w:rPr>
            </w:pPr>
          </w:p>
        </w:tc>
        <w:tc>
          <w:tcPr>
            <w:tcW w:w="1640" w:type="dxa"/>
            <w:vAlign w:val="bottom"/>
            <w:shd w:val="clear" w:color="auto" w:fill="9ADAF6"/>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shd w:val="clear" w:color="auto" w:fill="9ADAF6"/>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shd w:val="clear" w:color="auto" w:fill="9ADAF6"/>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shd w:val="clear" w:color="auto" w:fill="9ADAF6"/>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shd w:val="clear" w:color="auto" w:fill="9ADAF6"/>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shd w:val="clear" w:color="auto" w:fill="9ADAF6"/>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shd w:val="clear" w:color="auto" w:fill="9ADAF6"/>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shd w:val="clear" w:color="auto" w:fill="9ADAF6"/>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shd w:val="clear" w:color="auto" w:fill="9ADAF6"/>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shd w:val="clear" w:color="auto" w:fill="9ADAF6"/>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shd w:val="clear" w:color="auto" w:fill="9ADAF6"/>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r>
    </w:tbl>
    <w:p>
      <w:pPr>
        <w:sectPr>
          <w:pgSz w:w="11900" w:h="16900" w:orient="portrait"/>
          <w:cols w:equalWidth="0" w:num="1">
            <w:col w:w="11360"/>
          </w:cols>
          <w:pgMar w:left="300" w:top="140" w:right="239" w:bottom="0" w:gutter="0" w:footer="0" w:header="0"/>
        </w:sectPr>
      </w:pPr>
    </w:p>
    <w:bookmarkStart w:id="88" w:name="page89"/>
    <w:bookmarkEnd w:id="8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8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4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80" w:type="dxa"/>
            <w:vAlign w:val="bottom"/>
            <w:shd w:val="clear" w:color="auto" w:fill="9ADAF6"/>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vMerge w:val="restart"/>
          </w:tcPr>
          <w:p>
            <w:pPr>
              <w:spacing w:after="0"/>
              <w:rPr>
                <w:sz w:val="11"/>
                <w:szCs w:val="11"/>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20" w:type="dxa"/>
            <w:vAlign w:val="bottom"/>
            <w:vMerge w:val="restart"/>
          </w:tcPr>
          <w:p>
            <w:pPr>
              <w:spacing w:after="0"/>
              <w:rPr>
                <w:sz w:val="11"/>
                <w:szCs w:val="11"/>
                <w:color w:val="auto"/>
              </w:rPr>
            </w:pPr>
          </w:p>
        </w:tc>
        <w:tc>
          <w:tcPr>
            <w:tcW w:w="640" w:type="dxa"/>
            <w:vAlign w:val="bottom"/>
            <w:vMerge w:val="restart"/>
            <w:shd w:val="clear" w:color="auto" w:fill="9ADAF6"/>
          </w:tcPr>
          <w:p>
            <w:pPr>
              <w:spacing w:after="0"/>
              <w:rPr>
                <w:sz w:val="11"/>
                <w:szCs w:val="11"/>
                <w:color w:val="auto"/>
              </w:rPr>
            </w:pPr>
          </w:p>
        </w:tc>
        <w:tc>
          <w:tcPr>
            <w:tcW w:w="60" w:type="dxa"/>
            <w:vAlign w:val="bottom"/>
            <w:tcBorders>
              <w:right w:val="single" w:sz="8" w:color="auto"/>
            </w:tcBorders>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40" w:type="dxa"/>
            <w:vAlign w:val="bottom"/>
            <w:tcBorders>
              <w:left w:val="single" w:sz="8" w:color="auto"/>
            </w:tcBorders>
          </w:tcPr>
          <w:p>
            <w:pPr>
              <w:spacing w:after="0"/>
              <w:rPr>
                <w:sz w:val="4"/>
                <w:szCs w:val="4"/>
                <w:color w:val="auto"/>
              </w:rPr>
            </w:pPr>
          </w:p>
        </w:tc>
        <w:tc>
          <w:tcPr>
            <w:tcW w:w="440" w:type="dxa"/>
            <w:vAlign w:val="bottom"/>
            <w:shd w:val="clear" w:color="auto" w:fill="9ADAF6"/>
          </w:tcPr>
          <w:p>
            <w:pPr>
              <w:spacing w:after="0"/>
              <w:rPr>
                <w:sz w:val="4"/>
                <w:szCs w:val="4"/>
                <w:color w:val="auto"/>
              </w:rPr>
            </w:pPr>
          </w:p>
        </w:tc>
        <w:tc>
          <w:tcPr>
            <w:tcW w:w="20" w:type="dxa"/>
            <w:vAlign w:val="bottom"/>
            <w:shd w:val="clear" w:color="auto" w:fill="9ADAF6"/>
          </w:tcPr>
          <w:p>
            <w:pPr>
              <w:spacing w:after="0"/>
              <w:rPr>
                <w:sz w:val="4"/>
                <w:szCs w:val="4"/>
                <w:color w:val="auto"/>
              </w:rPr>
            </w:pPr>
          </w:p>
        </w:tc>
        <w:tc>
          <w:tcPr>
            <w:tcW w:w="5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shd w:val="clear" w:color="auto" w:fill="9ADAF6"/>
          </w:tcPr>
          <w:p>
            <w:pPr>
              <w:spacing w:after="0"/>
              <w:rPr>
                <w:sz w:val="4"/>
                <w:szCs w:val="4"/>
                <w:color w:val="auto"/>
              </w:rPr>
            </w:pPr>
          </w:p>
        </w:tc>
        <w:tc>
          <w:tcPr>
            <w:tcW w:w="20" w:type="dxa"/>
            <w:vAlign w:val="bottom"/>
            <w:shd w:val="clear" w:color="auto" w:fill="9ADAF6"/>
          </w:tcPr>
          <w:p>
            <w:pPr>
              <w:spacing w:after="0"/>
              <w:rPr>
                <w:sz w:val="4"/>
                <w:szCs w:val="4"/>
                <w:color w:val="auto"/>
              </w:rPr>
            </w:pPr>
          </w:p>
        </w:tc>
        <w:tc>
          <w:tcPr>
            <w:tcW w:w="560" w:type="dxa"/>
            <w:vAlign w:val="bottom"/>
            <w:shd w:val="clear" w:color="auto" w:fill="9ADAF6"/>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shd w:val="clear" w:color="auto" w:fill="9ADAF6"/>
          </w:tcPr>
          <w:p>
            <w:pPr>
              <w:spacing w:after="0"/>
              <w:rPr>
                <w:sz w:val="4"/>
                <w:szCs w:val="4"/>
                <w:color w:val="auto"/>
              </w:rPr>
            </w:pPr>
          </w:p>
        </w:tc>
        <w:tc>
          <w:tcPr>
            <w:tcW w:w="460" w:type="dxa"/>
            <w:vAlign w:val="bottom"/>
            <w:shd w:val="clear" w:color="auto" w:fill="9ADAF6"/>
          </w:tcPr>
          <w:p>
            <w:pPr>
              <w:spacing w:after="0"/>
              <w:rPr>
                <w:sz w:val="4"/>
                <w:szCs w:val="4"/>
                <w:color w:val="auto"/>
              </w:rPr>
            </w:pPr>
          </w:p>
        </w:tc>
        <w:tc>
          <w:tcPr>
            <w:tcW w:w="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shd w:val="clear" w:color="auto" w:fill="9ADAF6"/>
          </w:tcPr>
          <w:p>
            <w:pPr>
              <w:spacing w:after="0"/>
              <w:rPr>
                <w:sz w:val="4"/>
                <w:szCs w:val="4"/>
                <w:color w:val="auto"/>
              </w:rPr>
            </w:pPr>
          </w:p>
        </w:tc>
        <w:tc>
          <w:tcPr>
            <w:tcW w:w="20" w:type="dxa"/>
            <w:vAlign w:val="bottom"/>
            <w:shd w:val="clear" w:color="auto" w:fill="9ADAF6"/>
          </w:tcPr>
          <w:p>
            <w:pPr>
              <w:spacing w:after="0"/>
              <w:rPr>
                <w:sz w:val="4"/>
                <w:szCs w:val="4"/>
                <w:color w:val="auto"/>
              </w:rPr>
            </w:pPr>
          </w:p>
        </w:tc>
        <w:tc>
          <w:tcPr>
            <w:tcW w:w="180" w:type="dxa"/>
            <w:vAlign w:val="bottom"/>
            <w:shd w:val="clear" w:color="auto" w:fill="9ADAF6"/>
          </w:tcPr>
          <w:p>
            <w:pPr>
              <w:spacing w:after="0"/>
              <w:rPr>
                <w:sz w:val="4"/>
                <w:szCs w:val="4"/>
                <w:color w:val="auto"/>
              </w:rPr>
            </w:pPr>
          </w:p>
        </w:tc>
        <w:tc>
          <w:tcPr>
            <w:tcW w:w="2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980" w:type="dxa"/>
            <w:vAlign w:val="bottom"/>
            <w:gridSpan w:val="3"/>
            <w:vMerge w:val="continue"/>
            <w:shd w:val="clear" w:color="auto" w:fill="9ADAF6"/>
          </w:tcPr>
          <w:p>
            <w:pPr>
              <w:spacing w:after="0"/>
              <w:rPr>
                <w:sz w:val="4"/>
                <w:szCs w:val="4"/>
                <w:color w:val="auto"/>
              </w:rPr>
            </w:pPr>
          </w:p>
        </w:tc>
        <w:tc>
          <w:tcPr>
            <w:tcW w:w="20" w:type="dxa"/>
            <w:vAlign w:val="bottom"/>
            <w:vMerge w:val="continue"/>
          </w:tcPr>
          <w:p>
            <w:pPr>
              <w:spacing w:after="0"/>
              <w:rPr>
                <w:sz w:val="4"/>
                <w:szCs w:val="4"/>
                <w:color w:val="auto"/>
              </w:rPr>
            </w:pPr>
          </w:p>
        </w:tc>
        <w:tc>
          <w:tcPr>
            <w:tcW w:w="640" w:type="dxa"/>
            <w:vAlign w:val="bottom"/>
            <w:vMerge w:val="continue"/>
            <w:shd w:val="clear" w:color="auto" w:fill="9ADAF6"/>
          </w:tcPr>
          <w:p>
            <w:pPr>
              <w:spacing w:after="0"/>
              <w:rPr>
                <w:sz w:val="4"/>
                <w:szCs w:val="4"/>
                <w:color w:val="auto"/>
              </w:rPr>
            </w:pPr>
          </w:p>
        </w:tc>
        <w:tc>
          <w:tcPr>
            <w:tcW w:w="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9ADAF6"/>
          </w:tcPr>
          <w:p>
            <w:pPr>
              <w:spacing w:after="0"/>
              <w:rPr>
                <w:sz w:val="18"/>
                <w:szCs w:val="18"/>
                <w:color w:val="auto"/>
              </w:rPr>
            </w:pPr>
          </w:p>
        </w:tc>
        <w:tc>
          <w:tcPr>
            <w:tcW w:w="4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10"/>
          </w:tcPr>
          <w:p>
            <w:pPr>
              <w:ind w:left="200"/>
              <w:spacing w:after="0"/>
              <w:rPr>
                <w:sz w:val="20"/>
                <w:szCs w:val="20"/>
                <w:color w:val="auto"/>
              </w:rPr>
            </w:pPr>
            <w:r>
              <w:rPr>
                <w:rFonts w:ascii="Arial" w:cs="Arial" w:eastAsia="Arial" w:hAnsi="Arial"/>
                <w:sz w:val="16"/>
                <w:szCs w:val="16"/>
                <w:b w:val="1"/>
                <w:bCs w:val="1"/>
                <w:color w:val="auto"/>
              </w:rPr>
              <w:t>Rules 457(b) and 0-11(a)(2)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1020" w:type="dxa"/>
            <w:vAlign w:val="bottom"/>
            <w:gridSpan w:val="3"/>
            <w:shd w:val="clear" w:color="auto" w:fill="E7E7E2"/>
          </w:tcPr>
          <w:p>
            <w:pPr>
              <w:spacing w:after="0" w:line="180"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8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0" w:type="dxa"/>
            <w:vAlign w:val="bottom"/>
            <w:tcBorders>
              <w:left w:val="single" w:sz="8" w:color="auto"/>
            </w:tcBorders>
          </w:tcPr>
          <w:p>
            <w:pPr>
              <w:spacing w:after="0"/>
              <w:rPr>
                <w:sz w:val="18"/>
                <w:szCs w:val="18"/>
                <w:color w:val="auto"/>
              </w:rPr>
            </w:pPr>
          </w:p>
        </w:tc>
        <w:tc>
          <w:tcPr>
            <w:tcW w:w="102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4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1020" w:type="dxa"/>
            <w:vAlign w:val="bottom"/>
            <w:gridSpan w:val="3"/>
            <w:shd w:val="clear" w:color="auto" w:fill="E7E7E2"/>
          </w:tcPr>
          <w:p>
            <w:pPr>
              <w:spacing w:after="0" w:line="170"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vMerge w:val="continue"/>
          </w:tcPr>
          <w:p>
            <w:pPr>
              <w:spacing w:after="0"/>
              <w:rPr>
                <w:sz w:val="14"/>
                <w:szCs w:val="14"/>
                <w:color w:val="auto"/>
              </w:rPr>
            </w:pPr>
          </w:p>
        </w:tc>
        <w:tc>
          <w:tcPr>
            <w:tcW w:w="2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560" w:type="dxa"/>
            <w:vAlign w:val="bottom"/>
            <w:shd w:val="clear" w:color="auto" w:fill="E7E7E2"/>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E7E7E2"/>
          </w:tcPr>
          <w:p>
            <w:pPr>
              <w:spacing w:after="0"/>
              <w:rPr>
                <w:sz w:val="14"/>
                <w:szCs w:val="14"/>
                <w:color w:val="auto"/>
              </w:rPr>
            </w:pPr>
          </w:p>
        </w:tc>
        <w:tc>
          <w:tcPr>
            <w:tcW w:w="46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80" w:type="dxa"/>
            <w:vAlign w:val="bottom"/>
            <w:shd w:val="clear" w:color="auto" w:fill="E7E7E2"/>
          </w:tcPr>
          <w:p>
            <w:pPr>
              <w:spacing w:after="0"/>
              <w:rPr>
                <w:sz w:val="14"/>
                <w:szCs w:val="14"/>
                <w:color w:val="auto"/>
              </w:rPr>
            </w:pPr>
          </w:p>
        </w:tc>
        <w:tc>
          <w:tcPr>
            <w:tcW w:w="2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0" w:type="dxa"/>
            <w:vAlign w:val="bottom"/>
            <w:tcBorders>
              <w:left w:val="single" w:sz="8" w:color="auto"/>
            </w:tcBorders>
          </w:tcPr>
          <w:p>
            <w:pPr>
              <w:spacing w:after="0"/>
              <w:rPr>
                <w:sz w:val="18"/>
                <w:szCs w:val="18"/>
                <w:color w:val="auto"/>
              </w:rPr>
            </w:pPr>
          </w:p>
        </w:tc>
        <w:tc>
          <w:tcPr>
            <w:tcW w:w="102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4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gridSpan w:val="7"/>
          </w:tcPr>
          <w:p>
            <w:pPr>
              <w:ind w:left="300"/>
              <w:spacing w:after="0"/>
              <w:rPr>
                <w:sz w:val="20"/>
                <w:szCs w:val="20"/>
                <w:color w:val="auto"/>
              </w:rPr>
            </w:pPr>
            <w:r>
              <w:rPr>
                <w:rFonts w:ascii="Arial" w:cs="Arial" w:eastAsia="Arial" w:hAnsi="Arial"/>
                <w:sz w:val="16"/>
                <w:szCs w:val="16"/>
                <w:b w:val="1"/>
                <w:bCs w:val="1"/>
                <w:color w:val="auto"/>
              </w:rPr>
              <w:t>Rule 457(p)</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1020" w:type="dxa"/>
            <w:vAlign w:val="bottom"/>
            <w:gridSpan w:val="3"/>
            <w:shd w:val="clear" w:color="auto" w:fill="E7E7E2"/>
          </w:tcPr>
          <w:p>
            <w:pPr>
              <w:spacing w:after="0" w:line="180"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8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0" w:type="dxa"/>
            <w:vAlign w:val="bottom"/>
            <w:tcBorders>
              <w:left w:val="single" w:sz="8" w:color="auto"/>
            </w:tcBorders>
          </w:tcPr>
          <w:p>
            <w:pPr>
              <w:spacing w:after="0"/>
              <w:rPr>
                <w:sz w:val="18"/>
                <w:szCs w:val="18"/>
                <w:color w:val="auto"/>
              </w:rPr>
            </w:pPr>
          </w:p>
        </w:tc>
        <w:tc>
          <w:tcPr>
            <w:tcW w:w="102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4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1020" w:type="dxa"/>
            <w:vAlign w:val="bottom"/>
            <w:gridSpan w:val="3"/>
            <w:shd w:val="clear" w:color="auto" w:fill="E7E7E2"/>
          </w:tcPr>
          <w:p>
            <w:pPr>
              <w:spacing w:after="0" w:line="170"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vMerge w:val="continue"/>
          </w:tcPr>
          <w:p>
            <w:pPr>
              <w:spacing w:after="0"/>
              <w:rPr>
                <w:sz w:val="14"/>
                <w:szCs w:val="14"/>
                <w:color w:val="auto"/>
              </w:rPr>
            </w:pPr>
          </w:p>
        </w:tc>
        <w:tc>
          <w:tcPr>
            <w:tcW w:w="2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560" w:type="dxa"/>
            <w:vAlign w:val="bottom"/>
            <w:shd w:val="clear" w:color="auto" w:fill="E7E7E2"/>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E7E7E2"/>
          </w:tcPr>
          <w:p>
            <w:pPr>
              <w:spacing w:after="0"/>
              <w:rPr>
                <w:sz w:val="14"/>
                <w:szCs w:val="14"/>
                <w:color w:val="auto"/>
              </w:rPr>
            </w:pPr>
          </w:p>
        </w:tc>
        <w:tc>
          <w:tcPr>
            <w:tcW w:w="46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80" w:type="dxa"/>
            <w:vAlign w:val="bottom"/>
            <w:shd w:val="clear" w:color="auto" w:fill="E7E7E2"/>
          </w:tcPr>
          <w:p>
            <w:pPr>
              <w:spacing w:after="0"/>
              <w:rPr>
                <w:sz w:val="14"/>
                <w:szCs w:val="14"/>
                <w:color w:val="auto"/>
              </w:rPr>
            </w:pPr>
          </w:p>
        </w:tc>
        <w:tc>
          <w:tcPr>
            <w:tcW w:w="2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0" w:type="dxa"/>
            <w:vAlign w:val="bottom"/>
            <w:tcBorders>
              <w:left w:val="single" w:sz="8" w:color="auto"/>
            </w:tcBorders>
          </w:tcPr>
          <w:p>
            <w:pPr>
              <w:spacing w:after="0"/>
              <w:rPr>
                <w:sz w:val="18"/>
                <w:szCs w:val="18"/>
                <w:color w:val="auto"/>
              </w:rPr>
            </w:pPr>
          </w:p>
        </w:tc>
        <w:tc>
          <w:tcPr>
            <w:tcW w:w="102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4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3: Combined Prospectuses</w:t>
            </w: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400"/>
              <w:spacing w:after="0" w:line="184" w:lineRule="exact"/>
              <w:rPr>
                <w:sz w:val="20"/>
                <w:szCs w:val="20"/>
                <w:color w:val="auto"/>
              </w:rPr>
            </w:pPr>
            <w:r>
              <w:rPr>
                <w:rFonts w:ascii="MS PGothic" w:cs="MS PGothic" w:eastAsia="MS PGothic" w:hAnsi="MS PGothic"/>
                <w:sz w:val="16"/>
                <w:szCs w:val="16"/>
                <w:color w:val="auto"/>
                <w:highlight w:val="black"/>
                <w:w w:val="98"/>
              </w:rPr>
              <w:t>☑</w:t>
            </w:r>
            <w:r>
              <w:rPr>
                <w:rFonts w:ascii="Arial" w:cs="Arial" w:eastAsia="Arial" w:hAnsi="Arial"/>
                <w:sz w:val="16"/>
                <w:szCs w:val="16"/>
                <w:b w:val="1"/>
                <w:bCs w:val="1"/>
                <w:color w:val="auto"/>
                <w:w w:val="98"/>
              </w:rPr>
              <w:t>Not Applicable</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560" w:type="dxa"/>
            <w:vAlign w:val="bottom"/>
            <w:gridSpan w:val="5"/>
            <w:shd w:val="clear" w:color="auto" w:fill="9ADAF6"/>
          </w:tcPr>
          <w:p>
            <w:pPr>
              <w:ind w:left="360"/>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1820" w:type="dxa"/>
            <w:vAlign w:val="bottom"/>
            <w:gridSpan w:val="5"/>
            <w:shd w:val="clear" w:color="auto" w:fill="9ADAF6"/>
          </w:tcPr>
          <w:p>
            <w:pPr>
              <w:jc w:val="center"/>
              <w:ind w:right="180"/>
              <w:spacing w:after="0"/>
              <w:rPr>
                <w:sz w:val="20"/>
                <w:szCs w:val="20"/>
                <w:color w:val="auto"/>
              </w:rPr>
            </w:pPr>
            <w:r>
              <w:rPr>
                <w:rFonts w:ascii="Arial" w:cs="Arial" w:eastAsia="Arial" w:hAnsi="Arial"/>
                <w:sz w:val="16"/>
                <w:szCs w:val="16"/>
                <w:b w:val="1"/>
                <w:bCs w:val="1"/>
                <w:color w:val="auto"/>
                <w:w w:val="99"/>
              </w:rPr>
              <w:t>Maximum Aggregate</w:t>
            </w: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vMerge w:val="restart"/>
            <w:shd w:val="clear" w:color="auto" w:fill="9ADAF6"/>
          </w:tcPr>
          <w:p>
            <w:pPr>
              <w:jc w:val="center"/>
              <w:ind w:right="140"/>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8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4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560" w:type="dxa"/>
            <w:vAlign w:val="bottom"/>
            <w:gridSpan w:val="5"/>
            <w:vMerge w:val="restart"/>
            <w:shd w:val="clear" w:color="auto" w:fill="9ADAF6"/>
          </w:tcPr>
          <w:p>
            <w:pPr>
              <w:ind w:left="380"/>
              <w:spacing w:after="0" w:line="181" w:lineRule="exact"/>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7"/>
                <w:szCs w:val="7"/>
                <w:color w:val="auto"/>
              </w:rPr>
            </w:pPr>
          </w:p>
        </w:tc>
        <w:tc>
          <w:tcPr>
            <w:tcW w:w="180" w:type="dxa"/>
            <w:vAlign w:val="bottom"/>
            <w:shd w:val="clear" w:color="auto" w:fill="9ADAF6"/>
          </w:tcPr>
          <w:p>
            <w:pPr>
              <w:spacing w:after="0"/>
              <w:rPr>
                <w:sz w:val="7"/>
                <w:szCs w:val="7"/>
                <w:color w:val="auto"/>
              </w:rPr>
            </w:pPr>
          </w:p>
        </w:tc>
        <w:tc>
          <w:tcPr>
            <w:tcW w:w="1820" w:type="dxa"/>
            <w:vAlign w:val="bottom"/>
            <w:gridSpan w:val="5"/>
            <w:vMerge w:val="restart"/>
            <w:shd w:val="clear" w:color="auto" w:fill="9ADAF6"/>
          </w:tcPr>
          <w:p>
            <w:pPr>
              <w:jc w:val="center"/>
              <w:ind w:right="180"/>
              <w:spacing w:after="0" w:line="181" w:lineRule="exact"/>
              <w:rPr>
                <w:sz w:val="20"/>
                <w:szCs w:val="20"/>
                <w:color w:val="auto"/>
              </w:rPr>
            </w:pPr>
            <w:r>
              <w:rPr>
                <w:rFonts w:ascii="Arial" w:cs="Arial" w:eastAsia="Arial" w:hAnsi="Arial"/>
                <w:sz w:val="16"/>
                <w:szCs w:val="16"/>
                <w:b w:val="1"/>
                <w:bCs w:val="1"/>
                <w:color w:val="auto"/>
                <w:w w:val="98"/>
              </w:rPr>
              <w:t>Offering Price of</w:t>
            </w:r>
          </w:p>
        </w:tc>
        <w:tc>
          <w:tcPr>
            <w:tcW w:w="20" w:type="dxa"/>
            <w:vAlign w:val="bottom"/>
          </w:tcPr>
          <w:p>
            <w:pPr>
              <w:spacing w:after="0"/>
              <w:rPr>
                <w:sz w:val="7"/>
                <w:szCs w:val="7"/>
                <w:color w:val="auto"/>
              </w:rPr>
            </w:pPr>
          </w:p>
        </w:tc>
        <w:tc>
          <w:tcPr>
            <w:tcW w:w="680" w:type="dxa"/>
            <w:vAlign w:val="bottom"/>
            <w:gridSpan w:val="3"/>
            <w:vMerge w:val="restart"/>
            <w:shd w:val="clear" w:color="auto" w:fill="9ADAF6"/>
          </w:tcPr>
          <w:p>
            <w:pPr>
              <w:ind w:left="140"/>
              <w:spacing w:after="0" w:line="181" w:lineRule="exact"/>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5"/>
            <w:vMerge w:val="restart"/>
            <w:shd w:val="clear" w:color="auto" w:fill="9ADAF6"/>
          </w:tcPr>
          <w:p>
            <w:pPr>
              <w:ind w:left="260"/>
              <w:spacing w:after="0" w:line="181" w:lineRule="exact"/>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1780" w:type="dxa"/>
            <w:vAlign w:val="bottom"/>
            <w:gridSpan w:val="5"/>
            <w:vMerge w:val="restart"/>
            <w:shd w:val="clear" w:color="auto" w:fill="9ADAF6"/>
          </w:tcPr>
          <w:p>
            <w:pPr>
              <w:ind w:left="100"/>
              <w:spacing w:after="0" w:line="181" w:lineRule="exact"/>
              <w:rPr>
                <w:sz w:val="20"/>
                <w:szCs w:val="20"/>
                <w:color w:val="auto"/>
              </w:rPr>
            </w:pPr>
            <w:r>
              <w:rPr>
                <w:rFonts w:ascii="Arial" w:cs="Arial" w:eastAsia="Arial" w:hAnsi="Arial"/>
                <w:sz w:val="16"/>
                <w:szCs w:val="16"/>
                <w:b w:val="1"/>
                <w:bCs w:val="1"/>
                <w:color w:val="auto"/>
              </w:rPr>
              <w:t>Security Class Title</w:t>
            </w:r>
          </w:p>
        </w:tc>
        <w:tc>
          <w:tcPr>
            <w:tcW w:w="4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56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shd w:val="clear" w:color="auto" w:fill="9ADAF6"/>
          </w:tcPr>
          <w:p>
            <w:pPr>
              <w:spacing w:after="0"/>
              <w:rPr>
                <w:sz w:val="7"/>
                <w:szCs w:val="7"/>
                <w:color w:val="auto"/>
              </w:rPr>
            </w:pPr>
          </w:p>
        </w:tc>
        <w:tc>
          <w:tcPr>
            <w:tcW w:w="18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100"/>
              <w:spacing w:after="0" w:line="181" w:lineRule="exact"/>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8"/>
              </w:rPr>
              <w:t>Effective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1780" w:type="dxa"/>
            <w:vAlign w:val="bottom"/>
            <w:gridSpan w:val="5"/>
            <w:vMerge w:val="continue"/>
            <w:shd w:val="clear" w:color="auto" w:fill="9ADAF6"/>
          </w:tcPr>
          <w:p>
            <w:pPr>
              <w:spacing w:after="0"/>
              <w:rPr>
                <w:sz w:val="7"/>
                <w:szCs w:val="7"/>
                <w:color w:val="auto"/>
              </w:rPr>
            </w:pPr>
          </w:p>
        </w:tc>
        <w:tc>
          <w:tcPr>
            <w:tcW w:w="4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560" w:type="dxa"/>
            <w:vAlign w:val="bottom"/>
            <w:gridSpan w:val="5"/>
            <w:vMerge w:val="restart"/>
            <w:shd w:val="clear" w:color="auto" w:fill="9ADAF6"/>
          </w:tcPr>
          <w:p>
            <w:pPr>
              <w:ind w:left="360"/>
              <w:spacing w:after="0" w:line="181" w:lineRule="exact"/>
              <w:rPr>
                <w:sz w:val="20"/>
                <w:szCs w:val="20"/>
                <w:color w:val="auto"/>
              </w:rPr>
            </w:pPr>
            <w:r>
              <w:rPr>
                <w:rFonts w:ascii="Arial" w:cs="Arial" w:eastAsia="Arial" w:hAnsi="Arial"/>
                <w:sz w:val="16"/>
                <w:szCs w:val="16"/>
                <w:b w:val="1"/>
                <w:bCs w:val="1"/>
                <w:color w:val="auto"/>
              </w:rPr>
              <w:t>Previously</w:t>
            </w:r>
          </w:p>
        </w:tc>
        <w:tc>
          <w:tcPr>
            <w:tcW w:w="20" w:type="dxa"/>
            <w:vAlign w:val="bottom"/>
          </w:tcPr>
          <w:p>
            <w:pPr>
              <w:spacing w:after="0"/>
              <w:rPr>
                <w:sz w:val="7"/>
                <w:szCs w:val="7"/>
                <w:color w:val="auto"/>
              </w:rPr>
            </w:pPr>
          </w:p>
        </w:tc>
        <w:tc>
          <w:tcPr>
            <w:tcW w:w="180" w:type="dxa"/>
            <w:vAlign w:val="bottom"/>
            <w:shd w:val="clear" w:color="auto" w:fill="9ADAF6"/>
          </w:tcPr>
          <w:p>
            <w:pPr>
              <w:spacing w:after="0"/>
              <w:rPr>
                <w:sz w:val="7"/>
                <w:szCs w:val="7"/>
                <w:color w:val="auto"/>
              </w:rPr>
            </w:pPr>
          </w:p>
        </w:tc>
        <w:tc>
          <w:tcPr>
            <w:tcW w:w="1820" w:type="dxa"/>
            <w:vAlign w:val="bottom"/>
            <w:gridSpan w:val="5"/>
            <w:vMerge w:val="restart"/>
            <w:shd w:val="clear" w:color="auto" w:fill="9ADAF6"/>
          </w:tcPr>
          <w:p>
            <w:pPr>
              <w:jc w:val="center"/>
              <w:ind w:right="180"/>
              <w:spacing w:after="0" w:line="181" w:lineRule="exact"/>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520" w:type="dxa"/>
            <w:vAlign w:val="bottom"/>
            <w:gridSpan w:val="2"/>
            <w:vMerge w:val="restart"/>
            <w:shd w:val="clear" w:color="auto" w:fill="9ADAF6"/>
          </w:tcPr>
          <w:p>
            <w:pPr>
              <w:spacing w:after="0" w:line="181"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3"/>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8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4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56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shd w:val="clear" w:color="auto" w:fill="9ADAF6"/>
          </w:tcPr>
          <w:p>
            <w:pPr>
              <w:spacing w:after="0"/>
              <w:rPr>
                <w:sz w:val="7"/>
                <w:szCs w:val="7"/>
                <w:color w:val="auto"/>
              </w:rPr>
            </w:pPr>
          </w:p>
        </w:tc>
        <w:tc>
          <w:tcPr>
            <w:tcW w:w="18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52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restart"/>
            <w:shd w:val="clear" w:color="auto" w:fill="9ADAF6"/>
          </w:tcPr>
          <w:p>
            <w:pPr>
              <w:jc w:val="center"/>
              <w:ind w:right="140"/>
              <w:spacing w:after="0"/>
              <w:rPr>
                <w:sz w:val="20"/>
                <w:szCs w:val="20"/>
                <w:color w:val="auto"/>
              </w:rPr>
            </w:pPr>
            <w:r>
              <w:rPr>
                <w:rFonts w:ascii="Arial" w:cs="Arial" w:eastAsia="Arial" w:hAnsi="Arial"/>
                <w:sz w:val="16"/>
                <w:szCs w:val="16"/>
                <w:b w:val="1"/>
                <w:bCs w:val="1"/>
                <w:color w:val="auto"/>
                <w:w w:val="97"/>
              </w:rPr>
              <w:t>Date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8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4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560" w:type="dxa"/>
            <w:vAlign w:val="bottom"/>
            <w:gridSpan w:val="5"/>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80" w:type="dxa"/>
            <w:vAlign w:val="bottom"/>
            <w:shd w:val="clear" w:color="auto" w:fill="9ADAF6"/>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00" w:type="dxa"/>
            <w:vAlign w:val="bottom"/>
            <w:gridSpan w:val="3"/>
            <w:vMerge w:val="restart"/>
            <w:shd w:val="clear" w:color="auto" w:fill="9ADAF6"/>
          </w:tcPr>
          <w:p>
            <w:pPr>
              <w:jc w:val="center"/>
              <w:ind w:right="40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0" w:type="dxa"/>
            <w:vAlign w:val="bottom"/>
            <w:tcBorders>
              <w:left w:val="single" w:sz="8" w:color="auto"/>
            </w:tcBorders>
          </w:tcPr>
          <w:p>
            <w:pPr>
              <w:spacing w:after="0"/>
              <w:rPr>
                <w:sz w:val="6"/>
                <w:szCs w:val="6"/>
                <w:color w:val="auto"/>
              </w:rPr>
            </w:pPr>
          </w:p>
        </w:tc>
        <w:tc>
          <w:tcPr>
            <w:tcW w:w="44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740" w:type="dxa"/>
            <w:vAlign w:val="bottom"/>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22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shd w:val="clear" w:color="auto" w:fill="9ADAF6"/>
          </w:tcPr>
          <w:p>
            <w:pPr>
              <w:spacing w:after="0"/>
              <w:rPr>
                <w:sz w:val="6"/>
                <w:szCs w:val="6"/>
                <w:color w:val="auto"/>
              </w:rPr>
            </w:pPr>
          </w:p>
        </w:tc>
        <w:tc>
          <w:tcPr>
            <w:tcW w:w="840" w:type="dxa"/>
            <w:vAlign w:val="bottom"/>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620" w:type="dxa"/>
            <w:vAlign w:val="bottom"/>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280" w:type="dxa"/>
            <w:vAlign w:val="bottom"/>
            <w:shd w:val="clear" w:color="auto" w:fill="9ADAF6"/>
          </w:tcPr>
          <w:p>
            <w:pPr>
              <w:spacing w:after="0"/>
              <w:rPr>
                <w:sz w:val="6"/>
                <w:szCs w:val="6"/>
                <w:color w:val="auto"/>
              </w:rPr>
            </w:pPr>
          </w:p>
        </w:tc>
        <w:tc>
          <w:tcPr>
            <w:tcW w:w="46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1560" w:type="dxa"/>
            <w:vAlign w:val="bottom"/>
            <w:gridSpan w:val="5"/>
            <w:vMerge w:val="continue"/>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shd w:val="clear" w:color="auto" w:fill="9ADAF6"/>
          </w:tcPr>
          <w:p>
            <w:pPr>
              <w:spacing w:after="0"/>
              <w:rPr>
                <w:sz w:val="6"/>
                <w:szCs w:val="6"/>
                <w:color w:val="auto"/>
              </w:rPr>
            </w:pPr>
          </w:p>
        </w:tc>
        <w:tc>
          <w:tcPr>
            <w:tcW w:w="200" w:type="dxa"/>
            <w:vAlign w:val="bottom"/>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1600" w:type="dxa"/>
            <w:vAlign w:val="bottom"/>
            <w:gridSpan w:val="3"/>
            <w:vMerge w:val="continue"/>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50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74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640" w:type="dxa"/>
            <w:vAlign w:val="bottom"/>
            <w:shd w:val="clear" w:color="auto" w:fill="9ADAF6"/>
          </w:tcPr>
          <w:p>
            <w:pPr>
              <w:spacing w:after="0"/>
              <w:rPr>
                <w:sz w:val="6"/>
                <w:szCs w:val="6"/>
                <w:color w:val="auto"/>
              </w:rPr>
            </w:pPr>
          </w:p>
        </w:tc>
        <w:tc>
          <w:tcPr>
            <w:tcW w:w="60" w:type="dxa"/>
            <w:vAlign w:val="bottom"/>
            <w:tcBorders>
              <w:left w:val="single" w:sz="8" w:color="9ADAF6"/>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8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4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E7E7E2"/>
            </w:tcBorders>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Narrative Disclosure</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maximum aggregate offering price of the securities to which the prospectus relates is $1,996,840,000.00. The prospectus is a final prospectus for the</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related offering.</w:t>
      </w:r>
    </w:p>
    <w:sectPr>
      <w:pgSz w:w="11900" w:h="16838" w:orient="portrait"/>
      <w:cols w:equalWidth="0" w:num="1">
        <w:col w:w="11300"/>
      </w:cols>
      <w:pgMar w:left="300" w:top="11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1)"/>
      <w:numFmt w:val="decimal"/>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decimal"/>
      <w:start w:val="9"/>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1)"/>
      <w:numFmt w:val="lowerRoman"/>
      <w:start w:val="10"/>
    </w:lvl>
  </w:abstractNum>
  <w:abstractNum w:abstractNumId="10">
    <w:nsid w:val="77465F01"/>
    <w:multiLevelType w:val="hybridMultilevel"/>
    <w:lvl w:ilvl="0">
      <w:lvlJc w:val="left"/>
      <w:lvlText w:val="(%1)"/>
      <w:numFmt w:val="lowerLetter"/>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1)"/>
      <w:numFmt w:val="lowerRoman"/>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1)"/>
      <w:numFmt w:val="lowerRoman"/>
      <w:start w:val="1"/>
    </w:lvl>
  </w:abstractNum>
  <w:abstractNum w:abstractNumId="22">
    <w:nsid w:val="2A487CB0"/>
    <w:multiLevelType w:val="hybridMultilevel"/>
    <w:lvl w:ilvl="0">
      <w:lvlJc w:val="left"/>
      <w:lvlText w:val="(%1)"/>
      <w:numFmt w:val="lowerRoman"/>
      <w:start w:val="1"/>
    </w:lvl>
  </w:abstractNum>
  <w:abstractNum w:abstractNumId="23">
    <w:nsid w:val="1D4ED43B"/>
    <w:multiLevelType w:val="hybridMultilevel"/>
    <w:lvl w:ilvl="0">
      <w:lvlJc w:val="left"/>
      <w:lvlText w:val="(%1)"/>
      <w:numFmt w:val="lowerRoman"/>
      <w:start w:val="2"/>
    </w:lvl>
  </w:abstractNum>
  <w:abstractNum w:abstractNumId="24">
    <w:nsid w:val="725A06FB"/>
    <w:multiLevelType w:val="hybridMultilevel"/>
    <w:lvl w:ilvl="0">
      <w:lvlJc w:val="left"/>
      <w:lvlText w:val="(%1)"/>
      <w:numFmt w:val="lowerLetter"/>
      <w:start w:val="1"/>
    </w:lvl>
  </w:abstractNum>
  <w:abstractNum w:abstractNumId="25">
    <w:nsid w:val="2CD89A32"/>
    <w:multiLevelType w:val="hybridMultilevel"/>
    <w:lvl w:ilvl="0">
      <w:lvlJc w:val="left"/>
      <w:lvlText w:val="(%1)"/>
      <w:numFmt w:val="lowerRoman"/>
      <w:start w:val="2"/>
    </w:lvl>
  </w:abstractNum>
  <w:abstractNum w:abstractNumId="26">
    <w:nsid w:val="57E4CCAF"/>
    <w:multiLevelType w:val="hybridMultilevel"/>
    <w:lvl w:ilvl="0">
      <w:lvlJc w:val="left"/>
      <w:lvlText w:val="(%1)"/>
      <w:numFmt w:val="lowerLetter"/>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1)"/>
      <w:numFmt w:val="decimal"/>
      <w:start w:val="713"/>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1)"/>
      <w:numFmt w:val="decimal"/>
      <w:start w:val="713"/>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1)"/>
      <w:numFmt w:val="decimal"/>
      <w:start w:val="1"/>
    </w:lvl>
  </w:abstractNum>
  <w:abstractNum w:abstractNumId="43">
    <w:nsid w:val="520EEDD1"/>
    <w:multiLevelType w:val="hybridMultilevel"/>
    <w:lvl w:ilvl="0">
      <w:lvlJc w:val="left"/>
      <w:lvlText w:val="(%1)"/>
      <w:numFmt w:val="decimal"/>
      <w:start w:val="7"/>
    </w:lvl>
  </w:abstractNum>
  <w:abstractNum w:abstractNumId="44">
    <w:nsid w:val="374A3FE6"/>
    <w:multiLevelType w:val="hybridMultilevel"/>
    <w:lvl w:ilvl="0">
      <w:lvlJc w:val="left"/>
      <w:lvlText w:val="(%1)"/>
      <w:numFmt w:val="lowerRoman"/>
      <w:start w:val="10"/>
    </w:lvl>
  </w:abstractNum>
  <w:abstractNum w:abstractNumId="45">
    <w:nsid w:val="4F4EF005"/>
    <w:multiLevelType w:val="hybridMultilevel"/>
    <w:lvl w:ilvl="0">
      <w:lvlJc w:val="left"/>
      <w:lvlText w:val="(%1)"/>
      <w:numFmt w:val="lowerLetter"/>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1"/>
      <w:numFmt w:val="bullet"/>
      <w:start w:val="1"/>
    </w:lvl>
  </w:abstractNum>
  <w:abstractNum w:abstractNumId="58">
    <w:nsid w:val="10233C99"/>
    <w:multiLevelType w:val="hybridMultilevel"/>
    <w:lvl w:ilvl="0">
      <w:lvlJc w:val="left"/>
      <w:lvlText w:val="2"/>
      <w:numFmt w:val="bullet"/>
      <w:start w:val="1"/>
    </w:lvl>
  </w:abstractNum>
  <w:abstractNum w:abstractNumId="59">
    <w:nsid w:val="3F6AB60F"/>
    <w:multiLevelType w:val="hybridMultilevel"/>
    <w:lvl w:ilvl="0">
      <w:lvlJc w:val="left"/>
      <w:lvlText w:val="3"/>
      <w:numFmt w:val="bullet"/>
      <w:start w:val="1"/>
    </w:lvl>
  </w:abstractNum>
  <w:abstractNum w:abstractNumId="60">
    <w:nsid w:val="61574095"/>
    <w:multiLevelType w:val="hybridMultilevel"/>
    <w:lvl w:ilvl="0">
      <w:lvlJc w:val="left"/>
      <w:lvlText w:val="4"/>
      <w:numFmt w:val="bullet"/>
      <w:start w:val="1"/>
    </w:lvl>
  </w:abstractNum>
  <w:abstractNum w:abstractNumId="61">
    <w:nsid w:val="7E0C57B1"/>
    <w:multiLevelType w:val="hybridMultilevel"/>
    <w:lvl w:ilvl="0">
      <w:lvlJc w:val="left"/>
      <w:lvlText w:val="5"/>
      <w:numFmt w:val="bullet"/>
      <w:start w:val="1"/>
    </w:lvl>
  </w:abstractNum>
  <w:abstractNum w:abstractNumId="62">
    <w:nsid w:val="77AE35EB"/>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jpe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jpe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65" Type="http://schemas.openxmlformats.org/officeDocument/2006/relationships/hyperlink" Target="http://www.sec.gov/ix?doc=/Archives/edgar/data/0000087347/000119312526021017/slb-20251231.htm" TargetMode="External"/><Relationship Id="rId66" Type="http://schemas.openxmlformats.org/officeDocument/2006/relationships/hyperlink" Target="http://www.sec.gov/ix?doc=/Archives/edgar/data/87347/000119312526190101/slb-20260331.htm" TargetMode="External"/><Relationship Id="rId67" Type="http://schemas.openxmlformats.org/officeDocument/2006/relationships/hyperlink" Target="http://www.sec.gov/ix?doc=/Archives/edgar/data/87347/000119312526147610/d58029d8k.htm" TargetMode="External"/><Relationship Id="rId83" Type="http://schemas.openxmlformats.org/officeDocument/2006/relationships/hyperlink" Target="http://www.sec.gov/Archives/edgar/data/87347/000119312526021017/slb-20251231.htm" TargetMode="External"/><Relationship Id="rId84" Type="http://schemas.openxmlformats.org/officeDocument/2006/relationships/hyperlink" Target="http://www.sec.gov/Archives/edgar/data/87347/000130817926000024/slb2026-def14a.htm" TargetMode="External"/><Relationship Id="rId85" Type="http://schemas.openxmlformats.org/officeDocument/2006/relationships/hyperlink" Target="http://www.sec.gov/ix?doc=/Archives/edgar/data/0000087347/000119312526147610/d5802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2026-05-01T14:21:38Z</dcterms:created>
  <dcterms:modified xsi:type="dcterms:W3CDTF">2026-05-01T14:21:38Z</dcterms:modified>
</cp:coreProperties>
</file>