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16, 2025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333-288443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NO.1 TO</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 NO. 333-288443</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340" w:type="dxa"/>
        <w:tblCellMar>
          <w:top w:w="0" w:type="dxa"/>
          <w:left w:w="0" w:type="dxa"/>
          <w:bottom w:w="0" w:type="dxa"/>
          <w:right w:w="0" w:type="dxa"/>
        </w:tblCellMar>
      </w:tblPr>
      <w:tr>
        <w:trPr>
          <w:trHeight w:val="226"/>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Curaçao</w:t>
            </w:r>
          </w:p>
        </w:tc>
        <w:tc>
          <w:tcPr>
            <w:tcW w:w="2960" w:type="dxa"/>
            <w:vAlign w:val="bottom"/>
          </w:tcPr>
          <w:p>
            <w:pPr>
              <w:jc w:val="center"/>
              <w:ind w:left="1677"/>
              <w:spacing w:after="0"/>
              <w:rPr>
                <w:sz w:val="20"/>
                <w:szCs w:val="20"/>
                <w:color w:val="auto"/>
              </w:rPr>
            </w:pPr>
            <w:r>
              <w:rPr>
                <w:rFonts w:ascii="Arial" w:cs="Arial" w:eastAsia="Arial" w:hAnsi="Arial"/>
                <w:sz w:val="18"/>
                <w:szCs w:val="18"/>
                <w:b w:val="1"/>
                <w:bCs w:val="1"/>
                <w:color w:val="auto"/>
                <w:w w:val="99"/>
              </w:rPr>
              <w:t>52-0684746</w:t>
            </w:r>
          </w:p>
        </w:tc>
      </w:tr>
      <w:tr>
        <w:trPr>
          <w:trHeight w:val="162"/>
        </w:trPr>
        <w:tc>
          <w:tcPr>
            <w:tcW w:w="4640" w:type="dxa"/>
            <w:vAlign w:val="bottom"/>
          </w:tcPr>
          <w:p>
            <w:pPr>
              <w:jc w:val="center"/>
              <w:ind w:right="1675"/>
              <w:spacing w:after="0"/>
              <w:rPr>
                <w:sz w:val="20"/>
                <w:szCs w:val="20"/>
                <w:color w:val="auto"/>
              </w:rPr>
            </w:pPr>
            <w:r>
              <w:rPr>
                <w:rFonts w:ascii="Arial" w:cs="Arial" w:eastAsia="Arial" w:hAnsi="Arial"/>
                <w:sz w:val="14"/>
                <w:szCs w:val="14"/>
                <w:b w:val="1"/>
                <w:bCs w:val="1"/>
                <w:color w:val="auto"/>
              </w:rPr>
              <w:t>(State or other jurisdiction of</w:t>
            </w:r>
          </w:p>
        </w:tc>
        <w:tc>
          <w:tcPr>
            <w:tcW w:w="2960" w:type="dxa"/>
            <w:vAlign w:val="bottom"/>
          </w:tcPr>
          <w:p>
            <w:pPr>
              <w:jc w:val="center"/>
              <w:ind w:left="167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640" w:type="dxa"/>
            <w:vAlign w:val="bottom"/>
          </w:tcPr>
          <w:p>
            <w:pPr>
              <w:jc w:val="center"/>
              <w:ind w:right="1675"/>
              <w:spacing w:after="0"/>
              <w:rPr>
                <w:sz w:val="20"/>
                <w:szCs w:val="20"/>
                <w:color w:val="auto"/>
              </w:rPr>
            </w:pPr>
            <w:r>
              <w:rPr>
                <w:rFonts w:ascii="Arial" w:cs="Arial" w:eastAsia="Arial" w:hAnsi="Arial"/>
                <w:sz w:val="14"/>
                <w:szCs w:val="14"/>
                <w:b w:val="1"/>
                <w:bCs w:val="1"/>
                <w:color w:val="auto"/>
              </w:rPr>
              <w:t>incorporation or organization)</w:t>
            </w:r>
          </w:p>
        </w:tc>
        <w:tc>
          <w:tcPr>
            <w:tcW w:w="2960" w:type="dxa"/>
            <w:vAlign w:val="bottom"/>
          </w:tcPr>
          <w:p>
            <w:pPr>
              <w:jc w:val="center"/>
              <w:ind w:left="1677"/>
              <w:spacing w:after="0"/>
              <w:rPr>
                <w:sz w:val="20"/>
                <w:szCs w:val="20"/>
                <w:color w:val="auto"/>
              </w:rPr>
            </w:pPr>
            <w:r>
              <w:rPr>
                <w:rFonts w:ascii="Arial" w:cs="Arial" w:eastAsia="Arial" w:hAnsi="Arial"/>
                <w:sz w:val="14"/>
                <w:szCs w:val="14"/>
                <w:b w:val="1"/>
                <w:bCs w:val="1"/>
                <w:color w:val="auto"/>
              </w:rPr>
              <w:t>Identification No.)</w:t>
            </w:r>
          </w:p>
        </w:tc>
      </w:tr>
      <w:tr>
        <w:trPr>
          <w:trHeight w:val="388"/>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42 rue Saint-Dominique</w:t>
            </w:r>
          </w:p>
        </w:tc>
        <w:tc>
          <w:tcPr>
            <w:tcW w:w="2960" w:type="dxa"/>
            <w:vAlign w:val="bottom"/>
          </w:tcPr>
          <w:p>
            <w:pPr>
              <w:spacing w:after="0"/>
              <w:rPr>
                <w:sz w:val="24"/>
                <w:szCs w:val="24"/>
                <w:color w:val="auto"/>
              </w:rPr>
            </w:pPr>
          </w:p>
        </w:tc>
      </w:tr>
      <w:tr>
        <w:trPr>
          <w:trHeight w:val="26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Paris, France</w:t>
            </w:r>
          </w:p>
        </w:tc>
        <w:tc>
          <w:tcPr>
            <w:tcW w:w="2960" w:type="dxa"/>
            <w:vAlign w:val="bottom"/>
          </w:tcPr>
          <w:p>
            <w:pPr>
              <w:jc w:val="center"/>
              <w:ind w:left="1657"/>
              <w:spacing w:after="0"/>
              <w:rPr>
                <w:sz w:val="20"/>
                <w:szCs w:val="20"/>
                <w:color w:val="auto"/>
              </w:rPr>
            </w:pPr>
            <w:r>
              <w:rPr>
                <w:rFonts w:ascii="Arial" w:cs="Arial" w:eastAsia="Arial" w:hAnsi="Arial"/>
                <w:sz w:val="18"/>
                <w:szCs w:val="18"/>
                <w:b w:val="1"/>
                <w:bCs w:val="1"/>
                <w:color w:val="auto"/>
                <w:w w:val="99"/>
              </w:rPr>
              <w:t>75007</w:t>
            </w:r>
          </w:p>
        </w:tc>
      </w:tr>
      <w:tr>
        <w:trPr>
          <w:trHeight w:val="374"/>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rPr>
              <w:t>5599 San Felipe</w:t>
            </w:r>
          </w:p>
        </w:tc>
        <w:tc>
          <w:tcPr>
            <w:tcW w:w="2960" w:type="dxa"/>
            <w:vAlign w:val="bottom"/>
          </w:tcPr>
          <w:p>
            <w:pPr>
              <w:spacing w:after="0"/>
              <w:rPr>
                <w:sz w:val="24"/>
                <w:szCs w:val="24"/>
                <w:color w:val="auto"/>
              </w:rPr>
            </w:pPr>
          </w:p>
        </w:tc>
      </w:tr>
      <w:tr>
        <w:trPr>
          <w:trHeight w:val="26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Houston, Texas, U.S.A.</w:t>
            </w:r>
          </w:p>
        </w:tc>
        <w:tc>
          <w:tcPr>
            <w:tcW w:w="2960" w:type="dxa"/>
            <w:vAlign w:val="bottom"/>
          </w:tcPr>
          <w:p>
            <w:pPr>
              <w:jc w:val="center"/>
              <w:ind w:left="1657"/>
              <w:spacing w:after="0"/>
              <w:rPr>
                <w:sz w:val="20"/>
                <w:szCs w:val="20"/>
                <w:color w:val="auto"/>
              </w:rPr>
            </w:pPr>
            <w:r>
              <w:rPr>
                <w:rFonts w:ascii="Arial" w:cs="Arial" w:eastAsia="Arial" w:hAnsi="Arial"/>
                <w:sz w:val="18"/>
                <w:szCs w:val="18"/>
                <w:b w:val="1"/>
                <w:bCs w:val="1"/>
                <w:color w:val="auto"/>
                <w:w w:val="99"/>
              </w:rPr>
              <w:t>77056</w:t>
            </w:r>
          </w:p>
        </w:tc>
      </w:tr>
      <w:tr>
        <w:trPr>
          <w:trHeight w:val="374"/>
        </w:trPr>
        <w:tc>
          <w:tcPr>
            <w:tcW w:w="4640" w:type="dxa"/>
            <w:vAlign w:val="bottom"/>
          </w:tcPr>
          <w:p>
            <w:pPr>
              <w:jc w:val="center"/>
              <w:ind w:right="1695"/>
              <w:spacing w:after="0"/>
              <w:rPr>
                <w:sz w:val="20"/>
                <w:szCs w:val="20"/>
                <w:color w:val="auto"/>
              </w:rPr>
            </w:pPr>
            <w:r>
              <w:rPr>
                <w:rFonts w:ascii="Arial" w:cs="Arial" w:eastAsia="Arial" w:hAnsi="Arial"/>
                <w:sz w:val="18"/>
                <w:szCs w:val="18"/>
                <w:b w:val="1"/>
                <w:bCs w:val="1"/>
                <w:color w:val="auto"/>
                <w:w w:val="99"/>
              </w:rPr>
              <w:t>62 Buckingham Gate</w:t>
            </w:r>
          </w:p>
        </w:tc>
        <w:tc>
          <w:tcPr>
            <w:tcW w:w="2960" w:type="dxa"/>
            <w:vAlign w:val="bottom"/>
          </w:tcPr>
          <w:p>
            <w:pPr>
              <w:spacing w:after="0"/>
              <w:rPr>
                <w:sz w:val="24"/>
                <w:szCs w:val="24"/>
                <w:color w:val="auto"/>
              </w:rPr>
            </w:pPr>
          </w:p>
        </w:tc>
      </w:tr>
      <w:tr>
        <w:trPr>
          <w:trHeight w:val="26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rPr>
              <w:t>London, United Kingdom</w:t>
            </w:r>
          </w:p>
        </w:tc>
        <w:tc>
          <w:tcPr>
            <w:tcW w:w="2960" w:type="dxa"/>
            <w:vAlign w:val="bottom"/>
          </w:tcPr>
          <w:p>
            <w:pPr>
              <w:jc w:val="center"/>
              <w:ind w:left="1677"/>
              <w:spacing w:after="0"/>
              <w:rPr>
                <w:sz w:val="20"/>
                <w:szCs w:val="20"/>
                <w:color w:val="auto"/>
              </w:rPr>
            </w:pPr>
            <w:r>
              <w:rPr>
                <w:rFonts w:ascii="Arial" w:cs="Arial" w:eastAsia="Arial" w:hAnsi="Arial"/>
                <w:sz w:val="18"/>
                <w:szCs w:val="18"/>
                <w:b w:val="1"/>
                <w:bCs w:val="1"/>
                <w:color w:val="auto"/>
                <w:w w:val="98"/>
              </w:rPr>
              <w:t>SW1E 6AJ</w:t>
            </w:r>
          </w:p>
        </w:tc>
      </w:tr>
      <w:tr>
        <w:trPr>
          <w:trHeight w:val="374"/>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Parkstraat 83</w:t>
            </w:r>
          </w:p>
        </w:tc>
        <w:tc>
          <w:tcPr>
            <w:tcW w:w="2960" w:type="dxa"/>
            <w:vAlign w:val="bottom"/>
          </w:tcPr>
          <w:p>
            <w:pPr>
              <w:spacing w:after="0"/>
              <w:rPr>
                <w:sz w:val="24"/>
                <w:szCs w:val="24"/>
                <w:color w:val="auto"/>
              </w:rPr>
            </w:pPr>
          </w:p>
        </w:tc>
      </w:tr>
      <w:tr>
        <w:trPr>
          <w:trHeight w:val="226"/>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rPr>
              <w:t>The Hague, The Netherlands</w:t>
            </w:r>
          </w:p>
        </w:tc>
        <w:tc>
          <w:tcPr>
            <w:tcW w:w="2960" w:type="dxa"/>
            <w:vAlign w:val="bottom"/>
          </w:tcPr>
          <w:p>
            <w:pPr>
              <w:jc w:val="center"/>
              <w:ind w:left="1677"/>
              <w:spacing w:after="0"/>
              <w:rPr>
                <w:sz w:val="20"/>
                <w:szCs w:val="20"/>
                <w:color w:val="auto"/>
              </w:rPr>
            </w:pPr>
            <w:r>
              <w:rPr>
                <w:rFonts w:ascii="Arial" w:cs="Arial" w:eastAsia="Arial" w:hAnsi="Arial"/>
                <w:sz w:val="18"/>
                <w:szCs w:val="18"/>
                <w:b w:val="1"/>
                <w:bCs w:val="1"/>
                <w:color w:val="auto"/>
                <w:w w:val="98"/>
              </w:rPr>
              <w:t>2514 JG</w:t>
            </w:r>
          </w:p>
        </w:tc>
      </w:tr>
      <w:tr>
        <w:trPr>
          <w:trHeight w:val="196"/>
        </w:trPr>
        <w:tc>
          <w:tcPr>
            <w:tcW w:w="4640" w:type="dxa"/>
            <w:vAlign w:val="bottom"/>
          </w:tcPr>
          <w:p>
            <w:pPr>
              <w:jc w:val="center"/>
              <w:ind w:right="1675"/>
              <w:spacing w:after="0"/>
              <w:rPr>
                <w:sz w:val="20"/>
                <w:szCs w:val="20"/>
                <w:color w:val="auto"/>
              </w:rPr>
            </w:pPr>
            <w:r>
              <w:rPr>
                <w:rFonts w:ascii="Arial" w:cs="Arial" w:eastAsia="Arial" w:hAnsi="Arial"/>
                <w:sz w:val="14"/>
                <w:szCs w:val="14"/>
                <w:b w:val="1"/>
                <w:bCs w:val="1"/>
                <w:color w:val="auto"/>
              </w:rPr>
              <w:t>(Addresses of Principal Executive Offices)</w:t>
            </w:r>
          </w:p>
        </w:tc>
        <w:tc>
          <w:tcPr>
            <w:tcW w:w="2960" w:type="dxa"/>
            <w:vAlign w:val="bottom"/>
          </w:tcPr>
          <w:p>
            <w:pPr>
              <w:jc w:val="center"/>
              <w:ind w:left="1677"/>
              <w:spacing w:after="0"/>
              <w:rPr>
                <w:sz w:val="20"/>
                <w:szCs w:val="20"/>
                <w:color w:val="auto"/>
              </w:rPr>
            </w:pPr>
            <w:r>
              <w:rPr>
                <w:rFonts w:ascii="Arial" w:cs="Arial" w:eastAsia="Arial" w:hAnsi="Arial"/>
                <w:sz w:val="14"/>
                <w:szCs w:val="14"/>
                <w:b w:val="1"/>
                <w:bCs w:val="1"/>
                <w:color w:val="auto"/>
              </w:rPr>
              <w:t>(Zip Codes)</w:t>
            </w: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CHAMPIONX CORPORATION AMENDED AND RESTATED 2018 EQUITY AND CASH INCENTIVE PLAN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SLB DISCOUNTED STOCK PURCHASE PLAN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B. Ralston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jc w:val="center"/>
        <w:spacing w:after="0" w:line="234" w:lineRule="auto"/>
        <w:rPr>
          <w:sz w:val="20"/>
          <w:szCs w:val="20"/>
          <w:color w:val="auto"/>
        </w:rPr>
      </w:pPr>
      <w:r>
        <w:rPr>
          <w:rFonts w:ascii="Arial" w:cs="Arial" w:eastAsia="Arial" w:hAnsi="Arial"/>
          <w:sz w:val="18"/>
          <w:szCs w:val="18"/>
          <w:b w:val="1"/>
          <w:bCs w:val="1"/>
          <w:color w:val="auto"/>
        </w:rPr>
        <w:t>Schlumberger Limited</w:t>
      </w:r>
    </w:p>
    <w:p>
      <w:pPr>
        <w:jc w:val="center"/>
        <w:spacing w:after="0" w:line="235" w:lineRule="auto"/>
        <w:rPr>
          <w:sz w:val="20"/>
          <w:szCs w:val="20"/>
          <w:color w:val="auto"/>
        </w:rPr>
      </w:pPr>
      <w:r>
        <w:rPr>
          <w:rFonts w:ascii="Arial" w:cs="Arial" w:eastAsia="Arial" w:hAnsi="Arial"/>
          <w:sz w:val="18"/>
          <w:szCs w:val="18"/>
          <w:b w:val="1"/>
          <w:bCs w:val="1"/>
          <w:color w:val="auto"/>
        </w:rPr>
        <w:t>5599 San Felipe</w:t>
      </w:r>
    </w:p>
    <w:p>
      <w:pPr>
        <w:jc w:val="center"/>
        <w:spacing w:after="0" w:line="235" w:lineRule="auto"/>
        <w:rPr>
          <w:sz w:val="20"/>
          <w:szCs w:val="20"/>
          <w:color w:val="auto"/>
        </w:rPr>
      </w:pPr>
      <w:r>
        <w:rPr>
          <w:rFonts w:ascii="Arial" w:cs="Arial" w:eastAsia="Arial" w:hAnsi="Arial"/>
          <w:sz w:val="18"/>
          <w:szCs w:val="18"/>
          <w:b w:val="1"/>
          <w:bCs w:val="1"/>
          <w:color w:val="auto"/>
        </w:rPr>
        <w:t>Houston, Texas, U.S.A. 77056</w:t>
      </w: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right="16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3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right="7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122"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12"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7"/>
          <w:szCs w:val="17"/>
          <w:color w:val="auto"/>
        </w:rPr>
        <w:t>This Post-Effective Amendment No. 1 relates to the Registration Statement on Form S-8 (File No. 333-288443) (the “Registration Statement”) of Schlumberger Limited (Schlumberger N.V.), a Curaçao corporation (“SLB” or the “Registrant”), which was filed with the Securities and Exchange Commission on July 1, 2025. The Registration Statement registered up to 24,000,000 shares of the Registrant’s common stock, par value $ 0.01 per share (“SLB Common Stock”), to be offered pursuant to the SLB Discounted Stock Purchase Plan.</w:t>
      </w:r>
    </w:p>
    <w:p>
      <w:pPr>
        <w:spacing w:after="0" w:line="159" w:lineRule="exact"/>
        <w:rPr>
          <w:sz w:val="20"/>
          <w:szCs w:val="20"/>
          <w:color w:val="auto"/>
        </w:rPr>
      </w:pPr>
    </w:p>
    <w:p>
      <w:pPr>
        <w:ind w:left="4" w:right="20" w:firstLine="440"/>
        <w:spacing w:after="0"/>
        <w:rPr>
          <w:sz w:val="20"/>
          <w:szCs w:val="20"/>
          <w:color w:val="auto"/>
        </w:rPr>
      </w:pPr>
      <w:r>
        <w:rPr>
          <w:rFonts w:ascii="Arial" w:cs="Arial" w:eastAsia="Arial" w:hAnsi="Arial"/>
          <w:sz w:val="18"/>
          <w:szCs w:val="18"/>
          <w:color w:val="auto"/>
        </w:rPr>
        <w:t>On July 16, 2025, Sodium Merger Sub, Inc., a Delaware corporation and an indirect wholly owned subsidiary of the Registrant (“Merger Sub”), completed its merger with ChampionX Corporation, a Delaware corporation (“ChampionX”), in an all-stock transaction at a fixed exchange ratio (the “Exchange Ratio”) of 0.735 shares of SLB Common Stock for each share of ChampionX common stock (the “Merger”) issued and outstanding immediately prior to the effective time of the Merger (the “Effective Time”) (other than any shares of ChampionX common stock held in the treasury of ChampionX or held by SLB, Sodium Holdco, Inc., a Delaware corporation (“Sodium US”), or any direct or indirect wholly owned subsidiary of SLB, in each case except for any such shares held on behalf of third parties), pursuant to the terms and conditions of the Agreement and Plan of Merger (the “Merger Agreement”), dated as of April 2, 2024, by and among SLB, Sodium US, Merger Sub, and ChampionX.</w:t>
      </w:r>
    </w:p>
    <w:p>
      <w:pPr>
        <w:spacing w:after="0" w:line="180"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7"/>
          <w:szCs w:val="17"/>
          <w:color w:val="auto"/>
        </w:rPr>
        <w:t>At the Effective Time, and by virtue of the Merger: (a) each ChampionX option that was outstanding immediately prior to the Effective Time was converted into an option to acquire a number of shares of SLB Common Stock determined based on the Exchange Ratio;</w:t>
      </w:r>
    </w:p>
    <w:p>
      <w:pPr>
        <w:spacing w:after="0" w:line="1" w:lineRule="exact"/>
        <w:rPr>
          <w:sz w:val="20"/>
          <w:szCs w:val="20"/>
          <w:color w:val="auto"/>
        </w:rPr>
      </w:pPr>
    </w:p>
    <w:p>
      <w:pPr>
        <w:ind w:left="4" w:right="60" w:hanging="4"/>
        <w:spacing w:after="0" w:line="237" w:lineRule="auto"/>
        <w:tabs>
          <w:tab w:leader="none" w:pos="274"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ChampionX restricted stock unit award that was outstanding immediately prior to the Effective Time was assumed and converted into a restricted stock unit award to acquire a number of shares of SLB Common Stock (“SLB RSU Award”) determined based on the Exchange Ratio; (c) each ChampionX performance share award that was outstanding immediately prior to the Effective Time was assumed and converted into a SLB RSU Award (covering a number of shares determined based on the Exchange Ratio, and based on the attainment of performance levels set forth in the Merger Agreement); and (d) each ChampionX restricted stock award that was outstanding immediately prior to the Effective Time was assumed and converted into an SLB restricted stock award (covering a number of shares determined based on the Exchange Ratio) (collectively, “Assumed Awards”).</w:t>
      </w:r>
    </w:p>
    <w:p>
      <w:pPr>
        <w:spacing w:after="0" w:line="185" w:lineRule="exact"/>
        <w:rPr>
          <w:sz w:val="20"/>
          <w:szCs w:val="20"/>
          <w:color w:val="auto"/>
        </w:rPr>
      </w:pPr>
    </w:p>
    <w:p>
      <w:pPr>
        <w:ind w:left="4" w:firstLine="440"/>
        <w:spacing w:after="0" w:line="242" w:lineRule="auto"/>
        <w:rPr>
          <w:sz w:val="20"/>
          <w:szCs w:val="20"/>
          <w:color w:val="auto"/>
        </w:rPr>
      </w:pPr>
      <w:r>
        <w:rPr>
          <w:rFonts w:ascii="Arial" w:cs="Arial" w:eastAsia="Arial" w:hAnsi="Arial"/>
          <w:sz w:val="18"/>
          <w:szCs w:val="18"/>
          <w:color w:val="auto"/>
        </w:rPr>
        <w:t>This Post-Effective Amendment No. 1 is being filed by SLB to include in the Registration Statement shares of SLB Common Stock issuable upon the exercise or settlement of the Assumed Awards held by current directors, officers and employees of SLB who were directors, officers and employees of ChampionX immediately prior to the Effective Time. No additional securities are being registered hereby. As a result of this Post-Effective Amendment No. 1, the Registration Statement registers up to 20,000,000 shares of SLB Common Stock to be offered pursuant to the SLB Discounted Stock Purchase Plan, and up to 3,000,000 shares of SLB Common Stock issuable upon the exercise or settlement of the Assumed Awards as described herein.</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Exhibits.</w:t>
      </w:r>
    </w:p>
    <w:p>
      <w:pPr>
        <w:spacing w:after="0" w:line="10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4"/>
          </w:cols>
          <w:pgMar w:left="436" w:top="269"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162"/>
        </w:trPr>
        <w:tc>
          <w:tcPr>
            <w:tcW w:w="3060" w:type="dxa"/>
            <w:vAlign w:val="bottom"/>
          </w:tcPr>
          <w:p>
            <w:pPr>
              <w:jc w:val="center"/>
              <w:ind w:right="2428"/>
              <w:spacing w:after="0"/>
              <w:rPr>
                <w:sz w:val="20"/>
                <w:szCs w:val="20"/>
                <w:color w:val="auto"/>
              </w:rPr>
            </w:pPr>
            <w:r>
              <w:rPr>
                <w:rFonts w:ascii="Arial" w:cs="Arial" w:eastAsia="Arial" w:hAnsi="Arial"/>
                <w:sz w:val="14"/>
                <w:szCs w:val="14"/>
                <w:b w:val="1"/>
                <w:bCs w:val="1"/>
                <w:color w:val="auto"/>
              </w:rPr>
              <w:t>Exhibit</w:t>
            </w:r>
          </w:p>
        </w:tc>
        <w:tc>
          <w:tcPr>
            <w:tcW w:w="3320" w:type="dxa"/>
            <w:vAlign w:val="bottom"/>
            <w:vMerge w:val="restart"/>
          </w:tcPr>
          <w:p>
            <w:pPr>
              <w:ind w:left="25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96"/>
        </w:trPr>
        <w:tc>
          <w:tcPr>
            <w:tcW w:w="3060" w:type="dxa"/>
            <w:vAlign w:val="bottom"/>
          </w:tcPr>
          <w:p>
            <w:pPr>
              <w:jc w:val="center"/>
              <w:ind w:right="2448"/>
              <w:spacing w:after="0"/>
              <w:rPr>
                <w:sz w:val="20"/>
                <w:szCs w:val="20"/>
                <w:color w:val="auto"/>
              </w:rPr>
            </w:pPr>
            <w:r>
              <w:rPr>
                <w:rFonts w:ascii="Arial" w:cs="Arial" w:eastAsia="Arial" w:hAnsi="Arial"/>
                <w:sz w:val="14"/>
                <w:szCs w:val="14"/>
                <w:b w:val="1"/>
                <w:bCs w:val="1"/>
                <w:u w:val="single" w:color="auto"/>
                <w:color w:val="auto"/>
              </w:rPr>
              <w:t>Number</w:t>
            </w:r>
          </w:p>
        </w:tc>
        <w:tc>
          <w:tcPr>
            <w:tcW w:w="3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964" w:right="140" w:hanging="964"/>
        <w:spacing w:after="0" w:line="271" w:lineRule="auto"/>
        <w:tabs>
          <w:tab w:leader="none" w:pos="82"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4.1</w:t>
      </w:r>
      <w:hyperlink r:id="rId18">
        <w:r>
          <w:rPr>
            <w:rFonts w:ascii="Arial" w:cs="Arial" w:eastAsia="Arial" w:hAnsi="Arial"/>
            <w:sz w:val="18"/>
            <w:szCs w:val="18"/>
            <w:u w:val="single" w:color="auto"/>
            <w:color w:val="0000EE"/>
          </w:rPr>
          <w:t>Articles of Incorporation of Schlumberger Limited (Schlumberger N.V.), as last amended on April 6, 2016 (incorporated by</w:t>
        </w:r>
      </w:hyperlink>
      <w:r>
        <w:rPr>
          <w:rFonts w:ascii="Arial" w:cs="Arial" w:eastAsia="Arial" w:hAnsi="Arial"/>
          <w:sz w:val="18"/>
          <w:szCs w:val="18"/>
          <w:u w:val="single" w:color="auto"/>
          <w:color w:val="0000EE"/>
        </w:rPr>
        <w:t xml:space="preserve"> </w:t>
      </w:r>
      <w:hyperlink r:id="rId18">
        <w:r>
          <w:rPr>
            <w:rFonts w:ascii="Arial" w:cs="Arial" w:eastAsia="Arial" w:hAnsi="Arial"/>
            <w:sz w:val="18"/>
            <w:szCs w:val="18"/>
            <w:u w:val="single" w:color="auto"/>
            <w:color w:val="0000EE"/>
          </w:rPr>
          <w:t>reference to Exhibit 3.1 to SLB’s Current Report on Form 8-K filed on April 6, 2016).</w:t>
        </w:r>
      </w:hyperlink>
    </w:p>
    <w:p>
      <w:pPr>
        <w:spacing w:after="0" w:line="45" w:lineRule="exact"/>
        <w:rPr>
          <w:rFonts w:ascii="Arial" w:cs="Arial" w:eastAsia="Arial" w:hAnsi="Arial"/>
          <w:sz w:val="18"/>
          <w:szCs w:val="18"/>
          <w:u w:val="single" w:color="auto"/>
          <w:color w:val="0000EE"/>
        </w:rPr>
      </w:pPr>
    </w:p>
    <w:p>
      <w:pPr>
        <w:ind w:left="964" w:right="220" w:hanging="964"/>
        <w:spacing w:after="0" w:line="271" w:lineRule="auto"/>
        <w:tabs>
          <w:tab w:leader="none" w:pos="82"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4.2</w:t>
      </w:r>
      <w:hyperlink r:id="rId19">
        <w:r>
          <w:rPr>
            <w:rFonts w:ascii="Arial" w:cs="Arial" w:eastAsia="Arial" w:hAnsi="Arial"/>
            <w:sz w:val="18"/>
            <w:szCs w:val="18"/>
            <w:u w:val="single" w:color="auto"/>
            <w:color w:val="0000EE"/>
          </w:rPr>
          <w:t>Amended and Restated By-Laws of Schlumberger Limited (Schlumberger N.V.) (incorporated by reference to Exhibit 3 to</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SLB’s Current Report on Form 8-K filed April 21, 2023).</w:t>
        </w:r>
      </w:hyperlink>
    </w:p>
    <w:p>
      <w:pPr>
        <w:spacing w:after="0" w:line="33" w:lineRule="exact"/>
        <w:rPr>
          <w:rFonts w:ascii="Arial" w:cs="Arial" w:eastAsia="Arial" w:hAnsi="Arial"/>
          <w:sz w:val="18"/>
          <w:szCs w:val="18"/>
          <w:color w:val="auto"/>
        </w:rPr>
      </w:pPr>
    </w:p>
    <w:tbl>
      <w:tblPr>
        <w:tblLayout w:type="fixed"/>
        <w:tblInd w:w="4"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  5</w:t>
            </w:r>
          </w:p>
        </w:tc>
        <w:tc>
          <w:tcPr>
            <w:tcW w:w="5280" w:type="dxa"/>
            <w:vAlign w:val="bottom"/>
            <w:gridSpan w:val="3"/>
          </w:tcPr>
          <w:p>
            <w:pPr>
              <w:spacing w:after="0"/>
              <w:rPr>
                <w:sz w:val="20"/>
                <w:szCs w:val="20"/>
                <w:color w:val="auto"/>
              </w:rPr>
            </w:pPr>
            <w:r>
              <w:rPr>
                <w:rFonts w:ascii="Arial" w:cs="Arial" w:eastAsia="Arial" w:hAnsi="Arial"/>
                <w:sz w:val="18"/>
                <w:szCs w:val="18"/>
                <w:color w:val="0000EE"/>
              </w:rPr>
              <w:t>Opinion of STvB Advocaten (Europe), N.V.</w:t>
            </w: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34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Consent of PricewaterhouseCoopers LLP.</w:t>
            </w:r>
          </w:p>
        </w:tc>
        <w:tc>
          <w:tcPr>
            <w:tcW w:w="188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5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9"/>
              </w:rPr>
              <w:t>Consent of STvB Advocaten (Europe), N.V. (included in Exhibit 5).</w:t>
            </w:r>
          </w:p>
        </w:tc>
      </w:tr>
    </w:tbl>
    <w:p>
      <w:pPr>
        <w:spacing w:after="0" w:line="116" w:lineRule="exact"/>
        <w:rPr>
          <w:rFonts w:ascii="Arial" w:cs="Arial" w:eastAsia="Arial" w:hAnsi="Arial"/>
          <w:sz w:val="18"/>
          <w:szCs w:val="18"/>
          <w:color w:val="auto"/>
        </w:rPr>
      </w:pPr>
    </w:p>
    <w:p>
      <w:pPr>
        <w:ind w:left="964" w:hanging="964"/>
        <w:spacing w:after="0" w:line="271" w:lineRule="auto"/>
        <w:tabs>
          <w:tab w:leader="none" w:pos="964" w:val="left"/>
        </w:tabs>
        <w:numPr>
          <w:ilvl w:val="0"/>
          <w:numId w:val="3"/>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ChampionX Corporation Amended and Restated 2018 Equity and Cash Incentive Plan (incorporated by reference to Exhibit</w:t>
        </w:r>
      </w:hyperlink>
      <w:r>
        <w:rPr>
          <w:rFonts w:ascii="Arial" w:cs="Arial" w:eastAsia="Arial" w:hAnsi="Arial"/>
          <w:sz w:val="18"/>
          <w:szCs w:val="18"/>
          <w:u w:val="single" w:color="auto"/>
          <w:color w:val="0000EE"/>
        </w:rPr>
        <w:t xml:space="preserve"> </w:t>
      </w:r>
      <w:hyperlink r:id="rId20">
        <w:r>
          <w:rPr>
            <w:rFonts w:ascii="Arial" w:cs="Arial" w:eastAsia="Arial" w:hAnsi="Arial"/>
            <w:sz w:val="18"/>
            <w:szCs w:val="18"/>
            <w:u w:val="single" w:color="auto"/>
            <w:color w:val="0000EE"/>
          </w:rPr>
          <w:t>10.1 of ChampionX’s Current Report on Form 8-K filed on May 13, 2021).</w:t>
        </w:r>
      </w:hyperlink>
    </w:p>
    <w:p>
      <w:pPr>
        <w:spacing w:after="0" w:line="86" w:lineRule="exact"/>
        <w:rPr>
          <w:rFonts w:ascii="Arial" w:cs="Arial" w:eastAsia="Arial" w:hAnsi="Arial"/>
          <w:sz w:val="18"/>
          <w:szCs w:val="18"/>
          <w:u w:val="single" w:color="auto"/>
          <w:color w:val="0000EE"/>
        </w:rPr>
      </w:pPr>
    </w:p>
    <w:p>
      <w:pPr>
        <w:ind w:left="5464" w:hanging="116"/>
        <w:spacing w:after="0"/>
        <w:tabs>
          <w:tab w:leader="none" w:pos="5464" w:val="left"/>
        </w:tabs>
        <w:numPr>
          <w:ilvl w:val="1"/>
          <w:numId w:val="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804"/>
          </w:cols>
          <w:pgMar w:left="436" w:top="279"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12" w:lineRule="exact"/>
        <w:rPr>
          <w:sz w:val="20"/>
          <w:szCs w:val="20"/>
          <w:color w:val="auto"/>
        </w:rPr>
      </w:pPr>
    </w:p>
    <w:p>
      <w:pPr>
        <w:ind w:right="300" w:firstLine="440"/>
        <w:spacing w:after="0" w:line="247"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Houston, State of Texas, on July 16, 2025.</w:t>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N.V.</w:t>
      </w:r>
    </w:p>
    <w:p>
      <w:pPr>
        <w:spacing w:after="0" w:line="1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194" w:lineRule="exact"/>
        <w:rPr>
          <w:sz w:val="20"/>
          <w:szCs w:val="20"/>
          <w:color w:val="auto"/>
        </w:rPr>
      </w:pPr>
    </w:p>
    <w:p>
      <w:pPr>
        <w:jc w:val="center"/>
        <w:ind w:left="4040"/>
        <w:spacing w:after="0"/>
        <w:rPr>
          <w:sz w:val="20"/>
          <w:szCs w:val="20"/>
          <w:color w:val="auto"/>
        </w:rPr>
      </w:pPr>
      <w:r>
        <w:rPr>
          <w:rFonts w:ascii="Arial" w:cs="Arial" w:eastAsia="Arial" w:hAnsi="Arial"/>
          <w:sz w:val="18"/>
          <w:szCs w:val="18"/>
          <w:color w:val="auto"/>
        </w:rPr>
        <w:t>By: /s/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8890</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Howard Guild</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Accounting Officer</w:t>
      </w:r>
    </w:p>
    <w:p>
      <w:pPr>
        <w:spacing w:after="0" w:line="207" w:lineRule="exact"/>
        <w:rPr>
          <w:sz w:val="20"/>
          <w:szCs w:val="20"/>
          <w:color w:val="auto"/>
        </w:rPr>
      </w:pPr>
    </w:p>
    <w:p>
      <w:pPr>
        <w:ind w:right="200" w:firstLine="440"/>
        <w:spacing w:after="0" w:line="271"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on July 16, 2025 in the capacities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19"/>
                <w:szCs w:val="19"/>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191"/>
        </w:trPr>
        <w:tc>
          <w:tcPr>
            <w:tcW w:w="4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Olivier Le Peuch</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Jim Hackett</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Chief Executive Officer and Director</w:t>
            </w:r>
          </w:p>
        </w:tc>
        <w:tc>
          <w:tcPr>
            <w:tcW w:w="1220" w:type="dxa"/>
            <w:vAlign w:val="bottom"/>
          </w:tcPr>
          <w:p>
            <w:pPr>
              <w:spacing w:after="0"/>
              <w:rPr>
                <w:sz w:val="17"/>
                <w:szCs w:val="17"/>
                <w:color w:val="auto"/>
              </w:rPr>
            </w:pPr>
          </w:p>
        </w:tc>
        <w:tc>
          <w:tcPr>
            <w:tcW w:w="54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Chairman of the Board</w:t>
            </w: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14"/>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191"/>
        </w:trPr>
        <w:tc>
          <w:tcPr>
            <w:tcW w:w="4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Stephane Biguet</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Samuel Leupold</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1220" w:type="dxa"/>
            <w:vAlign w:val="bottom"/>
          </w:tcPr>
          <w:p>
            <w:pPr>
              <w:spacing w:after="0"/>
              <w:rPr>
                <w:sz w:val="17"/>
                <w:szCs w:val="17"/>
                <w:color w:val="auto"/>
              </w:rPr>
            </w:pPr>
          </w:p>
        </w:tc>
        <w:tc>
          <w:tcPr>
            <w:tcW w:w="54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14"/>
        </w:trPr>
        <w:tc>
          <w:tcPr>
            <w:tcW w:w="4400" w:type="dxa"/>
            <w:vAlign w:val="bottom"/>
            <w:gridSpan w:val="2"/>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191"/>
        </w:trPr>
        <w:tc>
          <w:tcPr>
            <w:tcW w:w="4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Howard Guild</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Maria Moræus Hanssen</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Chief Accounting Officer</w:t>
            </w:r>
          </w:p>
        </w:tc>
        <w:tc>
          <w:tcPr>
            <w:tcW w:w="1220" w:type="dxa"/>
            <w:vAlign w:val="bottom"/>
          </w:tcPr>
          <w:p>
            <w:pPr>
              <w:spacing w:after="0"/>
              <w:rPr>
                <w:sz w:val="17"/>
                <w:szCs w:val="17"/>
                <w:color w:val="auto"/>
              </w:rPr>
            </w:pPr>
          </w:p>
        </w:tc>
        <w:tc>
          <w:tcPr>
            <w:tcW w:w="54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15"/>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191"/>
        </w:trPr>
        <w:tc>
          <w:tcPr>
            <w:tcW w:w="4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Peter Coleman</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Vanitha Narayanan</w:t>
            </w: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415"/>
        </w:trPr>
        <w:tc>
          <w:tcPr>
            <w:tcW w:w="48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w:t>
            </w:r>
          </w:p>
        </w:tc>
      </w:tr>
      <w:tr>
        <w:trPr>
          <w:trHeight w:val="191"/>
        </w:trPr>
        <w:tc>
          <w:tcPr>
            <w:tcW w:w="44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Patrick de La Chevardière</w:t>
            </w: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Jeff W. Sheets</w:t>
            </w: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415"/>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91"/>
        </w:trPr>
        <w:tc>
          <w:tcPr>
            <w:tcW w:w="4400" w:type="dxa"/>
            <w:vAlign w:val="bottom"/>
            <w:gridSpan w:val="2"/>
          </w:tcPr>
          <w:p>
            <w:pPr>
              <w:spacing w:after="0" w:line="191" w:lineRule="exact"/>
              <w:rPr>
                <w:sz w:val="20"/>
                <w:szCs w:val="20"/>
                <w:color w:val="auto"/>
              </w:rPr>
            </w:pPr>
            <w:r>
              <w:rPr>
                <w:rFonts w:ascii="Arial" w:cs="Arial" w:eastAsia="Arial" w:hAnsi="Arial"/>
                <w:sz w:val="18"/>
                <w:szCs w:val="18"/>
                <w:color w:val="auto"/>
              </w:rPr>
              <w:t>Miguel M. Galuccio</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442"/>
        </w:trPr>
        <w:tc>
          <w:tcPr>
            <w:tcW w:w="4400" w:type="dxa"/>
            <w:vAlign w:val="bottom"/>
            <w:gridSpan w:val="2"/>
          </w:tcPr>
          <w:p>
            <w:pPr>
              <w:spacing w:after="0"/>
              <w:rPr>
                <w:sz w:val="20"/>
                <w:szCs w:val="20"/>
                <w:color w:val="auto"/>
              </w:rPr>
            </w:pPr>
            <w:r>
              <w:rPr>
                <w:rFonts w:ascii="Arial" w:cs="Arial" w:eastAsia="Arial" w:hAnsi="Arial"/>
                <w:sz w:val="18"/>
                <w:szCs w:val="18"/>
                <w:color w:val="auto"/>
              </w:rPr>
              <w:t>* By: /s/ D</w:t>
            </w:r>
            <w:r>
              <w:rPr>
                <w:rFonts w:ascii="Arial" w:cs="Arial" w:eastAsia="Arial" w:hAnsi="Arial"/>
                <w:sz w:val="14"/>
                <w:szCs w:val="14"/>
                <w:color w:val="auto"/>
              </w:rPr>
              <w:t>IANNE</w:t>
            </w:r>
            <w:r>
              <w:rPr>
                <w:rFonts w:ascii="Arial" w:cs="Arial" w:eastAsia="Arial" w:hAnsi="Arial"/>
                <w:sz w:val="18"/>
                <w:szCs w:val="18"/>
                <w:color w:val="auto"/>
              </w:rPr>
              <w:t xml:space="preserve"> B. R</w:t>
            </w:r>
            <w:r>
              <w:rPr>
                <w:rFonts w:ascii="Arial" w:cs="Arial" w:eastAsia="Arial" w:hAnsi="Arial"/>
                <w:sz w:val="14"/>
                <w:szCs w:val="14"/>
                <w:color w:val="auto"/>
              </w:rPr>
              <w:t>ALSTON</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Dianne B. Ralston</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spacing w:after="0"/>
              <w:rPr>
                <w:sz w:val="16"/>
                <w:szCs w:val="16"/>
                <w:color w:val="auto"/>
              </w:rPr>
            </w:pPr>
          </w:p>
        </w:tc>
      </w:tr>
      <w:tr>
        <w:trPr>
          <w:trHeight w:val="203"/>
        </w:trPr>
        <w:tc>
          <w:tcPr>
            <w:tcW w:w="48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Chief Legal Officer and Secretary</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920" w:type="dxa"/>
            <w:vAlign w:val="bottom"/>
          </w:tcPr>
          <w:p>
            <w:pPr>
              <w:spacing w:after="0" w:line="202" w:lineRule="exact"/>
              <w:rPr>
                <w:sz w:val="20"/>
                <w:szCs w:val="20"/>
                <w:color w:val="auto"/>
              </w:rPr>
            </w:pPr>
            <w:r>
              <w:rPr>
                <w:rFonts w:ascii="Arial" w:cs="Arial" w:eastAsia="Arial" w:hAnsi="Arial"/>
                <w:sz w:val="18"/>
                <w:szCs w:val="18"/>
                <w:color w:val="auto"/>
              </w:rPr>
              <w:t>(Attorney-in-Fact and Authorized Representative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Pr>
          <w:p>
            <w:pPr>
              <w:spacing w:after="0"/>
              <w:rPr>
                <w:sz w:val="17"/>
                <w:szCs w:val="17"/>
                <w:color w:val="auto"/>
              </w:rPr>
            </w:pPr>
          </w:p>
        </w:tc>
      </w:tr>
      <w:tr>
        <w:trPr>
          <w:trHeight w:val="239"/>
        </w:trPr>
        <w:tc>
          <w:tcPr>
            <w:tcW w:w="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 the U.S.)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- 3 -</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 w:name="page5"/>
    <w:bookmarkEnd w:id="4"/>
    <w:p>
      <w:pPr>
        <w:ind w:left="10340"/>
        <w:spacing w:after="0"/>
        <w:rPr>
          <w:sz w:val="20"/>
          <w:szCs w:val="20"/>
          <w:color w:val="auto"/>
        </w:rPr>
      </w:pPr>
      <w:r>
        <w:rPr>
          <w:rFonts w:ascii="Times New Roman" w:cs="Times New Roman" w:eastAsia="Times New Roman" w:hAnsi="Times New Roman"/>
          <w:sz w:val="18"/>
          <w:szCs w:val="18"/>
          <w:color w:val="auto"/>
        </w:rPr>
        <w:t>Exhibit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Amsterdam, 16 July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Schlumberger N.V.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acted as Curaçao legal counsel for Schlumberger N.V. (also referred to as Schlumberger Limited), a corporation with limited liability organized and existing under the laws of Curaçao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understand that on 16 July 2025, the Company completed its merger with ChampionX Corporation, a Delaware corporation (“</w:t>
      </w:r>
      <w:r>
        <w:rPr>
          <w:rFonts w:ascii="Times New Roman" w:cs="Times New Roman" w:eastAsia="Times New Roman" w:hAnsi="Times New Roman"/>
          <w:sz w:val="18"/>
          <w:szCs w:val="18"/>
          <w:b w:val="1"/>
          <w:bCs w:val="1"/>
          <w:color w:val="auto"/>
        </w:rPr>
        <w:t>ChampionX</w:t>
      </w:r>
      <w:r>
        <w:rPr>
          <w:rFonts w:ascii="Times New Roman" w:cs="Times New Roman" w:eastAsia="Times New Roman" w:hAnsi="Times New Roman"/>
          <w:sz w:val="18"/>
          <w:szCs w:val="18"/>
          <w:color w:val="auto"/>
        </w:rPr>
        <w:t>”), in an all-stock transaction at a fixed exchange ratio of 0.735 shares of SLB Common Stock for each share of ChampionX common stock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issued and outstanding immediately prior to the effective time of the Merger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terms and conditions of the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dated as of 2 April 2024, by and among the Company, Sodium Holdco, Inc., a Delaware corporation, Sodium Merger Sub, Inc., a Delaware corporation, and ChampionX. Pursuant to Section 2.5 (</w:t>
      </w:r>
      <w:r>
        <w:rPr>
          <w:rFonts w:ascii="Times New Roman" w:cs="Times New Roman" w:eastAsia="Times New Roman" w:hAnsi="Times New Roman"/>
          <w:sz w:val="18"/>
          <w:szCs w:val="18"/>
          <w:i w:val="1"/>
          <w:iCs w:val="1"/>
          <w:color w:val="auto"/>
        </w:rPr>
        <w:t>Company Equity Awards</w:t>
      </w:r>
      <w:r>
        <w:rPr>
          <w:rFonts w:ascii="Times New Roman" w:cs="Times New Roman" w:eastAsia="Times New Roman" w:hAnsi="Times New Roman"/>
          <w:sz w:val="18"/>
          <w:szCs w:val="18"/>
          <w:color w:val="auto"/>
        </w:rPr>
        <w:t>) of the Merger Agreement, upon the completion of the Merger, the Company assumed the ChampionX Corporation Amended and Restated 2018 Equity and Cash Incentive Plan (the “</w:t>
      </w:r>
      <w:r>
        <w:rPr>
          <w:rFonts w:ascii="Times New Roman" w:cs="Times New Roman" w:eastAsia="Times New Roman" w:hAnsi="Times New Roman"/>
          <w:sz w:val="18"/>
          <w:szCs w:val="18"/>
          <w:b w:val="1"/>
          <w:bCs w:val="1"/>
          <w:color w:val="auto"/>
        </w:rPr>
        <w:t>ChampionX Plan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of up to 24,000,000 shares of the Company’s common stock, par value US$0.01 per share to be traded on the New York Stock Exchange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pursuant to the SLB Discounted Stock Purchase Plan, as amended and restated effective 16 January 2025 (the “</w:t>
      </w:r>
      <w:r>
        <w:rPr>
          <w:rFonts w:ascii="Times New Roman" w:cs="Times New Roman" w:eastAsia="Times New Roman" w:hAnsi="Times New Roman"/>
          <w:sz w:val="18"/>
          <w:szCs w:val="18"/>
          <w:b w:val="1"/>
          <w:bCs w:val="1"/>
          <w:color w:val="auto"/>
        </w:rPr>
        <w:t>DSPP Plan</w:t>
      </w:r>
      <w:r>
        <w:rPr>
          <w:rFonts w:ascii="Times New Roman" w:cs="Times New Roman" w:eastAsia="Times New Roman" w:hAnsi="Times New Roman"/>
          <w:sz w:val="18"/>
          <w:szCs w:val="18"/>
          <w:color w:val="auto"/>
        </w:rPr>
        <w:t>”), a registration statement on Form S-8 relating to the DSPP Plan (the “</w:t>
      </w:r>
      <w:r>
        <w:rPr>
          <w:rFonts w:ascii="Times New Roman" w:cs="Times New Roman" w:eastAsia="Times New Roman" w:hAnsi="Times New Roman"/>
          <w:sz w:val="18"/>
          <w:szCs w:val="18"/>
          <w:b w:val="1"/>
          <w:bCs w:val="1"/>
          <w:color w:val="auto"/>
        </w:rPr>
        <w:t>Form S-8 Registration Statement</w:t>
      </w:r>
      <w:r>
        <w:rPr>
          <w:rFonts w:ascii="Times New Roman" w:cs="Times New Roman" w:eastAsia="Times New Roman" w:hAnsi="Times New Roman"/>
          <w:sz w:val="18"/>
          <w:szCs w:val="18"/>
          <w:color w:val="auto"/>
        </w:rPr>
        <w:t>”) was filed by the Company on 1 July 2025 with the Securities and Exchange Commission under the Securities Act of 1933, as amended.</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We understand that a Post-Effective Amendment No. 1 is being filed by the Company on Form S-8 POS (the “</w:t>
      </w:r>
      <w:r>
        <w:rPr>
          <w:rFonts w:ascii="Times New Roman" w:cs="Times New Roman" w:eastAsia="Times New Roman" w:hAnsi="Times New Roman"/>
          <w:sz w:val="18"/>
          <w:szCs w:val="18"/>
          <w:b w:val="1"/>
          <w:bCs w:val="1"/>
          <w:color w:val="auto"/>
        </w:rPr>
        <w:t>Registration Statement Amendment</w:t>
      </w:r>
      <w:r>
        <w:rPr>
          <w:rFonts w:ascii="Times New Roman" w:cs="Times New Roman" w:eastAsia="Times New Roman" w:hAnsi="Times New Roman"/>
          <w:sz w:val="18"/>
          <w:szCs w:val="18"/>
          <w:color w:val="auto"/>
        </w:rPr>
        <w:t>”) to include in the Form S-8 Registration Statement 3,000,000 Shares issuable upon the exercise or settlement of the Assumed Awards (as defined in the Registration Statement Amendment) that become exercisable or issuable upon settlement after the Effective Time, held by current directors, officers and employees of the Company who were directors, officers and employees of ChampionX immediately prior to the Effective Time. No additional securities are being registered by the Registration Statement Amendment.</w:t>
      </w:r>
    </w:p>
    <w:p>
      <w:pPr>
        <w:sectPr>
          <w:pgSz w:w="11900" w:h="16838" w:orient="portrait"/>
          <w:cols w:equalWidth="0" w:num="1">
            <w:col w:w="11020"/>
          </w:cols>
          <w:pgMar w:left="440" w:top="121"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 July 2025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Curaçao legal counsel for the Company we have examined and relied upon the following documents in original, photo static or facsimile form:</w:t>
      </w:r>
    </w:p>
    <w:p>
      <w:pPr>
        <w:spacing w:after="0" w:line="131"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 Amendment;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Form S-8 Registration Statement;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DSPP Plan and the ChampionX Plan;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Merger Agreement, as filed;</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Articles of Incorporation of the Company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as presently in effect;</w:t>
      </w:r>
    </w:p>
    <w:p>
      <w:pPr>
        <w:spacing w:after="0" w:line="134"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as, according to the Secretary Certificate (as defined below), in full force and effect on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extract obtained online on 16 July 2025 from the Curaçao Commercial Register, relating to the registration of the Company;</w:t>
      </w:r>
    </w:p>
    <w:p>
      <w:pPr>
        <w:spacing w:after="0" w:line="126" w:lineRule="exact"/>
        <w:rPr>
          <w:rFonts w:ascii="Times New Roman" w:cs="Times New Roman" w:eastAsia="Times New Roman" w:hAnsi="Times New Roman"/>
          <w:sz w:val="18"/>
          <w:szCs w:val="18"/>
          <w:color w:val="auto"/>
        </w:rPr>
      </w:pPr>
    </w:p>
    <w:p>
      <w:pPr>
        <w:ind w:left="424" w:right="20" w:hanging="424"/>
        <w:spacing w:after="0" w:line="28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attached to the secretary’s certificate dated 26 April 2024 with respect to the approval, adoption, ratification and confirmation of the Merger Agreement (the “</w:t>
      </w:r>
      <w:r>
        <w:rPr>
          <w:rFonts w:ascii="Times New Roman" w:cs="Times New Roman" w:eastAsia="Times New Roman" w:hAnsi="Times New Roman"/>
          <w:sz w:val="18"/>
          <w:szCs w:val="18"/>
          <w:b w:val="1"/>
          <w:bCs w:val="1"/>
          <w:color w:val="auto"/>
        </w:rPr>
        <w:t>Merger Agreement Resolutions</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minutes of the annual general meeting of shareholders of the Company as according to the Secretary Certificate held on 2 April 2025 </w:t>
      </w:r>
      <w:r>
        <w:rPr>
          <w:rFonts w:ascii="Times New Roman" w:cs="Times New Roman" w:eastAsia="Times New Roman" w:hAnsi="Times New Roman"/>
          <w:sz w:val="18"/>
          <w:szCs w:val="18"/>
          <w:i w:val="1"/>
          <w:iCs w:val="1"/>
          <w:color w:val="auto"/>
        </w:rPr>
        <w:t xml:space="preserve">inter alia </w:t>
      </w:r>
      <w:r>
        <w:rPr>
          <w:rFonts w:ascii="Times New Roman" w:cs="Times New Roman" w:eastAsia="Times New Roman" w:hAnsi="Times New Roman"/>
          <w:sz w:val="18"/>
          <w:szCs w:val="18"/>
          <w:color w:val="auto"/>
        </w:rPr>
        <w:t>including the resolution to approve the amendment and restatement of the SLB Discounted Stock Purchase Plan effective 16 January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24" w:right="46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as according to the Secretary Certificate adopted on 16 January 2025 providing for the issuance of the Shares under the DSPP Plan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 and the Shareholders Resolutions together with the Board Resolutions, the “</w:t>
      </w:r>
      <w:r>
        <w:rPr>
          <w:rFonts w:ascii="Times New Roman" w:cs="Times New Roman" w:eastAsia="Times New Roman" w:hAnsi="Times New Roman"/>
          <w:sz w:val="18"/>
          <w:szCs w:val="18"/>
          <w:b w:val="1"/>
          <w:bCs w:val="1"/>
          <w:color w:val="auto"/>
        </w:rPr>
        <w:t>DSPP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424" w:right="6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certificate executed by the Assistant Secretary of the Company, dated 16 July 2025 with attached thereto a copy of the Merger Agreement Resolutions, the DSPP Resolutions, the Articles of Association and the Bylaws (the “</w:t>
      </w:r>
      <w:r>
        <w:rPr>
          <w:rFonts w:ascii="Times New Roman" w:cs="Times New Roman" w:eastAsia="Times New Roman" w:hAnsi="Times New Roman"/>
          <w:sz w:val="18"/>
          <w:szCs w:val="18"/>
          <w:b w:val="1"/>
          <w:bCs w:val="1"/>
          <w:color w:val="auto"/>
        </w:rPr>
        <w:t>Secretary Certificate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our examination of the documents referred to above and in expressing our opinion, we have assumed without independent verification of any kind:</w:t>
      </w:r>
    </w:p>
    <w:p>
      <w:pPr>
        <w:spacing w:after="0" w:line="13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all documents we have reviewed;</w:t>
      </w:r>
    </w:p>
    <w:p>
      <w:pPr>
        <w:spacing w:after="0" w:line="130" w:lineRule="exact"/>
        <w:rPr>
          <w:rFonts w:ascii="Times New Roman" w:cs="Times New Roman" w:eastAsia="Times New Roman" w:hAnsi="Times New Roman"/>
          <w:sz w:val="18"/>
          <w:szCs w:val="18"/>
          <w:color w:val="auto"/>
        </w:rPr>
      </w:pPr>
    </w:p>
    <w:p>
      <w:pPr>
        <w:ind w:left="424" w:right="68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such documents submitted to us as originals, and that each of the documents has been duly executed in the form, or substantially in the form submitted to us as execution copies;</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July 2025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with originals of all documents submitted to us as copies; and</w:t>
      </w:r>
    </w:p>
    <w:p>
      <w:pPr>
        <w:spacing w:after="0" w:line="130" w:lineRule="exact"/>
        <w:rPr>
          <w:rFonts w:ascii="Times New Roman" w:cs="Times New Roman" w:eastAsia="Times New Roman" w:hAnsi="Times New Roman"/>
          <w:sz w:val="18"/>
          <w:szCs w:val="18"/>
          <w:color w:val="auto"/>
        </w:rPr>
      </w:pPr>
    </w:p>
    <w:p>
      <w:pPr>
        <w:ind w:left="424" w:right="42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consummating the transactions contemplated by the Merger Agreement have been satisfied and such transactions have been consummated.</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Times New Roman" w:cs="Times New Roman" w:eastAsia="Times New Roman" w:hAnsi="Times New Roman"/>
          <w:sz w:val="18"/>
          <w:szCs w:val="18"/>
          <w:i w:val="1"/>
          <w:iCs w:val="1"/>
          <w:u w:val="single" w:color="auto"/>
          <w:color w:val="auto"/>
        </w:rPr>
        <w:t>Hoge Raad 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Nederlanden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and subject to the qualifications set forth below and having due regard for such legal considerations as we deem relevant, we are of the opinion that:</w:t>
      </w:r>
    </w:p>
    <w:p>
      <w:pPr>
        <w:spacing w:after="0" w:line="67" w:lineRule="exact"/>
        <w:rPr>
          <w:sz w:val="20"/>
          <w:szCs w:val="20"/>
          <w:color w:val="auto"/>
        </w:rPr>
      </w:pPr>
    </w:p>
    <w:p>
      <w:pPr>
        <w:ind w:left="424" w:right="10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Incorporation. The Company has been duly registered with the Curaçao Commercial Register under number 1674.</w:t>
      </w:r>
    </w:p>
    <w:p>
      <w:pPr>
        <w:spacing w:after="0" w:line="85" w:lineRule="exact"/>
        <w:rPr>
          <w:rFonts w:ascii="Times New Roman" w:cs="Times New Roman" w:eastAsia="Times New Roman" w:hAnsi="Times New Roman"/>
          <w:sz w:val="18"/>
          <w:szCs w:val="18"/>
          <w:color w:val="auto"/>
        </w:rPr>
      </w:pPr>
    </w:p>
    <w:p>
      <w:pPr>
        <w:ind w:left="424" w:right="340" w:hanging="424"/>
        <w:spacing w:after="0" w:line="312"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issuance and delivery of the Shares from time to time pursuant to and in accordance with the terms of the DSPP Plan or the ChampionX Plan, as applicable, for consideration at least equal to the par value thereof, such Shares will be validly issued, fully paid and non-assessable.</w:t>
      </w:r>
    </w:p>
    <w:p>
      <w:pPr>
        <w:spacing w:after="0" w:line="45"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personal liability will attach to the holders of the Shares under the laws of Curaçao by reason of their being stockholders of the Company.</w:t>
      </w:r>
    </w:p>
    <w:p>
      <w:pPr>
        <w:spacing w:after="0" w:line="130" w:lineRule="exact"/>
        <w:rPr>
          <w:rFonts w:ascii="Times New Roman" w:cs="Times New Roman" w:eastAsia="Times New Roman" w:hAnsi="Times New Roman"/>
          <w:sz w:val="18"/>
          <w:szCs w:val="18"/>
          <w:color w:val="auto"/>
        </w:rPr>
      </w:pPr>
    </w:p>
    <w:p>
      <w:pPr>
        <w:ind w:left="424" w:right="18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approvals, authorizations or other orders of Curaçao governmental authorities are legally required for the issuance of the Shares by the Company.</w:t>
      </w:r>
    </w:p>
    <w:p>
      <w:pPr>
        <w:spacing w:after="0" w:line="162"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This opinion is strictly limited to the matters stated herein and may not read as extending by implication to any matters not specifically referred to herein, including tax matters.</w:t>
      </w:r>
    </w:p>
    <w:p>
      <w:pPr>
        <w:spacing w:after="0" w:line="162"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Amendment. In giving such consent, we do not thereby concede that we are within the category of persons whose consent is required under Section 7 of the Securities Act or the rules and regulations of the Securities and Exchange Commission promulgated thereunder.</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STvB Advocaten (Europe) N.V.</w:t>
      </w:r>
    </w:p>
    <w:p>
      <w:pPr>
        <w:sectPr>
          <w:pgSz w:w="11900" w:h="16838" w:orient="portrait"/>
          <w:cols w:equalWidth="0" w:num="1">
            <w:col w:w="11004"/>
          </w:cols>
          <w:pgMar w:left="436" w:top="270" w:right="4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(File No. 333-288443) of Schlumberger Limited of our report dated January 22, 2025 relating to the financial statements and the effectiveness of internal control over financial reporting, which appears in Schlumberger Limited’s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16,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2"/>
    </w:lvl>
  </w:abstractNum>
  <w:abstractNum w:abstractNumId="1">
    <w:nsid w:val="238E1F29"/>
    <w:multiLevelType w:val="hybridMultilevel"/>
    <w:lvl w:ilvl="0">
      <w:lvlJc w:val="left"/>
      <w:lvlText w:val=" "/>
      <w:numFmt w:val="bullet"/>
      <w:start w:val="1"/>
    </w:lvl>
  </w:abstractNum>
  <w:abstractNum w:abstractNumId="2">
    <w:nsid w:val="46E87CCD"/>
    <w:multiLevelType w:val="hybridMultilevel"/>
    <w:lvl w:ilvl="0">
      <w:lvlJc w:val="left"/>
      <w:lvlText w:val="%1"/>
      <w:numFmt w:val="decimal"/>
      <w:start w:val="99"/>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Roman"/>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8" Type="http://schemas.openxmlformats.org/officeDocument/2006/relationships/hyperlink" Target="http://www.sec.gov/Archives/edgar/data/87347/000119312516532046/d176097dex31.htm" TargetMode="External"/><Relationship Id="rId19" Type="http://schemas.openxmlformats.org/officeDocument/2006/relationships/hyperlink" Target="http://www.sec.gov/Archives/edgar/data/87347/000119312523110532/d470769dex3.htm" TargetMode="External"/><Relationship Id="rId20" Type="http://schemas.openxmlformats.org/officeDocument/2006/relationships/hyperlink" Target="http://www.sec.gov/Archives/edgar/data/1723089/000172308921000080/amendedandrestatedequityp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2025-07-16T08:03:41Z</dcterms:created>
  <dcterms:modified xsi:type="dcterms:W3CDTF">2025-07-16T08:03:41Z</dcterms:modified>
</cp:coreProperties>
</file>