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1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205105</wp:posOffset>
            </wp:positionH>
            <wp:positionV relativeFrom="page">
              <wp:posOffset>205105</wp:posOffset>
            </wp:positionV>
            <wp:extent cx="6202680" cy="4653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202680" cy="4653280"/>
                    </a:xfrm>
                    <a:prstGeom prst="rect">
                      <a:avLst/>
                    </a:prstGeom>
                    <a:noFill/>
                  </pic:spPr>
                </pic:pic>
              </a:graphicData>
            </a:graphic>
          </wp:anchor>
        </w:drawing>
        <w:t>FiledbySchlumbergerN.V.(SchlumbergerLimited)</w:t>
      </w:r>
    </w:p>
    <w:p>
      <w:pPr>
        <w:spacing w:after="0" w:line="13" w:lineRule="exact"/>
        <w:rPr>
          <w:sz w:val="24"/>
          <w:szCs w:val="24"/>
          <w:color w:val="auto"/>
        </w:rPr>
      </w:pPr>
    </w:p>
    <w:p>
      <w:pPr>
        <w:jc w:val="right"/>
        <w:ind w:right="1220"/>
        <w:spacing w:after="0"/>
        <w:rPr>
          <w:sz w:val="20"/>
          <w:szCs w:val="20"/>
          <w:color w:val="auto"/>
        </w:rPr>
      </w:pPr>
      <w:r>
        <w:rPr>
          <w:rFonts w:ascii="Arial" w:cs="Arial" w:eastAsia="Arial" w:hAnsi="Arial"/>
          <w:sz w:val="13"/>
          <w:szCs w:val="13"/>
          <w:color w:val="auto"/>
        </w:rPr>
        <w:t>PursuanttoRule425of theSecuritiesActof1933,asamended,and</w:t>
      </w:r>
    </w:p>
    <w:p>
      <w:pPr>
        <w:spacing w:after="0" w:line="13" w:lineRule="exact"/>
        <w:rPr>
          <w:sz w:val="24"/>
          <w:szCs w:val="24"/>
          <w:color w:val="auto"/>
        </w:rPr>
      </w:pPr>
    </w:p>
    <w:p>
      <w:pPr>
        <w:jc w:val="right"/>
        <w:ind w:right="1160"/>
        <w:spacing w:after="0"/>
        <w:rPr>
          <w:sz w:val="20"/>
          <w:szCs w:val="20"/>
          <w:color w:val="auto"/>
        </w:rPr>
      </w:pPr>
      <w:r>
        <w:rPr>
          <w:rFonts w:ascii="Arial" w:cs="Arial" w:eastAsia="Arial" w:hAnsi="Arial"/>
          <w:sz w:val="13"/>
          <w:szCs w:val="13"/>
          <w:color w:val="auto"/>
        </w:rPr>
        <w:t>deemedfiledpursuanttoRule14a-12oftheSecuritiesExchangeActof1934,asamended</w:t>
      </w:r>
    </w:p>
    <w:p>
      <w:pPr>
        <w:spacing w:after="0" w:line="94" w:lineRule="exact"/>
        <w:rPr>
          <w:sz w:val="24"/>
          <w:szCs w:val="24"/>
          <w:color w:val="auto"/>
        </w:rPr>
      </w:pPr>
    </w:p>
    <w:p>
      <w:pPr>
        <w:jc w:val="right"/>
        <w:ind w:right="1180"/>
        <w:spacing w:after="0"/>
        <w:rPr>
          <w:sz w:val="20"/>
          <w:szCs w:val="20"/>
          <w:color w:val="auto"/>
        </w:rPr>
      </w:pPr>
      <w:r>
        <w:rPr>
          <w:rFonts w:ascii="Arial" w:cs="Arial" w:eastAsia="Arial" w:hAnsi="Arial"/>
          <w:sz w:val="13"/>
          <w:szCs w:val="13"/>
          <w:color w:val="auto"/>
        </w:rPr>
        <w:t>SchlumbergerN.V.(SchlumbergerLimited)(FileNo.:1-4601)</w:t>
      </w:r>
    </w:p>
    <w:p>
      <w:pPr>
        <w:spacing w:after="0" w:line="94" w:lineRule="exact"/>
        <w:rPr>
          <w:sz w:val="24"/>
          <w:szCs w:val="24"/>
          <w:color w:val="auto"/>
        </w:rPr>
      </w:pPr>
    </w:p>
    <w:p>
      <w:pPr>
        <w:jc w:val="right"/>
        <w:ind w:right="1180"/>
        <w:spacing w:after="0"/>
        <w:rPr>
          <w:sz w:val="20"/>
          <w:szCs w:val="20"/>
          <w:color w:val="auto"/>
        </w:rPr>
      </w:pPr>
      <w:r>
        <w:rPr>
          <w:rFonts w:ascii="Arial" w:cs="Arial" w:eastAsia="Arial" w:hAnsi="Arial"/>
          <w:sz w:val="13"/>
          <w:szCs w:val="13"/>
          <w:color w:val="auto"/>
        </w:rPr>
        <w:t>SubjectCompany:SmithInternational,Inc.(FileNo:1-8514)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3240" w:hanging="3241"/>
        <w:spacing w:after="0" w:line="274" w:lineRule="auto"/>
        <w:rPr>
          <w:sz w:val="20"/>
          <w:szCs w:val="20"/>
          <w:color w:val="auto"/>
        </w:rPr>
      </w:pPr>
      <w:r>
        <w:rPr>
          <w:rFonts w:ascii="Arial" w:cs="Arial" w:eastAsia="Arial" w:hAnsi="Arial"/>
          <w:sz w:val="49"/>
          <w:szCs w:val="49"/>
          <w:b w:val="1"/>
          <w:bCs w:val="1"/>
          <w:color w:val="000066"/>
        </w:rPr>
        <w:t>Schlumberger and Smith International, Inc. to Merge</w:t>
      </w:r>
    </w:p>
    <w:p>
      <w:pPr>
        <w:spacing w:after="0" w:line="200" w:lineRule="exact"/>
        <w:rPr>
          <w:sz w:val="24"/>
          <w:szCs w:val="24"/>
          <w:color w:val="auto"/>
        </w:rPr>
      </w:pPr>
    </w:p>
    <w:p>
      <w:pPr>
        <w:spacing w:after="0" w:line="400" w:lineRule="exact"/>
        <w:rPr>
          <w:sz w:val="24"/>
          <w:szCs w:val="24"/>
          <w:color w:val="auto"/>
        </w:rPr>
      </w:pPr>
    </w:p>
    <w:p>
      <w:pPr>
        <w:ind w:left="3320"/>
        <w:spacing w:after="0"/>
        <w:rPr>
          <w:sz w:val="20"/>
          <w:szCs w:val="20"/>
          <w:color w:val="auto"/>
        </w:rPr>
      </w:pPr>
      <w:r>
        <w:rPr>
          <w:rFonts w:ascii="Arial" w:cs="Arial" w:eastAsia="Arial" w:hAnsi="Arial"/>
          <w:sz w:val="33"/>
          <w:szCs w:val="33"/>
          <w:color w:val="B2B2B2"/>
        </w:rPr>
        <w:t>March, 2010</w:t>
      </w:r>
    </w:p>
    <w:p>
      <w:pPr>
        <w:sectPr>
          <w:pgSz w:w="11900" w:h="16838" w:orient="portrait"/>
          <w:cols w:equalWidth="0" w:num="1">
            <w:col w:w="9940"/>
          </w:cols>
          <w:pgMar w:left="1180" w:top="467" w:right="779" w:bottom="1440" w:gutter="0" w:footer="0" w:header="0"/>
        </w:sectPr>
      </w:pPr>
    </w:p>
    <w:bookmarkStart w:id="1" w:name="page2"/>
    <w:bookmarkEnd w:id="1"/>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127635</wp:posOffset>
            </wp:positionH>
            <wp:positionV relativeFrom="page">
              <wp:posOffset>88900</wp:posOffset>
            </wp:positionV>
            <wp:extent cx="7319010" cy="4789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9010" cy="478917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100" w:lineRule="exact"/>
        <w:rPr>
          <w:sz w:val="20"/>
          <w:szCs w:val="20"/>
          <w:color w:val="auto"/>
        </w:rPr>
      </w:pPr>
    </w:p>
    <w:p>
      <w:pPr>
        <w:ind w:right="80"/>
        <w:spacing w:after="0" w:line="247" w:lineRule="auto"/>
        <w:rPr>
          <w:sz w:val="20"/>
          <w:szCs w:val="20"/>
          <w:color w:val="auto"/>
        </w:rPr>
      </w:pPr>
      <w:r>
        <w:rPr>
          <w:rFonts w:ascii="Arial" w:cs="Arial" w:eastAsia="Arial" w:hAnsi="Arial"/>
          <w:sz w:val="13"/>
          <w:szCs w:val="13"/>
          <w:color w:val="auto"/>
        </w:rPr>
        <w:t>This presentation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The Company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and other risk factors that are discussed in Schlumberger’s and Smith’s most recent 10-Ks as well as each company’s other filings with the SEC available at the SEC’s Internet site (http://www.sec.gov). Actual results may differ materially from those expected, estimated or projected.</w:t>
      </w:r>
    </w:p>
    <w:p>
      <w:pPr>
        <w:spacing w:after="0" w:line="73" w:lineRule="exact"/>
        <w:rPr>
          <w:sz w:val="20"/>
          <w:szCs w:val="20"/>
          <w:color w:val="auto"/>
        </w:rPr>
      </w:pPr>
    </w:p>
    <w:p>
      <w:pPr>
        <w:ind w:right="160"/>
        <w:spacing w:after="0" w:line="257" w:lineRule="auto"/>
        <w:rPr>
          <w:sz w:val="20"/>
          <w:szCs w:val="20"/>
          <w:color w:val="auto"/>
        </w:rPr>
      </w:pPr>
      <w:r>
        <w:rPr>
          <w:rFonts w:ascii="Arial" w:cs="Arial" w:eastAsia="Arial" w:hAnsi="Arial"/>
          <w:sz w:val="13"/>
          <w:szCs w:val="13"/>
          <w:color w:val="auto"/>
        </w:rPr>
        <w:t>Forward-looking statements speak only as of the date they are made, and we undertake no obligation to publicly update or revise any of them in light of new information, future events or otherwise.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Additional Information</w:t>
      </w:r>
    </w:p>
    <w:p>
      <w:pPr>
        <w:spacing w:after="0" w:line="100"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STOCKHOLDERS ARE URGED TO READ THE PROXY STATEMENT/PROSPECTUS AND REGISTRATION STATEMENT REGARDING THE PROPOSED TRANSACTION WHEN IT BECOMES AVAILABLE BECAUSE IT WILL CONTAIN IMPORTANT INFORMATION ABOUT THE PROPOSED TRANSACTION. These documents will contain important information about the proposed transaction that should be read carefully before any decision is made with respect to the proposed transaction. These materials will be made available to the shareholders of Smith at no expense to them. Investors and security holders will be able to obtain the documents (when available) free of charge at the SEC’s web site, www.sec.gov. In addition, such materials (and all other documents filed with the SEC) will be available free of charge at www.smith.com or www.slb.com. Such documents are not currently available.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pacing w:after="0" w:line="75"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Each company’s directors and executive officers and other persons may be deemed, under SEC rules, to be participants in the solicitation of proxies in connection with the proposed transaction. Information regarding Schlumberger’s directors and officers can be found in its proxy statement filed with the SEC on March 4, 2010 and information regarding Smith’s directors and officers can be found in its proxy statement filed with the SEC on April 13, 2009. Additional information regarding the participants in the proxy solicitation and a description of their direct and indirect interests in the transaction, by security holdings or otherwise, will be contained in the proxy statement/prospectus and othe relevant materials to be filed with the SEC when they become available.</w:t>
      </w:r>
    </w:p>
    <w:p>
      <w:pPr>
        <w:sectPr>
          <w:pgSz w:w="11900" w:h="16838" w:orient="portrait"/>
          <w:cols w:equalWidth="0" w:num="1">
            <w:col w:w="10380"/>
          </w:cols>
          <w:pgMar w:left="920" w:top="1440" w:right="599" w:bottom="1440" w:gutter="0" w:footer="0" w:header="0"/>
        </w:sectPr>
      </w:pPr>
    </w:p>
    <w:bookmarkStart w:id="2" w:name="page3"/>
    <w:bookmarkEnd w:id="2"/>
    <w:p>
      <w:pPr>
        <w:spacing w:after="0"/>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127635</wp:posOffset>
            </wp:positionH>
            <wp:positionV relativeFrom="page">
              <wp:posOffset>88900</wp:posOffset>
            </wp:positionV>
            <wp:extent cx="7319010" cy="4789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9010" cy="4789170"/>
                    </a:xfrm>
                    <a:prstGeom prst="rect">
                      <a:avLst/>
                    </a:prstGeom>
                    <a:noFill/>
                  </pic:spPr>
                </pic:pic>
              </a:graphicData>
            </a:graphic>
          </wp:anchor>
        </w:drawing>
        <w:t>Industry Trends—Drilling</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00" w:right="300"/>
        <w:spacing w:after="0" w:line="266" w:lineRule="auto"/>
        <w:rPr>
          <w:sz w:val="20"/>
          <w:szCs w:val="20"/>
          <w:color w:val="auto"/>
        </w:rPr>
      </w:pPr>
      <w:r>
        <w:rPr>
          <w:rFonts w:ascii="Arial" w:cs="Arial" w:eastAsia="Arial" w:hAnsi="Arial"/>
          <w:sz w:val="27"/>
          <w:szCs w:val="27"/>
          <w:color w:val="auto"/>
        </w:rPr>
        <w:t>Higher levels of drilling will be necessary to sustain and increase world oil and gas production</w:t>
      </w:r>
    </w:p>
    <w:p>
      <w:pPr>
        <w:spacing w:after="0" w:line="125" w:lineRule="exact"/>
        <w:rPr>
          <w:sz w:val="20"/>
          <w:szCs w:val="20"/>
          <w:color w:val="auto"/>
        </w:rPr>
      </w:pPr>
    </w:p>
    <w:p>
      <w:pPr>
        <w:ind w:left="300" w:right="1860"/>
        <w:spacing w:after="0" w:line="330" w:lineRule="auto"/>
        <w:rPr>
          <w:sz w:val="20"/>
          <w:szCs w:val="20"/>
          <w:color w:val="auto"/>
        </w:rPr>
      </w:pPr>
      <w:r>
        <w:rPr>
          <w:rFonts w:ascii="Arial" w:cs="Arial" w:eastAsia="Arial" w:hAnsi="Arial"/>
          <w:sz w:val="24"/>
          <w:szCs w:val="24"/>
          <w:color w:val="auto"/>
        </w:rPr>
        <w:t>Drillingintensityandwellcomplexitywillcontinuetoincreaseduetoareassuch as deepwater sub-salt and shale gas</w:t>
      </w:r>
    </w:p>
    <w:p>
      <w:pPr>
        <w:spacing w:after="0" w:line="54" w:lineRule="exact"/>
        <w:rPr>
          <w:sz w:val="20"/>
          <w:szCs w:val="20"/>
          <w:color w:val="auto"/>
        </w:rPr>
      </w:pPr>
    </w:p>
    <w:p>
      <w:pPr>
        <w:ind w:left="300" w:right="620"/>
        <w:spacing w:after="0" w:line="266" w:lineRule="auto"/>
        <w:rPr>
          <w:sz w:val="20"/>
          <w:szCs w:val="20"/>
          <w:color w:val="auto"/>
        </w:rPr>
      </w:pPr>
      <w:r>
        <w:rPr>
          <w:rFonts w:ascii="Arial" w:cs="Arial" w:eastAsia="Arial" w:hAnsi="Arial"/>
          <w:sz w:val="27"/>
          <w:szCs w:val="27"/>
          <w:color w:val="auto"/>
        </w:rPr>
        <w:t>Geosteeredwells with complex geometries are key to increased recovery and maximizing initial production</w:t>
      </w:r>
    </w:p>
    <w:p>
      <w:pPr>
        <w:spacing w:after="0" w:line="125" w:lineRule="exact"/>
        <w:rPr>
          <w:sz w:val="20"/>
          <w:szCs w:val="20"/>
          <w:color w:val="auto"/>
        </w:rPr>
      </w:pPr>
    </w:p>
    <w:p>
      <w:pPr>
        <w:jc w:val="both"/>
        <w:ind w:left="300"/>
        <w:spacing w:after="0" w:line="259" w:lineRule="auto"/>
        <w:rPr>
          <w:sz w:val="20"/>
          <w:szCs w:val="20"/>
          <w:color w:val="auto"/>
        </w:rPr>
      </w:pPr>
      <w:r>
        <w:rPr>
          <w:rFonts w:ascii="Arial" w:cs="Arial" w:eastAsia="Arial" w:hAnsi="Arial"/>
          <w:sz w:val="27"/>
          <w:szCs w:val="27"/>
          <w:color w:val="auto"/>
        </w:rPr>
        <w:t>Combining our LWD, MWD &amp; DD capabilities with the design and optimization of the entire BHA (including bits, drilling tools and drilling fluids) will improve drilling performance and reduce drilling risk</w:t>
      </w:r>
    </w:p>
    <w:p>
      <w:pPr>
        <w:sectPr>
          <w:pgSz w:w="11900" w:h="16838" w:orient="portrait"/>
          <w:cols w:equalWidth="0" w:num="1">
            <w:col w:w="10040"/>
          </w:cols>
          <w:pgMar w:left="820" w:top="564" w:right="1039" w:bottom="1440" w:gutter="0" w:footer="0" w:header="0"/>
        </w:sectPr>
      </w:pPr>
    </w:p>
    <w:bookmarkStart w:id="3" w:name="page4"/>
    <w:bookmarkEnd w:id="3"/>
    <w:p>
      <w:pPr>
        <w:spacing w:after="0"/>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127635</wp:posOffset>
            </wp:positionH>
            <wp:positionV relativeFrom="page">
              <wp:posOffset>88900</wp:posOffset>
            </wp:positionV>
            <wp:extent cx="7319010" cy="4789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9010" cy="4789170"/>
                    </a:xfrm>
                    <a:prstGeom prst="rect">
                      <a:avLst/>
                    </a:prstGeom>
                    <a:noFill/>
                  </pic:spPr>
                </pic:pic>
              </a:graphicData>
            </a:graphic>
          </wp:anchor>
        </w:drawing>
        <w:t>Smith International Organization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60" w:type="dxa"/>
        <w:tblCellMar>
          <w:top w:w="0" w:type="dxa"/>
          <w:left w:w="0" w:type="dxa"/>
          <w:bottom w:w="0" w:type="dxa"/>
          <w:right w:w="0" w:type="dxa"/>
        </w:tblCellMar>
      </w:tblPr>
      <w:tr>
        <w:trPr>
          <w:trHeight w:val="293"/>
        </w:trPr>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20" w:type="dxa"/>
            <w:vAlign w:val="bottom"/>
            <w:gridSpan w:val="3"/>
          </w:tcPr>
          <w:p>
            <w:pPr>
              <w:jc w:val="right"/>
              <w:ind w:right="159"/>
              <w:spacing w:after="0"/>
              <w:rPr>
                <w:sz w:val="20"/>
                <w:szCs w:val="20"/>
                <w:color w:val="auto"/>
              </w:rPr>
            </w:pPr>
            <w:r>
              <w:rPr>
                <w:rFonts w:ascii="Arial" w:cs="Arial" w:eastAsia="Arial" w:hAnsi="Arial"/>
                <w:sz w:val="24"/>
                <w:szCs w:val="24"/>
                <w:color w:val="auto"/>
              </w:rPr>
              <w:t>Smith International, Inc.</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833"/>
        </w:trPr>
        <w:tc>
          <w:tcPr>
            <w:tcW w:w="2340" w:type="dxa"/>
            <w:vAlign w:val="bottom"/>
            <w:gridSpan w:val="3"/>
          </w:tcPr>
          <w:p>
            <w:pPr>
              <w:jc w:val="right"/>
              <w:ind w:right="479"/>
              <w:spacing w:after="0"/>
              <w:rPr>
                <w:sz w:val="20"/>
                <w:szCs w:val="20"/>
                <w:color w:val="auto"/>
              </w:rPr>
            </w:pPr>
            <w:r>
              <w:rPr>
                <w:rFonts w:ascii="Arial" w:cs="Arial" w:eastAsia="Arial" w:hAnsi="Arial"/>
                <w:sz w:val="24"/>
                <w:szCs w:val="24"/>
                <w:color w:val="auto"/>
              </w:rPr>
              <w:t>Smith Oilfield</w:t>
            </w:r>
          </w:p>
        </w:tc>
        <w:tc>
          <w:tcPr>
            <w:tcW w:w="3320" w:type="dxa"/>
            <w:vAlign w:val="bottom"/>
            <w:gridSpan w:val="3"/>
          </w:tcPr>
          <w:p>
            <w:pPr>
              <w:jc w:val="right"/>
              <w:ind w:right="879"/>
              <w:spacing w:after="0"/>
              <w:rPr>
                <w:sz w:val="20"/>
                <w:szCs w:val="20"/>
                <w:color w:val="auto"/>
              </w:rPr>
            </w:pPr>
            <w:r>
              <w:rPr>
                <w:rFonts w:ascii="Arial" w:cs="Arial" w:eastAsia="Arial" w:hAnsi="Arial"/>
                <w:sz w:val="24"/>
                <w:szCs w:val="24"/>
                <w:color w:val="auto"/>
              </w:rPr>
              <w:t>Smith Fluids</w:t>
            </w:r>
          </w:p>
        </w:tc>
        <w:tc>
          <w:tcPr>
            <w:tcW w:w="2380" w:type="dxa"/>
            <w:vAlign w:val="bottom"/>
            <w:gridSpan w:val="3"/>
          </w:tcPr>
          <w:p>
            <w:pPr>
              <w:ind w:left="460"/>
              <w:spacing w:after="0"/>
              <w:rPr>
                <w:sz w:val="20"/>
                <w:szCs w:val="20"/>
                <w:color w:val="auto"/>
              </w:rPr>
            </w:pPr>
            <w:r>
              <w:rPr>
                <w:rFonts w:ascii="Arial" w:cs="Arial" w:eastAsia="Arial" w:hAnsi="Arial"/>
                <w:sz w:val="24"/>
                <w:szCs w:val="24"/>
                <w:color w:val="auto"/>
              </w:rPr>
              <w:t>Smith Distribution</w:t>
            </w:r>
          </w:p>
        </w:tc>
      </w:tr>
      <w:tr>
        <w:trPr>
          <w:trHeight w:val="787"/>
        </w:trPr>
        <w:tc>
          <w:tcPr>
            <w:tcW w:w="720" w:type="dxa"/>
            <w:vAlign w:val="bottom"/>
          </w:tcPr>
          <w:p>
            <w:pPr>
              <w:spacing w:after="0"/>
              <w:rPr>
                <w:sz w:val="24"/>
                <w:szCs w:val="24"/>
                <w:color w:val="auto"/>
              </w:rPr>
            </w:pPr>
          </w:p>
        </w:tc>
        <w:tc>
          <w:tcPr>
            <w:tcW w:w="480" w:type="dxa"/>
            <w:vAlign w:val="bottom"/>
          </w:tcPr>
          <w:p>
            <w:pPr>
              <w:jc w:val="right"/>
              <w:ind w:right="39"/>
              <w:spacing w:after="0"/>
              <w:rPr>
                <w:sz w:val="20"/>
                <w:szCs w:val="20"/>
                <w:color w:val="auto"/>
              </w:rPr>
            </w:pPr>
            <w:r>
              <w:rPr>
                <w:rFonts w:ascii="Arial" w:cs="Arial" w:eastAsia="Arial" w:hAnsi="Arial"/>
                <w:sz w:val="12"/>
                <w:szCs w:val="12"/>
                <w:b w:val="1"/>
                <w:bCs w:val="1"/>
                <w:color w:val="auto"/>
              </w:rPr>
              <w:t>2008A</w:t>
            </w:r>
          </w:p>
        </w:tc>
        <w:tc>
          <w:tcPr>
            <w:tcW w:w="1140" w:type="dxa"/>
            <w:vAlign w:val="bottom"/>
          </w:tcPr>
          <w:p>
            <w:pPr>
              <w:jc w:val="right"/>
              <w:ind w:right="619"/>
              <w:spacing w:after="0"/>
              <w:rPr>
                <w:sz w:val="20"/>
                <w:szCs w:val="20"/>
                <w:color w:val="auto"/>
              </w:rPr>
            </w:pPr>
            <w:r>
              <w:rPr>
                <w:rFonts w:ascii="Arial" w:cs="Arial" w:eastAsia="Arial" w:hAnsi="Arial"/>
                <w:sz w:val="12"/>
                <w:szCs w:val="12"/>
                <w:b w:val="1"/>
                <w:bCs w:val="1"/>
                <w:color w:val="auto"/>
              </w:rPr>
              <w:t>2009A</w:t>
            </w:r>
          </w:p>
        </w:tc>
        <w:tc>
          <w:tcPr>
            <w:tcW w:w="1300" w:type="dxa"/>
            <w:vAlign w:val="bottom"/>
          </w:tcPr>
          <w:p>
            <w:pPr>
              <w:spacing w:after="0"/>
              <w:rPr>
                <w:sz w:val="24"/>
                <w:szCs w:val="24"/>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b w:val="1"/>
                <w:bCs w:val="1"/>
                <w:color w:val="auto"/>
              </w:rPr>
              <w:t>2008A</w:t>
            </w:r>
          </w:p>
        </w:tc>
        <w:tc>
          <w:tcPr>
            <w:tcW w:w="1560" w:type="dxa"/>
            <w:vAlign w:val="bottom"/>
          </w:tcPr>
          <w:p>
            <w:pPr>
              <w:jc w:val="right"/>
              <w:ind w:right="1039"/>
              <w:spacing w:after="0"/>
              <w:rPr>
                <w:sz w:val="20"/>
                <w:szCs w:val="20"/>
                <w:color w:val="auto"/>
              </w:rPr>
            </w:pPr>
            <w:r>
              <w:rPr>
                <w:rFonts w:ascii="Arial" w:cs="Arial" w:eastAsia="Arial" w:hAnsi="Arial"/>
                <w:sz w:val="12"/>
                <w:szCs w:val="12"/>
                <w:b w:val="1"/>
                <w:bCs w:val="1"/>
                <w:color w:val="auto"/>
              </w:rPr>
              <w:t>2009A</w:t>
            </w:r>
          </w:p>
        </w:tc>
        <w:tc>
          <w:tcPr>
            <w:tcW w:w="940" w:type="dxa"/>
            <w:vAlign w:val="bottom"/>
          </w:tcPr>
          <w:p>
            <w:pPr>
              <w:spacing w:after="0"/>
              <w:rPr>
                <w:sz w:val="24"/>
                <w:szCs w:val="24"/>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b w:val="1"/>
                <w:bCs w:val="1"/>
                <w:color w:val="auto"/>
              </w:rPr>
              <w:t>2008A</w:t>
            </w:r>
          </w:p>
        </w:tc>
        <w:tc>
          <w:tcPr>
            <w:tcW w:w="980" w:type="dxa"/>
            <w:vAlign w:val="bottom"/>
          </w:tcPr>
          <w:p>
            <w:pPr>
              <w:jc w:val="right"/>
              <w:ind w:right="459"/>
              <w:spacing w:after="0"/>
              <w:rPr>
                <w:sz w:val="20"/>
                <w:szCs w:val="20"/>
                <w:color w:val="auto"/>
              </w:rPr>
            </w:pPr>
            <w:r>
              <w:rPr>
                <w:rFonts w:ascii="Arial" w:cs="Arial" w:eastAsia="Arial" w:hAnsi="Arial"/>
                <w:sz w:val="12"/>
                <w:szCs w:val="12"/>
                <w:b w:val="1"/>
                <w:bCs w:val="1"/>
                <w:color w:val="auto"/>
              </w:rPr>
              <w:t>2009A</w:t>
            </w:r>
          </w:p>
        </w:tc>
      </w:tr>
      <w:tr>
        <w:trPr>
          <w:trHeight w:val="163"/>
        </w:trPr>
        <w:tc>
          <w:tcPr>
            <w:tcW w:w="720" w:type="dxa"/>
            <w:vAlign w:val="bottom"/>
          </w:tcPr>
          <w:p>
            <w:pPr>
              <w:spacing w:after="0"/>
              <w:rPr>
                <w:sz w:val="20"/>
                <w:szCs w:val="20"/>
                <w:color w:val="auto"/>
              </w:rPr>
            </w:pPr>
            <w:r>
              <w:rPr>
                <w:rFonts w:ascii="Arial" w:cs="Arial" w:eastAsia="Arial" w:hAnsi="Arial"/>
                <w:sz w:val="12"/>
                <w:szCs w:val="12"/>
                <w:color w:val="auto"/>
              </w:rPr>
              <w:t>Revenue:</w:t>
            </w:r>
          </w:p>
        </w:tc>
        <w:tc>
          <w:tcPr>
            <w:tcW w:w="480" w:type="dxa"/>
            <w:vAlign w:val="bottom"/>
          </w:tcPr>
          <w:p>
            <w:pPr>
              <w:jc w:val="right"/>
              <w:ind w:right="19"/>
              <w:spacing w:after="0"/>
              <w:rPr>
                <w:sz w:val="20"/>
                <w:szCs w:val="20"/>
                <w:color w:val="auto"/>
              </w:rPr>
            </w:pPr>
            <w:r>
              <w:rPr>
                <w:rFonts w:ascii="Arial" w:cs="Arial" w:eastAsia="Arial" w:hAnsi="Arial"/>
                <w:sz w:val="12"/>
                <w:szCs w:val="12"/>
                <w:color w:val="auto"/>
              </w:rPr>
              <w:t>$2,849</w:t>
            </w:r>
          </w:p>
        </w:tc>
        <w:tc>
          <w:tcPr>
            <w:tcW w:w="1140" w:type="dxa"/>
            <w:vAlign w:val="bottom"/>
          </w:tcPr>
          <w:p>
            <w:pPr>
              <w:jc w:val="right"/>
              <w:ind w:right="619"/>
              <w:spacing w:after="0"/>
              <w:rPr>
                <w:sz w:val="20"/>
                <w:szCs w:val="20"/>
                <w:color w:val="auto"/>
              </w:rPr>
            </w:pPr>
            <w:r>
              <w:rPr>
                <w:rFonts w:ascii="Arial" w:cs="Arial" w:eastAsia="Arial" w:hAnsi="Arial"/>
                <w:sz w:val="12"/>
                <w:szCs w:val="12"/>
                <w:color w:val="auto"/>
              </w:rPr>
              <w:t>$2,225</w:t>
            </w:r>
          </w:p>
        </w:tc>
        <w:tc>
          <w:tcPr>
            <w:tcW w:w="1300" w:type="dxa"/>
            <w:vAlign w:val="bottom"/>
          </w:tcPr>
          <w:p>
            <w:pPr>
              <w:ind w:left="580"/>
              <w:spacing w:after="0"/>
              <w:rPr>
                <w:sz w:val="20"/>
                <w:szCs w:val="20"/>
                <w:color w:val="auto"/>
              </w:rPr>
            </w:pPr>
            <w:r>
              <w:rPr>
                <w:rFonts w:ascii="Arial" w:cs="Arial" w:eastAsia="Arial" w:hAnsi="Arial"/>
                <w:sz w:val="12"/>
                <w:szCs w:val="12"/>
                <w:color w:val="auto"/>
              </w:rPr>
              <w:t>Revenue:</w:t>
            </w:r>
          </w:p>
        </w:tc>
        <w:tc>
          <w:tcPr>
            <w:tcW w:w="460" w:type="dxa"/>
            <w:vAlign w:val="bottom"/>
          </w:tcPr>
          <w:p>
            <w:pPr>
              <w:jc w:val="right"/>
              <w:ind w:right="19"/>
              <w:spacing w:after="0"/>
              <w:rPr>
                <w:sz w:val="20"/>
                <w:szCs w:val="20"/>
                <w:color w:val="auto"/>
              </w:rPr>
            </w:pPr>
            <w:r>
              <w:rPr>
                <w:rFonts w:ascii="Arial" w:cs="Arial" w:eastAsia="Arial" w:hAnsi="Arial"/>
                <w:sz w:val="12"/>
                <w:szCs w:val="12"/>
                <w:color w:val="auto"/>
                <w:w w:val="97"/>
              </w:rPr>
              <w:t>$5,183</w:t>
            </w:r>
          </w:p>
        </w:tc>
        <w:tc>
          <w:tcPr>
            <w:tcW w:w="1560" w:type="dxa"/>
            <w:vAlign w:val="bottom"/>
          </w:tcPr>
          <w:p>
            <w:pPr>
              <w:jc w:val="right"/>
              <w:ind w:right="1039"/>
              <w:spacing w:after="0"/>
              <w:rPr>
                <w:sz w:val="20"/>
                <w:szCs w:val="20"/>
                <w:color w:val="auto"/>
              </w:rPr>
            </w:pPr>
            <w:r>
              <w:rPr>
                <w:rFonts w:ascii="Arial" w:cs="Arial" w:eastAsia="Arial" w:hAnsi="Arial"/>
                <w:sz w:val="12"/>
                <w:szCs w:val="12"/>
                <w:color w:val="auto"/>
              </w:rPr>
              <w:t>$4,224</w:t>
            </w:r>
          </w:p>
        </w:tc>
        <w:tc>
          <w:tcPr>
            <w:tcW w:w="940" w:type="dxa"/>
            <w:vAlign w:val="bottom"/>
          </w:tcPr>
          <w:p>
            <w:pPr>
              <w:ind w:left="220"/>
              <w:spacing w:after="0"/>
              <w:rPr>
                <w:sz w:val="20"/>
                <w:szCs w:val="20"/>
                <w:color w:val="auto"/>
              </w:rPr>
            </w:pPr>
            <w:r>
              <w:rPr>
                <w:rFonts w:ascii="Arial" w:cs="Arial" w:eastAsia="Arial" w:hAnsi="Arial"/>
                <w:sz w:val="12"/>
                <w:szCs w:val="12"/>
                <w:color w:val="auto"/>
              </w:rPr>
              <w:t>Revenue:</w:t>
            </w:r>
          </w:p>
        </w:tc>
        <w:tc>
          <w:tcPr>
            <w:tcW w:w="460" w:type="dxa"/>
            <w:vAlign w:val="bottom"/>
          </w:tcPr>
          <w:p>
            <w:pPr>
              <w:jc w:val="right"/>
              <w:ind w:right="19"/>
              <w:spacing w:after="0"/>
              <w:rPr>
                <w:sz w:val="20"/>
                <w:szCs w:val="20"/>
                <w:color w:val="auto"/>
              </w:rPr>
            </w:pPr>
            <w:r>
              <w:rPr>
                <w:rFonts w:ascii="Arial" w:cs="Arial" w:eastAsia="Arial" w:hAnsi="Arial"/>
                <w:sz w:val="12"/>
                <w:szCs w:val="12"/>
                <w:color w:val="auto"/>
                <w:w w:val="97"/>
              </w:rPr>
              <w:t>$2,739</w:t>
            </w:r>
          </w:p>
        </w:tc>
        <w:tc>
          <w:tcPr>
            <w:tcW w:w="980" w:type="dxa"/>
            <w:vAlign w:val="bottom"/>
          </w:tcPr>
          <w:p>
            <w:pPr>
              <w:jc w:val="right"/>
              <w:ind w:right="459"/>
              <w:spacing w:after="0"/>
              <w:rPr>
                <w:sz w:val="20"/>
                <w:szCs w:val="20"/>
                <w:color w:val="auto"/>
              </w:rPr>
            </w:pPr>
            <w:r>
              <w:rPr>
                <w:rFonts w:ascii="Arial" w:cs="Arial" w:eastAsia="Arial" w:hAnsi="Arial"/>
                <w:sz w:val="12"/>
                <w:szCs w:val="12"/>
                <w:color w:val="auto"/>
              </w:rPr>
              <w:t>$1,769</w:t>
            </w:r>
          </w:p>
        </w:tc>
      </w:tr>
      <w:tr>
        <w:trPr>
          <w:trHeight w:val="163"/>
        </w:trPr>
        <w:tc>
          <w:tcPr>
            <w:tcW w:w="1200" w:type="dxa"/>
            <w:vAlign w:val="bottom"/>
            <w:gridSpan w:val="2"/>
          </w:tcPr>
          <w:p>
            <w:pPr>
              <w:spacing w:after="0"/>
              <w:rPr>
                <w:sz w:val="20"/>
                <w:szCs w:val="20"/>
                <w:color w:val="auto"/>
              </w:rPr>
            </w:pPr>
            <w:r>
              <w:rPr>
                <w:rFonts w:ascii="Arial" w:cs="Arial" w:eastAsia="Arial" w:hAnsi="Arial"/>
                <w:sz w:val="12"/>
                <w:szCs w:val="12"/>
                <w:color w:val="auto"/>
              </w:rPr>
              <w:t>Oper. Income:  747</w:t>
            </w:r>
          </w:p>
        </w:tc>
        <w:tc>
          <w:tcPr>
            <w:tcW w:w="1140" w:type="dxa"/>
            <w:vAlign w:val="bottom"/>
          </w:tcPr>
          <w:p>
            <w:pPr>
              <w:jc w:val="right"/>
              <w:ind w:right="639"/>
              <w:spacing w:after="0"/>
              <w:rPr>
                <w:sz w:val="20"/>
                <w:szCs w:val="20"/>
                <w:color w:val="auto"/>
              </w:rPr>
            </w:pPr>
            <w:r>
              <w:rPr>
                <w:rFonts w:ascii="Arial" w:cs="Arial" w:eastAsia="Arial" w:hAnsi="Arial"/>
                <w:sz w:val="12"/>
                <w:szCs w:val="12"/>
                <w:color w:val="auto"/>
              </w:rPr>
              <w:t>254</w:t>
            </w:r>
          </w:p>
        </w:tc>
        <w:tc>
          <w:tcPr>
            <w:tcW w:w="1760" w:type="dxa"/>
            <w:vAlign w:val="bottom"/>
            <w:gridSpan w:val="2"/>
          </w:tcPr>
          <w:p>
            <w:pPr>
              <w:ind w:left="580"/>
              <w:spacing w:after="0"/>
              <w:rPr>
                <w:sz w:val="20"/>
                <w:szCs w:val="20"/>
                <w:color w:val="auto"/>
              </w:rPr>
            </w:pPr>
            <w:r>
              <w:rPr>
                <w:rFonts w:ascii="Arial" w:cs="Arial" w:eastAsia="Arial" w:hAnsi="Arial"/>
                <w:sz w:val="12"/>
                <w:szCs w:val="12"/>
                <w:color w:val="auto"/>
              </w:rPr>
              <w:t>Oper. Income:  840</w:t>
            </w:r>
          </w:p>
        </w:tc>
        <w:tc>
          <w:tcPr>
            <w:tcW w:w="1560" w:type="dxa"/>
            <w:vAlign w:val="bottom"/>
          </w:tcPr>
          <w:p>
            <w:pPr>
              <w:jc w:val="right"/>
              <w:ind w:right="1059"/>
              <w:spacing w:after="0"/>
              <w:rPr>
                <w:sz w:val="20"/>
                <w:szCs w:val="20"/>
                <w:color w:val="auto"/>
              </w:rPr>
            </w:pPr>
            <w:r>
              <w:rPr>
                <w:rFonts w:ascii="Arial" w:cs="Arial" w:eastAsia="Arial" w:hAnsi="Arial"/>
                <w:sz w:val="12"/>
                <w:szCs w:val="12"/>
                <w:color w:val="auto"/>
              </w:rPr>
              <w:t>541</w:t>
            </w:r>
          </w:p>
        </w:tc>
        <w:tc>
          <w:tcPr>
            <w:tcW w:w="1400" w:type="dxa"/>
            <w:vAlign w:val="bottom"/>
            <w:gridSpan w:val="2"/>
          </w:tcPr>
          <w:p>
            <w:pPr>
              <w:ind w:left="220"/>
              <w:spacing w:after="0"/>
              <w:rPr>
                <w:sz w:val="20"/>
                <w:szCs w:val="20"/>
                <w:color w:val="auto"/>
              </w:rPr>
            </w:pPr>
            <w:r>
              <w:rPr>
                <w:rFonts w:ascii="Arial" w:cs="Arial" w:eastAsia="Arial" w:hAnsi="Arial"/>
                <w:sz w:val="12"/>
                <w:szCs w:val="12"/>
                <w:color w:val="auto"/>
              </w:rPr>
              <w:t>Oper. Income:  180</w:t>
            </w:r>
          </w:p>
        </w:tc>
        <w:tc>
          <w:tcPr>
            <w:tcW w:w="980" w:type="dxa"/>
            <w:vAlign w:val="bottom"/>
          </w:tcPr>
          <w:p>
            <w:pPr>
              <w:ind w:left="220"/>
              <w:spacing w:after="0"/>
              <w:rPr>
                <w:sz w:val="20"/>
                <w:szCs w:val="20"/>
                <w:color w:val="auto"/>
              </w:rPr>
            </w:pPr>
            <w:r>
              <w:rPr>
                <w:rFonts w:ascii="Arial" w:cs="Arial" w:eastAsia="Arial" w:hAnsi="Arial"/>
                <w:sz w:val="12"/>
                <w:szCs w:val="12"/>
                <w:color w:val="auto"/>
              </w:rPr>
              <w:t>(32)</w:t>
            </w:r>
          </w:p>
        </w:tc>
      </w:tr>
      <w:tr>
        <w:trPr>
          <w:trHeight w:val="152"/>
        </w:trPr>
        <w:tc>
          <w:tcPr>
            <w:tcW w:w="720" w:type="dxa"/>
            <w:vAlign w:val="bottom"/>
          </w:tcPr>
          <w:p>
            <w:pPr>
              <w:spacing w:after="0"/>
              <w:rPr>
                <w:sz w:val="20"/>
                <w:szCs w:val="20"/>
                <w:color w:val="auto"/>
              </w:rPr>
            </w:pPr>
            <w:r>
              <w:rPr>
                <w:rFonts w:ascii="Arial" w:cs="Arial" w:eastAsia="Arial" w:hAnsi="Arial"/>
                <w:sz w:val="12"/>
                <w:szCs w:val="12"/>
                <w:color w:val="auto"/>
                <w:w w:val="99"/>
              </w:rPr>
              <w:t>Oper. Margin</w:t>
            </w:r>
          </w:p>
        </w:tc>
        <w:tc>
          <w:tcPr>
            <w:tcW w:w="480" w:type="dxa"/>
            <w:vAlign w:val="bottom"/>
          </w:tcPr>
          <w:p>
            <w:pPr>
              <w:jc w:val="right"/>
              <w:ind w:right="59"/>
              <w:spacing w:after="0"/>
              <w:rPr>
                <w:sz w:val="20"/>
                <w:szCs w:val="20"/>
                <w:color w:val="auto"/>
              </w:rPr>
            </w:pPr>
            <w:r>
              <w:rPr>
                <w:rFonts w:ascii="Arial" w:cs="Arial" w:eastAsia="Arial" w:hAnsi="Arial"/>
                <w:sz w:val="12"/>
                <w:szCs w:val="12"/>
                <w:color w:val="auto"/>
              </w:rPr>
              <w:t>26%</w:t>
            </w:r>
          </w:p>
        </w:tc>
        <w:tc>
          <w:tcPr>
            <w:tcW w:w="1140" w:type="dxa"/>
            <w:vAlign w:val="bottom"/>
          </w:tcPr>
          <w:p>
            <w:pPr>
              <w:jc w:val="right"/>
              <w:ind w:right="639"/>
              <w:spacing w:after="0"/>
              <w:rPr>
                <w:sz w:val="20"/>
                <w:szCs w:val="20"/>
                <w:color w:val="auto"/>
              </w:rPr>
            </w:pPr>
            <w:r>
              <w:rPr>
                <w:rFonts w:ascii="Arial" w:cs="Arial" w:eastAsia="Arial" w:hAnsi="Arial"/>
                <w:sz w:val="12"/>
                <w:szCs w:val="12"/>
                <w:color w:val="auto"/>
              </w:rPr>
              <w:t>10%</w:t>
            </w:r>
          </w:p>
        </w:tc>
        <w:tc>
          <w:tcPr>
            <w:tcW w:w="1300" w:type="dxa"/>
            <w:vAlign w:val="bottom"/>
          </w:tcPr>
          <w:p>
            <w:pPr>
              <w:ind w:left="580"/>
              <w:spacing w:after="0"/>
              <w:rPr>
                <w:sz w:val="20"/>
                <w:szCs w:val="20"/>
                <w:color w:val="auto"/>
              </w:rPr>
            </w:pPr>
            <w:r>
              <w:rPr>
                <w:rFonts w:ascii="Arial" w:cs="Arial" w:eastAsia="Arial" w:hAnsi="Arial"/>
                <w:sz w:val="12"/>
                <w:szCs w:val="12"/>
                <w:color w:val="auto"/>
                <w:w w:val="99"/>
              </w:rPr>
              <w:t>Oper. Margin</w:t>
            </w:r>
          </w:p>
        </w:tc>
        <w:tc>
          <w:tcPr>
            <w:tcW w:w="460" w:type="dxa"/>
            <w:vAlign w:val="bottom"/>
          </w:tcPr>
          <w:p>
            <w:pPr>
              <w:jc w:val="right"/>
              <w:ind w:right="39"/>
              <w:spacing w:after="0"/>
              <w:rPr>
                <w:sz w:val="20"/>
                <w:szCs w:val="20"/>
                <w:color w:val="auto"/>
              </w:rPr>
            </w:pPr>
            <w:r>
              <w:rPr>
                <w:rFonts w:ascii="Arial" w:cs="Arial" w:eastAsia="Arial" w:hAnsi="Arial"/>
                <w:sz w:val="12"/>
                <w:szCs w:val="12"/>
                <w:color w:val="auto"/>
              </w:rPr>
              <w:t>16%</w:t>
            </w:r>
          </w:p>
        </w:tc>
        <w:tc>
          <w:tcPr>
            <w:tcW w:w="1560" w:type="dxa"/>
            <w:vAlign w:val="bottom"/>
          </w:tcPr>
          <w:p>
            <w:pPr>
              <w:jc w:val="right"/>
              <w:ind w:right="1059"/>
              <w:spacing w:after="0"/>
              <w:rPr>
                <w:sz w:val="20"/>
                <w:szCs w:val="20"/>
                <w:color w:val="auto"/>
              </w:rPr>
            </w:pPr>
            <w:r>
              <w:rPr>
                <w:rFonts w:ascii="Arial" w:cs="Arial" w:eastAsia="Arial" w:hAnsi="Arial"/>
                <w:sz w:val="12"/>
                <w:szCs w:val="12"/>
                <w:color w:val="auto"/>
              </w:rPr>
              <w:t>12%</w:t>
            </w:r>
          </w:p>
        </w:tc>
        <w:tc>
          <w:tcPr>
            <w:tcW w:w="940" w:type="dxa"/>
            <w:vAlign w:val="bottom"/>
          </w:tcPr>
          <w:p>
            <w:pPr>
              <w:ind w:left="220"/>
              <w:spacing w:after="0"/>
              <w:rPr>
                <w:sz w:val="20"/>
                <w:szCs w:val="20"/>
                <w:color w:val="auto"/>
              </w:rPr>
            </w:pPr>
            <w:r>
              <w:rPr>
                <w:rFonts w:ascii="Arial" w:cs="Arial" w:eastAsia="Arial" w:hAnsi="Arial"/>
                <w:sz w:val="12"/>
                <w:szCs w:val="12"/>
                <w:color w:val="auto"/>
                <w:w w:val="99"/>
              </w:rPr>
              <w:t>Oper. Margin</w:t>
            </w:r>
          </w:p>
        </w:tc>
        <w:tc>
          <w:tcPr>
            <w:tcW w:w="460" w:type="dxa"/>
            <w:vAlign w:val="bottom"/>
          </w:tcPr>
          <w:p>
            <w:pPr>
              <w:jc w:val="right"/>
              <w:ind w:right="59"/>
              <w:spacing w:after="0"/>
              <w:rPr>
                <w:sz w:val="20"/>
                <w:szCs w:val="20"/>
                <w:color w:val="auto"/>
              </w:rPr>
            </w:pPr>
            <w:r>
              <w:rPr>
                <w:rFonts w:ascii="Arial" w:cs="Arial" w:eastAsia="Arial" w:hAnsi="Arial"/>
                <w:sz w:val="12"/>
                <w:szCs w:val="12"/>
                <w:color w:val="auto"/>
              </w:rPr>
              <w:t>7%</w:t>
            </w:r>
          </w:p>
        </w:tc>
        <w:tc>
          <w:tcPr>
            <w:tcW w:w="980" w:type="dxa"/>
            <w:vAlign w:val="bottom"/>
          </w:tcPr>
          <w:p>
            <w:pPr>
              <w:ind w:left="220"/>
              <w:spacing w:after="0"/>
              <w:rPr>
                <w:sz w:val="20"/>
                <w:szCs w:val="20"/>
                <w:color w:val="auto"/>
              </w:rPr>
            </w:pPr>
            <w:r>
              <w:rPr>
                <w:rFonts w:ascii="Arial" w:cs="Arial" w:eastAsia="Arial" w:hAnsi="Arial"/>
                <w:sz w:val="12"/>
                <w:szCs w:val="12"/>
                <w:color w:val="auto"/>
              </w:rPr>
              <w:t>NM</w:t>
            </w:r>
          </w:p>
        </w:tc>
      </w:tr>
    </w:tbl>
    <w:p>
      <w:pPr>
        <w:spacing w:after="0" w:line="200" w:lineRule="exact"/>
        <w:rPr>
          <w:sz w:val="20"/>
          <w:szCs w:val="20"/>
          <w:color w:val="auto"/>
        </w:rPr>
      </w:pPr>
    </w:p>
    <w:p>
      <w:pPr>
        <w:sectPr>
          <w:pgSz w:w="11900" w:h="16838" w:orient="portrait"/>
          <w:cols w:equalWidth="0" w:num="1">
            <w:col w:w="9639"/>
          </w:cols>
          <w:pgMar w:left="820" w:top="564" w:right="1440" w:bottom="1440" w:gutter="0" w:footer="0" w:header="0"/>
        </w:sectPr>
      </w:pPr>
    </w:p>
    <w:p>
      <w:pPr>
        <w:spacing w:after="0" w:line="25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Drill Bits</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Motors and Drilling Tools</w:t>
      </w:r>
    </w:p>
    <w:p>
      <w:pPr>
        <w:spacing w:after="0" w:line="4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Reamers and Hole Openers</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Fishing and Casing Existing</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Tubular Drill String Components</w:t>
      </w:r>
    </w:p>
    <w:p>
      <w:pPr>
        <w:spacing w:after="0" w:line="4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Completion and Artificial Lift Products</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LWD, MWD, DD</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Coiled Tubing, CH WL and Perforating</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20"/>
                <w:szCs w:val="20"/>
                <w:color w:val="auto"/>
              </w:rPr>
            </w:pPr>
            <w:r>
              <w:rPr>
                <w:rFonts w:ascii="Arial" w:cs="Arial" w:eastAsia="Arial" w:hAnsi="Arial"/>
                <w:sz w:val="15"/>
                <w:szCs w:val="15"/>
                <w:color w:val="auto"/>
              </w:rPr>
              <w:t>Drilling Fluid Systems and Services</w:t>
            </w:r>
          </w:p>
        </w:tc>
        <w:tc>
          <w:tcPr>
            <w:tcW w:w="2780" w:type="dxa"/>
            <w:vAlign w:val="bottom"/>
            <w:vMerge w:val="restart"/>
          </w:tcPr>
          <w:p>
            <w:pPr>
              <w:ind w:left="180"/>
              <w:spacing w:after="0"/>
              <w:rPr>
                <w:sz w:val="20"/>
                <w:szCs w:val="20"/>
                <w:color w:val="auto"/>
              </w:rPr>
            </w:pPr>
            <w:r>
              <w:rPr>
                <w:rFonts w:ascii="Arial" w:cs="Arial" w:eastAsia="Arial" w:hAnsi="Arial"/>
                <w:sz w:val="15"/>
                <w:szCs w:val="15"/>
                <w:color w:val="auto"/>
              </w:rPr>
              <w:t>Pipe, Valves and Fittings</w:t>
            </w:r>
          </w:p>
        </w:tc>
        <w:tc>
          <w:tcPr>
            <w:tcW w:w="0" w:type="dxa"/>
            <w:vAlign w:val="bottom"/>
          </w:tcPr>
          <w:p>
            <w:pPr>
              <w:spacing w:after="0"/>
              <w:rPr>
                <w:sz w:val="1"/>
                <w:szCs w:val="1"/>
                <w:color w:val="auto"/>
              </w:rPr>
            </w:pPr>
          </w:p>
        </w:tc>
      </w:tr>
      <w:tr>
        <w:trPr>
          <w:trHeight w:val="51"/>
        </w:trPr>
        <w:tc>
          <w:tcPr>
            <w:tcW w:w="2700" w:type="dxa"/>
            <w:vAlign w:val="bottom"/>
            <w:vMerge w:val="restart"/>
          </w:tcPr>
          <w:p>
            <w:pPr>
              <w:spacing w:after="0"/>
              <w:rPr>
                <w:sz w:val="20"/>
                <w:szCs w:val="20"/>
                <w:color w:val="auto"/>
              </w:rPr>
            </w:pPr>
            <w:r>
              <w:rPr>
                <w:rFonts w:ascii="Arial" w:cs="Arial" w:eastAsia="Arial" w:hAnsi="Arial"/>
                <w:sz w:val="15"/>
                <w:szCs w:val="15"/>
                <w:color w:val="auto"/>
              </w:rPr>
              <w:t>Environmental and Process Solutions</w:t>
            </w:r>
          </w:p>
        </w:tc>
        <w:tc>
          <w:tcPr>
            <w:tcW w:w="2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700" w:type="dxa"/>
            <w:vAlign w:val="bottom"/>
            <w:vMerge w:val="continue"/>
          </w:tcPr>
          <w:p>
            <w:pPr>
              <w:spacing w:after="0"/>
              <w:rPr>
                <w:sz w:val="13"/>
                <w:szCs w:val="13"/>
                <w:color w:val="auto"/>
              </w:rPr>
            </w:pPr>
          </w:p>
        </w:tc>
        <w:tc>
          <w:tcPr>
            <w:tcW w:w="2780" w:type="dxa"/>
            <w:vAlign w:val="bottom"/>
            <w:vMerge w:val="restart"/>
          </w:tcPr>
          <w:p>
            <w:pPr>
              <w:ind w:left="180"/>
              <w:spacing w:after="0"/>
              <w:rPr>
                <w:sz w:val="20"/>
                <w:szCs w:val="20"/>
                <w:color w:val="auto"/>
              </w:rPr>
            </w:pPr>
            <w:r>
              <w:rPr>
                <w:rFonts w:ascii="Arial" w:cs="Arial" w:eastAsia="Arial" w:hAnsi="Arial"/>
                <w:sz w:val="15"/>
                <w:szCs w:val="15"/>
                <w:color w:val="auto"/>
              </w:rPr>
              <w:t>Mill, Safety and Maintenance Products</w:t>
            </w:r>
          </w:p>
        </w:tc>
        <w:tc>
          <w:tcPr>
            <w:tcW w:w="0" w:type="dxa"/>
            <w:vAlign w:val="bottom"/>
          </w:tcPr>
          <w:p>
            <w:pPr>
              <w:spacing w:after="0"/>
              <w:rPr>
                <w:sz w:val="1"/>
                <w:szCs w:val="1"/>
                <w:color w:val="auto"/>
              </w:rPr>
            </w:pPr>
          </w:p>
        </w:tc>
      </w:tr>
      <w:tr>
        <w:trPr>
          <w:trHeight w:val="51"/>
        </w:trPr>
        <w:tc>
          <w:tcPr>
            <w:tcW w:w="2700" w:type="dxa"/>
            <w:vAlign w:val="bottom"/>
            <w:vMerge w:val="restart"/>
          </w:tcPr>
          <w:p>
            <w:pPr>
              <w:spacing w:after="0"/>
              <w:rPr>
                <w:sz w:val="20"/>
                <w:szCs w:val="20"/>
                <w:color w:val="auto"/>
              </w:rPr>
            </w:pPr>
            <w:r>
              <w:rPr>
                <w:rFonts w:ascii="Arial" w:cs="Arial" w:eastAsia="Arial" w:hAnsi="Arial"/>
                <w:sz w:val="15"/>
                <w:szCs w:val="15"/>
                <w:color w:val="auto"/>
              </w:rPr>
              <w:t>Completion Fluids</w:t>
            </w:r>
          </w:p>
        </w:tc>
        <w:tc>
          <w:tcPr>
            <w:tcW w:w="2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700" w:type="dxa"/>
            <w:vAlign w:val="bottom"/>
            <w:vMerge w:val="continue"/>
          </w:tcPr>
          <w:p>
            <w:pPr>
              <w:spacing w:after="0"/>
              <w:rPr>
                <w:sz w:val="13"/>
                <w:szCs w:val="13"/>
                <w:color w:val="auto"/>
              </w:rPr>
            </w:pPr>
          </w:p>
        </w:tc>
        <w:tc>
          <w:tcPr>
            <w:tcW w:w="2780" w:type="dxa"/>
            <w:vAlign w:val="bottom"/>
            <w:vMerge w:val="restart"/>
          </w:tcPr>
          <w:p>
            <w:pPr>
              <w:ind w:left="180"/>
              <w:spacing w:after="0"/>
              <w:rPr>
                <w:sz w:val="20"/>
                <w:szCs w:val="20"/>
                <w:color w:val="auto"/>
              </w:rPr>
            </w:pPr>
            <w:r>
              <w:rPr>
                <w:rFonts w:ascii="Arial" w:cs="Arial" w:eastAsia="Arial" w:hAnsi="Arial"/>
                <w:sz w:val="15"/>
                <w:szCs w:val="15"/>
                <w:color w:val="auto"/>
              </w:rPr>
              <w:t>Supply Chain Services</w:t>
            </w:r>
          </w:p>
        </w:tc>
        <w:tc>
          <w:tcPr>
            <w:tcW w:w="0" w:type="dxa"/>
            <w:vAlign w:val="bottom"/>
          </w:tcPr>
          <w:p>
            <w:pPr>
              <w:spacing w:after="0"/>
              <w:rPr>
                <w:sz w:val="1"/>
                <w:szCs w:val="1"/>
                <w:color w:val="auto"/>
              </w:rPr>
            </w:pPr>
          </w:p>
        </w:tc>
      </w:tr>
      <w:tr>
        <w:trPr>
          <w:trHeight w:val="61"/>
        </w:trPr>
        <w:tc>
          <w:tcPr>
            <w:tcW w:w="2700" w:type="dxa"/>
            <w:vAlign w:val="bottom"/>
            <w:vMerge w:val="restart"/>
          </w:tcPr>
          <w:p>
            <w:pPr>
              <w:spacing w:after="0"/>
              <w:rPr>
                <w:sz w:val="20"/>
                <w:szCs w:val="20"/>
                <w:color w:val="auto"/>
              </w:rPr>
            </w:pPr>
            <w:r>
              <w:rPr>
                <w:rFonts w:ascii="Arial" w:cs="Arial" w:eastAsia="Arial" w:hAnsi="Arial"/>
                <w:sz w:val="15"/>
                <w:szCs w:val="15"/>
                <w:color w:val="auto"/>
              </w:rPr>
              <w:t>Production Chemicals</w:t>
            </w:r>
          </w:p>
        </w:tc>
        <w:tc>
          <w:tcPr>
            <w:tcW w:w="2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2700" w:type="dxa"/>
            <w:vAlign w:val="bottom"/>
            <w:vMerge w:val="continue"/>
          </w:tcPr>
          <w:p>
            <w:pPr>
              <w:spacing w:after="0"/>
              <w:rPr>
                <w:sz w:val="13"/>
                <w:szCs w:val="13"/>
                <w:color w:val="auto"/>
              </w:rPr>
            </w:pPr>
          </w:p>
        </w:tc>
        <w:tc>
          <w:tcPr>
            <w:tcW w:w="2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2">
            <w:col w:w="2960" w:space="340"/>
            <w:col w:w="6339"/>
          </w:cols>
          <w:pgMar w:left="820" w:top="564"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43"/>
          <w:szCs w:val="43"/>
          <w:b w:val="1"/>
          <w:bCs w:val="1"/>
          <w:color w:val="FFFFFF"/>
        </w:rPr>
        <w:drawing>
          <wp:anchor simplePos="0" relativeHeight="251657728" behindDoc="1" locked="0" layoutInCell="0" allowOverlap="1">
            <wp:simplePos x="0" y="0"/>
            <wp:positionH relativeFrom="page">
              <wp:posOffset>127635</wp:posOffset>
            </wp:positionH>
            <wp:positionV relativeFrom="page">
              <wp:posOffset>88900</wp:posOffset>
            </wp:positionV>
            <wp:extent cx="7319010" cy="4789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9010" cy="4789170"/>
                    </a:xfrm>
                    <a:prstGeom prst="rect">
                      <a:avLst/>
                    </a:prstGeom>
                    <a:noFill/>
                  </pic:spPr>
                </pic:pic>
              </a:graphicData>
            </a:graphic>
          </wp:anchor>
        </w:drawing>
        <w:t>Drilling Services Gap Analysis</w:t>
      </w:r>
    </w:p>
    <w:p>
      <w:pPr>
        <w:sectPr>
          <w:pgSz w:w="11900" w:h="16838" w:orient="portrait"/>
          <w:cols w:equalWidth="0" w:num="1">
            <w:col w:w="9639"/>
          </w:cols>
          <w:pgMar w:left="820" w:top="5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Majority JV with SLB</w:t>
      </w:r>
    </w:p>
    <w:p>
      <w:pPr>
        <w:spacing w:after="0" w:line="137"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Minority SLB JV interest</w:t>
      </w:r>
    </w:p>
    <w:p>
      <w:pPr>
        <w:sectPr>
          <w:pgSz w:w="11900" w:h="16838" w:orient="portrait"/>
          <w:cols w:equalWidth="0" w:num="1">
            <w:col w:w="9639"/>
          </w:cols>
          <w:pgMar w:left="820" w:top="564"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127635</wp:posOffset>
            </wp:positionH>
            <wp:positionV relativeFrom="page">
              <wp:posOffset>88900</wp:posOffset>
            </wp:positionV>
            <wp:extent cx="7319010" cy="4789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9010" cy="4789170"/>
                    </a:xfrm>
                    <a:prstGeom prst="rect">
                      <a:avLst/>
                    </a:prstGeom>
                    <a:noFill/>
                  </pic:spPr>
                </pic:pic>
              </a:graphicData>
            </a:graphic>
          </wp:anchor>
        </w:drawing>
        <w:t>Drilling Services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860"/>
        <w:spacing w:after="0"/>
        <w:rPr>
          <w:sz w:val="20"/>
          <w:szCs w:val="20"/>
          <w:color w:val="auto"/>
        </w:rPr>
      </w:pPr>
      <w:r>
        <w:rPr>
          <w:rFonts w:ascii="Arial" w:cs="Arial" w:eastAsia="Arial" w:hAnsi="Arial"/>
          <w:sz w:val="13"/>
          <w:szCs w:val="13"/>
          <w:b w:val="1"/>
          <w:bCs w:val="1"/>
          <w:color w:val="FFFFFF"/>
        </w:rPr>
        <w:t>Surface</w:t>
      </w:r>
    </w:p>
    <w:p>
      <w:pPr>
        <w:spacing w:after="0" w:line="24" w:lineRule="exact"/>
        <w:rPr>
          <w:sz w:val="20"/>
          <w:szCs w:val="20"/>
          <w:color w:val="auto"/>
        </w:rPr>
      </w:pPr>
    </w:p>
    <w:p>
      <w:pPr>
        <w:jc w:val="right"/>
        <w:ind w:right="959"/>
        <w:spacing w:after="0"/>
        <w:rPr>
          <w:sz w:val="20"/>
          <w:szCs w:val="20"/>
          <w:color w:val="auto"/>
        </w:rPr>
      </w:pPr>
      <w:r>
        <w:rPr>
          <w:rFonts w:ascii="Arial" w:cs="Arial" w:eastAsia="Arial" w:hAnsi="Arial"/>
          <w:sz w:val="13"/>
          <w:szCs w:val="13"/>
          <w:b w:val="1"/>
          <w:bCs w:val="1"/>
          <w:color w:val="FFFFFF"/>
        </w:rPr>
        <w:t>Control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Arial" w:cs="Arial" w:eastAsia="Arial" w:hAnsi="Arial"/>
          <w:sz w:val="21"/>
          <w:szCs w:val="21"/>
          <w:color w:val="auto"/>
        </w:rPr>
        <w:t>Complementary Services</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9"/>
          <w:szCs w:val="19"/>
          <w:color w:val="auto"/>
        </w:rPr>
        <w:t>–  Integrated fluid engineering and environmental solutions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  IDEAS/i-Drill BHA modeling software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  Fishing services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  Window cutting and exiting services (Trackmaster)</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  Inspection and machine shop services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  Rotating drilling heads—pressure containment</w:t>
      </w:r>
    </w:p>
    <w:p>
      <w:pPr>
        <w:sectPr>
          <w:pgSz w:w="11900" w:h="16838" w:orient="portrait"/>
          <w:cols w:equalWidth="0" w:num="1">
            <w:col w:w="9639"/>
          </w:cols>
          <w:pgMar w:left="820" w:top="564" w:right="1440" w:bottom="1440" w:gutter="0" w:footer="0" w:header="0"/>
        </w:sectPr>
      </w:pPr>
    </w:p>
    <w:bookmarkStart w:id="6" w:name="page7"/>
    <w:bookmarkEnd w:id="6"/>
    <w:p>
      <w:pPr>
        <w:spacing w:after="0"/>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127635</wp:posOffset>
            </wp:positionH>
            <wp:positionV relativeFrom="page">
              <wp:posOffset>88900</wp:posOffset>
            </wp:positionV>
            <wp:extent cx="7319010" cy="47891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9010" cy="4789170"/>
                    </a:xfrm>
                    <a:prstGeom prst="rect">
                      <a:avLst/>
                    </a:prstGeom>
                    <a:noFill/>
                  </pic:spPr>
                </pic:pic>
              </a:graphicData>
            </a:graphic>
          </wp:anchor>
        </w:drawing>
        <w:t>Merger Rationale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
        <w:spacing w:after="0"/>
        <w:rPr>
          <w:sz w:val="20"/>
          <w:szCs w:val="20"/>
          <w:color w:val="auto"/>
        </w:rPr>
      </w:pPr>
      <w:r>
        <w:rPr>
          <w:rFonts w:ascii="Arial" w:cs="Arial" w:eastAsia="Arial" w:hAnsi="Arial"/>
          <w:sz w:val="21"/>
          <w:szCs w:val="21"/>
          <w:color w:val="auto"/>
        </w:rPr>
        <w:t>Enable SLB to provide a fully optimized drilling services offering:</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Next generation of BHA offering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Industry leading bit/drillstringsoftware modeling</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In-house drilling bit/motor/turbine engineering and manufacturing</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surface control mechanisms for automation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Higher temperature MWD/LWD capabilities (175 degC)</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21"/>
          <w:szCs w:val="21"/>
          <w:color w:val="auto"/>
        </w:rPr>
        <w:t>BroadenSLBportfolio—re-entry drilling process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21"/>
          <w:szCs w:val="21"/>
          <w:color w:val="auto"/>
        </w:rPr>
        <w:t>Enable SLB to add to completions offerings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21"/>
          <w:szCs w:val="21"/>
          <w:color w:val="auto"/>
        </w:rPr>
        <w:t>Smith manufacturing and distribution channels</w:t>
      </w:r>
    </w:p>
    <w:p>
      <w:pPr>
        <w:spacing w:after="0" w:line="41" w:lineRule="exact"/>
        <w:rPr>
          <w:sz w:val="20"/>
          <w:szCs w:val="20"/>
          <w:color w:val="auto"/>
        </w:rPr>
      </w:pPr>
    </w:p>
    <w:p>
      <w:pPr>
        <w:ind w:left="200"/>
        <w:spacing w:after="0"/>
        <w:tabs>
          <w:tab w:leader="none" w:pos="440" w:val="left"/>
        </w:tabs>
        <w:rPr>
          <w:sz w:val="20"/>
          <w:szCs w:val="20"/>
          <w:color w:val="auto"/>
        </w:rPr>
      </w:pPr>
      <w:r>
        <w:rPr>
          <w:rFonts w:ascii="Arial" w:cs="Arial" w:eastAsia="Arial" w:hAnsi="Arial"/>
          <w:sz w:val="19"/>
          <w:szCs w:val="19"/>
          <w:color w:val="auto"/>
        </w:rPr>
        <w:t>–</w:t>
        <w:tab/>
        <w:t>Vehicle for high volume business</w:t>
      </w:r>
    </w:p>
    <w:p>
      <w:pPr>
        <w:sectPr>
          <w:pgSz w:w="11900" w:h="16838" w:orient="portrait"/>
          <w:cols w:equalWidth="0" w:num="1">
            <w:col w:w="9639"/>
          </w:cols>
          <w:pgMar w:left="820" w:top="564" w:right="1440" w:bottom="1440" w:gutter="0" w:footer="0" w:header="0"/>
        </w:sectPr>
      </w:pPr>
    </w:p>
    <w:bookmarkStart w:id="7" w:name="page8"/>
    <w:bookmarkEnd w:id="7"/>
    <w:p>
      <w:pPr>
        <w:spacing w:after="0"/>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127635</wp:posOffset>
            </wp:positionH>
            <wp:positionV relativeFrom="page">
              <wp:posOffset>88900</wp:posOffset>
            </wp:positionV>
            <wp:extent cx="7319010" cy="4789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9010" cy="4789170"/>
                    </a:xfrm>
                    <a:prstGeom prst="rect">
                      <a:avLst/>
                    </a:prstGeom>
                    <a:noFill/>
                  </pic:spPr>
                </pic:pic>
              </a:graphicData>
            </a:graphic>
          </wp:anchor>
        </w:drawing>
        <w:t>MergerRationale</w:t>
      </w:r>
      <w:r>
        <w:rPr>
          <w:rFonts w:ascii="Arial" w:cs="Arial" w:eastAsia="Arial" w:hAnsi="Arial"/>
          <w:sz w:val="37"/>
          <w:szCs w:val="37"/>
          <w:b w:val="1"/>
          <w:bCs w:val="1"/>
          <w:color w:val="FFFFFF"/>
        </w:rPr>
        <w:t>(Continued)</w:t>
      </w: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21"/>
          <w:szCs w:val="21"/>
          <w:color w:val="auto"/>
        </w:rPr>
        <w:t>Optimize interaction between MI-Swaco and SLB segments</w:t>
      </w:r>
    </w:p>
    <w:p>
      <w:pPr>
        <w:spacing w:after="0" w:line="41"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9"/>
          <w:szCs w:val="19"/>
          <w:color w:val="auto"/>
        </w:rPr>
        <w:t>–</w:t>
        <w:tab/>
        <w:t>Drilling Solutions—D&amp;M, IPM</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Integrated fluid engineering and RT hydraulics control (particularly for DW and HT)</w:t>
      </w:r>
    </w:p>
    <w:p>
      <w:pPr>
        <w:spacing w:after="0" w:line="4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Managed pressuredrilling</w:t>
      </w:r>
    </w:p>
    <w:p>
      <w:pPr>
        <w:spacing w:after="0" w:line="4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Wellbore stability and well strengthening solutions</w:t>
      </w:r>
    </w:p>
    <w:p>
      <w:pPr>
        <w:spacing w:after="0" w:line="4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Loss circulation management while drilling solutions</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Downhole system reliability—reduced blockage, abrasivity and chemical damage</w:t>
      </w:r>
    </w:p>
    <w:p>
      <w:pPr>
        <w:spacing w:after="0" w:line="53"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9"/>
          <w:szCs w:val="19"/>
          <w:color w:val="auto"/>
        </w:rPr>
        <w:t>–</w:t>
        <w:tab/>
        <w:t>Zonal Isolation—Well Services</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More efficient cement operations</w:t>
      </w:r>
    </w:p>
    <w:p>
      <w:pPr>
        <w:spacing w:after="0" w:line="4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Improved logistics/supply chain for chemicals and bulk products</w:t>
      </w:r>
    </w:p>
    <w:p>
      <w:pPr>
        <w:spacing w:after="0" w:line="53"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9"/>
          <w:szCs w:val="19"/>
          <w:color w:val="auto"/>
        </w:rPr>
        <w:t>–</w:t>
        <w:tab/>
        <w:t>Production Technologies—Well Services and Completions</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Uniquecompletion and stimulation solutions</w:t>
      </w:r>
    </w:p>
    <w:p>
      <w:pPr>
        <w:spacing w:after="0" w:line="4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Shale gas environmental solutions—water management</w:t>
      </w:r>
    </w:p>
    <w:p>
      <w:pPr>
        <w:spacing w:after="0" w:line="43"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9"/>
          <w:szCs w:val="19"/>
          <w:color w:val="auto"/>
        </w:rPr>
        <w:t>–</w:t>
        <w:tab/>
        <w:t>Water Services</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Environmentalsolutions</w:t>
      </w:r>
    </w:p>
    <w:p>
      <w:pPr>
        <w:sectPr>
          <w:pgSz w:w="11900" w:h="16838" w:orient="portrait"/>
          <w:cols w:equalWidth="0" w:num="1">
            <w:col w:w="9639"/>
          </w:cols>
          <w:pgMar w:left="820" w:top="564" w:right="1440" w:bottom="1440" w:gutter="0" w:footer="0" w:header="0"/>
        </w:sectPr>
      </w:pPr>
    </w:p>
    <w:bookmarkStart w:id="8" w:name="page9"/>
    <w:bookmarkEnd w:id="8"/>
    <w:p>
      <w:pPr>
        <w:spacing w:after="0"/>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127635</wp:posOffset>
            </wp:positionH>
            <wp:positionV relativeFrom="page">
              <wp:posOffset>88900</wp:posOffset>
            </wp:positionV>
            <wp:extent cx="7319010" cy="4789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9010" cy="4789170"/>
                    </a:xfrm>
                    <a:prstGeom prst="rect">
                      <a:avLst/>
                    </a:prstGeom>
                    <a:noFill/>
                  </pic:spPr>
                </pic:pic>
              </a:graphicData>
            </a:graphic>
          </wp:anchor>
        </w:drawing>
        <w:t>Synergy Realization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0" w:hanging="479"/>
        <w:spacing w:after="0"/>
        <w:tabs>
          <w:tab w:leader="none" w:pos="480" w:val="left"/>
        </w:tabs>
        <w:numPr>
          <w:ilvl w:val="0"/>
          <w:numId w:val="3"/>
        </w:numPr>
        <w:rPr>
          <w:rFonts w:ascii="Arial" w:cs="Arial" w:eastAsia="Arial" w:hAnsi="Arial"/>
          <w:sz w:val="21"/>
          <w:szCs w:val="21"/>
          <w:b w:val="1"/>
          <w:bCs w:val="1"/>
          <w:color w:val="000066"/>
        </w:rPr>
      </w:pPr>
      <w:r>
        <w:rPr>
          <w:rFonts w:ascii="Arial" w:cs="Arial" w:eastAsia="Arial" w:hAnsi="Arial"/>
          <w:sz w:val="21"/>
          <w:szCs w:val="21"/>
          <w:b w:val="1"/>
          <w:bCs w:val="1"/>
          <w:color w:val="000066"/>
        </w:rPr>
        <w:t>Create a drilling group to integrate our drilling services offering</w:t>
      </w:r>
    </w:p>
    <w:p>
      <w:pPr>
        <w:spacing w:after="0" w:line="36" w:lineRule="exact"/>
        <w:rPr>
          <w:rFonts w:ascii="Arial" w:cs="Arial" w:eastAsia="Arial" w:hAnsi="Arial"/>
          <w:sz w:val="21"/>
          <w:szCs w:val="21"/>
          <w:b w:val="1"/>
          <w:bCs w:val="1"/>
          <w:color w:val="000066"/>
        </w:rPr>
      </w:pPr>
    </w:p>
    <w:p>
      <w:pPr>
        <w:ind w:left="200"/>
        <w:spacing w:after="0"/>
        <w:rPr>
          <w:rFonts w:ascii="Arial" w:cs="Arial" w:eastAsia="Arial" w:hAnsi="Arial"/>
          <w:sz w:val="21"/>
          <w:szCs w:val="21"/>
          <w:b w:val="1"/>
          <w:bCs w:val="1"/>
          <w:color w:val="000066"/>
        </w:rPr>
      </w:pPr>
      <w:r>
        <w:rPr>
          <w:rFonts w:ascii="Arial" w:cs="Arial" w:eastAsia="Arial" w:hAnsi="Arial"/>
          <w:sz w:val="19"/>
          <w:szCs w:val="19"/>
          <w:color w:val="auto"/>
        </w:rPr>
        <w:t>–  Improved drilling performance—integrated BHA design and fluid engineering</w:t>
      </w:r>
    </w:p>
    <w:p>
      <w:pPr>
        <w:spacing w:after="0" w:line="15" w:lineRule="exact"/>
        <w:rPr>
          <w:rFonts w:ascii="Arial" w:cs="Arial" w:eastAsia="Arial" w:hAnsi="Arial"/>
          <w:sz w:val="21"/>
          <w:szCs w:val="21"/>
          <w:b w:val="1"/>
          <w:bCs w:val="1"/>
          <w:color w:val="000066"/>
        </w:rPr>
      </w:pPr>
    </w:p>
    <w:p>
      <w:pPr>
        <w:ind w:left="200"/>
        <w:spacing w:after="0"/>
        <w:rPr>
          <w:rFonts w:ascii="Arial" w:cs="Arial" w:eastAsia="Arial" w:hAnsi="Arial"/>
          <w:sz w:val="21"/>
          <w:szCs w:val="21"/>
          <w:b w:val="1"/>
          <w:bCs w:val="1"/>
          <w:color w:val="000066"/>
        </w:rPr>
      </w:pPr>
      <w:r>
        <w:rPr>
          <w:rFonts w:ascii="Arial" w:cs="Arial" w:eastAsia="Arial" w:hAnsi="Arial"/>
          <w:sz w:val="19"/>
          <w:szCs w:val="19"/>
          <w:color w:val="auto"/>
        </w:rPr>
        <w:t>–  Increased operational efficiency—new motor (Dyna-Drill) and turbine designs (Neyrfor)</w:t>
      </w:r>
    </w:p>
    <w:p>
      <w:pPr>
        <w:spacing w:after="0" w:line="25" w:lineRule="exact"/>
        <w:rPr>
          <w:rFonts w:ascii="Arial" w:cs="Arial" w:eastAsia="Arial" w:hAnsi="Arial"/>
          <w:sz w:val="21"/>
          <w:szCs w:val="21"/>
          <w:b w:val="1"/>
          <w:bCs w:val="1"/>
          <w:color w:val="000066"/>
        </w:rPr>
      </w:pPr>
    </w:p>
    <w:p>
      <w:pPr>
        <w:ind w:left="200"/>
        <w:spacing w:after="0"/>
        <w:rPr>
          <w:rFonts w:ascii="Arial" w:cs="Arial" w:eastAsia="Arial" w:hAnsi="Arial"/>
          <w:sz w:val="21"/>
          <w:szCs w:val="21"/>
          <w:b w:val="1"/>
          <w:bCs w:val="1"/>
          <w:color w:val="000066"/>
        </w:rPr>
      </w:pPr>
      <w:r>
        <w:rPr>
          <w:rFonts w:ascii="Arial" w:cs="Arial" w:eastAsia="Arial" w:hAnsi="Arial"/>
          <w:sz w:val="19"/>
          <w:szCs w:val="19"/>
          <w:color w:val="auto"/>
        </w:rPr>
        <w:t>–  Rotary Steerable Services integration with the bit, plus instrumented bits development</w:t>
      </w:r>
    </w:p>
    <w:p>
      <w:pPr>
        <w:spacing w:after="0" w:line="15" w:lineRule="exact"/>
        <w:rPr>
          <w:rFonts w:ascii="Arial" w:cs="Arial" w:eastAsia="Arial" w:hAnsi="Arial"/>
          <w:sz w:val="21"/>
          <w:szCs w:val="21"/>
          <w:b w:val="1"/>
          <w:bCs w:val="1"/>
          <w:color w:val="000066"/>
        </w:rPr>
      </w:pPr>
    </w:p>
    <w:p>
      <w:pPr>
        <w:ind w:left="200"/>
        <w:spacing w:after="0"/>
        <w:rPr>
          <w:rFonts w:ascii="Arial" w:cs="Arial" w:eastAsia="Arial" w:hAnsi="Arial"/>
          <w:sz w:val="21"/>
          <w:szCs w:val="21"/>
          <w:b w:val="1"/>
          <w:bCs w:val="1"/>
          <w:color w:val="000066"/>
        </w:rPr>
      </w:pPr>
      <w:r>
        <w:rPr>
          <w:rFonts w:ascii="Arial" w:cs="Arial" w:eastAsia="Arial" w:hAnsi="Arial"/>
          <w:sz w:val="19"/>
          <w:szCs w:val="19"/>
          <w:color w:val="auto"/>
        </w:rPr>
        <w:t>–  Bits, reamers and drilling tools on D&amp;M and IPM projects, plus new business</w:t>
      </w:r>
    </w:p>
    <w:p>
      <w:pPr>
        <w:spacing w:after="0" w:line="25" w:lineRule="exact"/>
        <w:rPr>
          <w:rFonts w:ascii="Arial" w:cs="Arial" w:eastAsia="Arial" w:hAnsi="Arial"/>
          <w:sz w:val="21"/>
          <w:szCs w:val="21"/>
          <w:b w:val="1"/>
          <w:bCs w:val="1"/>
          <w:color w:val="000066"/>
        </w:rPr>
      </w:pPr>
    </w:p>
    <w:p>
      <w:pPr>
        <w:ind w:left="200"/>
        <w:spacing w:after="0"/>
        <w:rPr>
          <w:rFonts w:ascii="Arial" w:cs="Arial" w:eastAsia="Arial" w:hAnsi="Arial"/>
          <w:sz w:val="21"/>
          <w:szCs w:val="21"/>
          <w:b w:val="1"/>
          <w:bCs w:val="1"/>
          <w:color w:val="000066"/>
        </w:rPr>
      </w:pPr>
      <w:r>
        <w:rPr>
          <w:rFonts w:ascii="Arial" w:cs="Arial" w:eastAsia="Arial" w:hAnsi="Arial"/>
          <w:sz w:val="19"/>
          <w:szCs w:val="19"/>
          <w:color w:val="auto"/>
        </w:rPr>
        <w:t>–  Increase SLB exposure to vertical drilling—combined bit, PowerV* vertical drilling system and motors</w:t>
      </w:r>
    </w:p>
    <w:p>
      <w:pPr>
        <w:spacing w:after="0" w:line="15" w:lineRule="exact"/>
        <w:rPr>
          <w:rFonts w:ascii="Arial" w:cs="Arial" w:eastAsia="Arial" w:hAnsi="Arial"/>
          <w:sz w:val="21"/>
          <w:szCs w:val="21"/>
          <w:b w:val="1"/>
          <w:bCs w:val="1"/>
          <w:color w:val="000066"/>
        </w:rPr>
      </w:pPr>
    </w:p>
    <w:p>
      <w:pPr>
        <w:ind w:left="200"/>
        <w:spacing w:after="0"/>
        <w:rPr>
          <w:rFonts w:ascii="Arial" w:cs="Arial" w:eastAsia="Arial" w:hAnsi="Arial"/>
          <w:sz w:val="21"/>
          <w:szCs w:val="21"/>
          <w:b w:val="1"/>
          <w:bCs w:val="1"/>
          <w:color w:val="000066"/>
        </w:rPr>
      </w:pPr>
      <w:r>
        <w:rPr>
          <w:rFonts w:ascii="Arial" w:cs="Arial" w:eastAsia="Arial" w:hAnsi="Arial"/>
          <w:sz w:val="19"/>
          <w:szCs w:val="19"/>
          <w:color w:val="auto"/>
        </w:rPr>
        <w:t>–  Comprehensivebrownfieldreentrydrillingpackage—fishing,exitingservices</w:t>
      </w:r>
    </w:p>
    <w:p>
      <w:pPr>
        <w:spacing w:after="0" w:line="25" w:lineRule="exact"/>
        <w:rPr>
          <w:rFonts w:ascii="Arial" w:cs="Arial" w:eastAsia="Arial" w:hAnsi="Arial"/>
          <w:sz w:val="21"/>
          <w:szCs w:val="21"/>
          <w:b w:val="1"/>
          <w:bCs w:val="1"/>
          <w:color w:val="000066"/>
        </w:rPr>
      </w:pPr>
    </w:p>
    <w:p>
      <w:pPr>
        <w:ind w:left="200"/>
        <w:spacing w:after="0"/>
        <w:rPr>
          <w:rFonts w:ascii="Arial" w:cs="Arial" w:eastAsia="Arial" w:hAnsi="Arial"/>
          <w:sz w:val="21"/>
          <w:szCs w:val="21"/>
          <w:b w:val="1"/>
          <w:bCs w:val="1"/>
          <w:color w:val="000066"/>
        </w:rPr>
      </w:pPr>
      <w:r>
        <w:rPr>
          <w:rFonts w:ascii="Arial" w:cs="Arial" w:eastAsia="Arial" w:hAnsi="Arial"/>
          <w:sz w:val="19"/>
          <w:szCs w:val="19"/>
          <w:color w:val="auto"/>
        </w:rPr>
        <w:t>–  PathFinderHT and mid tier LWD/MWD—expand footprint, access to new customers</w:t>
      </w:r>
    </w:p>
    <w:p>
      <w:pPr>
        <w:spacing w:after="0" w:line="15" w:lineRule="exact"/>
        <w:rPr>
          <w:rFonts w:ascii="Arial" w:cs="Arial" w:eastAsia="Arial" w:hAnsi="Arial"/>
          <w:sz w:val="21"/>
          <w:szCs w:val="21"/>
          <w:b w:val="1"/>
          <w:bCs w:val="1"/>
          <w:color w:val="000066"/>
        </w:rPr>
      </w:pPr>
    </w:p>
    <w:p>
      <w:pPr>
        <w:ind w:left="200"/>
        <w:spacing w:after="0"/>
        <w:rPr>
          <w:rFonts w:ascii="Arial" w:cs="Arial" w:eastAsia="Arial" w:hAnsi="Arial"/>
          <w:sz w:val="21"/>
          <w:szCs w:val="21"/>
          <w:b w:val="1"/>
          <w:bCs w:val="1"/>
          <w:color w:val="000066"/>
        </w:rPr>
      </w:pPr>
      <w:r>
        <w:rPr>
          <w:rFonts w:ascii="Arial" w:cs="Arial" w:eastAsia="Arial" w:hAnsi="Arial"/>
          <w:sz w:val="19"/>
          <w:szCs w:val="19"/>
          <w:color w:val="auto"/>
        </w:rPr>
        <w:t>–  Smith manufacturing and distribution channels—vehicle for high volume business</w:t>
      </w:r>
    </w:p>
    <w:p>
      <w:pPr>
        <w:sectPr>
          <w:pgSz w:w="11900" w:h="16838" w:orient="portrait"/>
          <w:cols w:equalWidth="0" w:num="1">
            <w:col w:w="9639"/>
          </w:cols>
          <w:pgMar w:left="820" w:top="564" w:right="1440" w:bottom="1440" w:gutter="0" w:footer="0" w:header="0"/>
        </w:sectPr>
      </w:pPr>
    </w:p>
    <w:bookmarkStart w:id="9" w:name="page10"/>
    <w:bookmarkEnd w:id="9"/>
    <w:p>
      <w:pPr>
        <w:spacing w:after="0"/>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127635</wp:posOffset>
            </wp:positionH>
            <wp:positionV relativeFrom="page">
              <wp:posOffset>88900</wp:posOffset>
            </wp:positionV>
            <wp:extent cx="7319010" cy="4789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9010" cy="4789170"/>
                    </a:xfrm>
                    <a:prstGeom prst="rect">
                      <a:avLst/>
                    </a:prstGeom>
                    <a:noFill/>
                  </pic:spPr>
                </pic:pic>
              </a:graphicData>
            </a:graphic>
          </wp:anchor>
        </w:drawing>
        <w:t>SynergyRealization</w:t>
      </w:r>
      <w:r>
        <w:rPr>
          <w:rFonts w:ascii="Arial" w:cs="Arial" w:eastAsia="Arial" w:hAnsi="Arial"/>
          <w:sz w:val="37"/>
          <w:szCs w:val="37"/>
          <w:b w:val="1"/>
          <w:bCs w:val="1"/>
          <w:color w:val="FFFFFF"/>
        </w:rPr>
        <w:t>(Continued)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59"/>
        <w:spacing w:after="0"/>
        <w:tabs>
          <w:tab w:leader="none" w:pos="360" w:val="left"/>
        </w:tabs>
        <w:numPr>
          <w:ilvl w:val="0"/>
          <w:numId w:val="4"/>
        </w:numPr>
        <w:rPr>
          <w:rFonts w:ascii="Arial" w:cs="Arial" w:eastAsia="Arial" w:hAnsi="Arial"/>
          <w:sz w:val="21"/>
          <w:szCs w:val="21"/>
          <w:b w:val="1"/>
          <w:bCs w:val="1"/>
          <w:color w:val="000066"/>
        </w:rPr>
      </w:pPr>
      <w:r>
        <w:rPr>
          <w:rFonts w:ascii="Arial" w:cs="Arial" w:eastAsia="Arial" w:hAnsi="Arial"/>
          <w:sz w:val="21"/>
          <w:szCs w:val="21"/>
          <w:b w:val="1"/>
          <w:bCs w:val="1"/>
          <w:color w:val="000066"/>
        </w:rPr>
        <w:t>OptimizeinteractionbetweenMI-SwacoandSLBsegments</w:t>
      </w:r>
    </w:p>
    <w:p>
      <w:pPr>
        <w:spacing w:after="0" w:line="16" w:lineRule="exact"/>
        <w:rPr>
          <w:rFonts w:ascii="Arial" w:cs="Arial" w:eastAsia="Arial" w:hAnsi="Arial"/>
          <w:sz w:val="21"/>
          <w:szCs w:val="21"/>
          <w:b w:val="1"/>
          <w:bCs w:val="1"/>
          <w:color w:val="000066"/>
        </w:rPr>
      </w:pPr>
    </w:p>
    <w:p>
      <w:pPr>
        <w:ind w:left="200"/>
        <w:spacing w:after="0"/>
        <w:rPr>
          <w:rFonts w:ascii="Arial" w:cs="Arial" w:eastAsia="Arial" w:hAnsi="Arial"/>
          <w:sz w:val="21"/>
          <w:szCs w:val="21"/>
          <w:b w:val="1"/>
          <w:bCs w:val="1"/>
          <w:color w:val="000066"/>
        </w:rPr>
      </w:pPr>
      <w:r>
        <w:rPr>
          <w:rFonts w:ascii="Arial" w:cs="Arial" w:eastAsia="Arial" w:hAnsi="Arial"/>
          <w:sz w:val="19"/>
          <w:szCs w:val="19"/>
          <w:color w:val="auto"/>
        </w:rPr>
        <w:t>–  Drilling Solutions—D&amp;M, IPM</w:t>
      </w:r>
    </w:p>
    <w:p>
      <w:pPr>
        <w:spacing w:after="0" w:line="2" w:lineRule="exact"/>
        <w:rPr>
          <w:rFonts w:ascii="Arial" w:cs="Arial" w:eastAsia="Arial" w:hAnsi="Arial"/>
          <w:sz w:val="21"/>
          <w:szCs w:val="21"/>
          <w:b w:val="1"/>
          <w:bCs w:val="1"/>
          <w:color w:val="000066"/>
        </w:rPr>
      </w:pPr>
    </w:p>
    <w:p>
      <w:pPr>
        <w:ind w:left="440"/>
        <w:spacing w:after="0" w:line="238" w:lineRule="auto"/>
        <w:rPr>
          <w:rFonts w:ascii="Arial" w:cs="Arial" w:eastAsia="Arial" w:hAnsi="Arial"/>
          <w:sz w:val="21"/>
          <w:szCs w:val="21"/>
          <w:b w:val="1"/>
          <w:bCs w:val="1"/>
          <w:color w:val="000066"/>
        </w:rPr>
      </w:pPr>
      <w:r>
        <w:rPr>
          <w:rFonts w:ascii="Arial" w:cs="Arial" w:eastAsia="Arial" w:hAnsi="Arial"/>
          <w:sz w:val="16"/>
          <w:szCs w:val="16"/>
          <w:color w:val="003366"/>
        </w:rPr>
        <w:t xml:space="preserve">–  </w:t>
      </w:r>
      <w:r>
        <w:rPr>
          <w:rFonts w:ascii="Arial" w:cs="Arial" w:eastAsia="Arial" w:hAnsi="Arial"/>
          <w:sz w:val="16"/>
          <w:szCs w:val="16"/>
          <w:color w:val="000000"/>
        </w:rPr>
        <w:t>Integrated fluid engineering and RT hydraulics control</w:t>
      </w:r>
    </w:p>
    <w:p>
      <w:pPr>
        <w:ind w:left="440"/>
        <w:spacing w:after="0"/>
        <w:rPr>
          <w:rFonts w:ascii="Arial" w:cs="Arial" w:eastAsia="Arial" w:hAnsi="Arial"/>
          <w:sz w:val="21"/>
          <w:szCs w:val="21"/>
          <w:b w:val="1"/>
          <w:bCs w:val="1"/>
          <w:color w:val="000066"/>
        </w:rPr>
      </w:pPr>
      <w:r>
        <w:rPr>
          <w:rFonts w:ascii="Arial" w:cs="Arial" w:eastAsia="Arial" w:hAnsi="Arial"/>
          <w:sz w:val="16"/>
          <w:szCs w:val="16"/>
          <w:color w:val="003366"/>
        </w:rPr>
        <w:t xml:space="preserve">–  </w:t>
      </w:r>
      <w:r>
        <w:rPr>
          <w:rFonts w:ascii="Arial" w:cs="Arial" w:eastAsia="Arial" w:hAnsi="Arial"/>
          <w:sz w:val="16"/>
          <w:szCs w:val="16"/>
          <w:color w:val="000000"/>
        </w:rPr>
        <w:t>MPD and Wellbore stability solutions</w:t>
      </w:r>
    </w:p>
    <w:p>
      <w:pPr>
        <w:spacing w:after="0" w:line="1" w:lineRule="exact"/>
        <w:rPr>
          <w:rFonts w:ascii="Arial" w:cs="Arial" w:eastAsia="Arial" w:hAnsi="Arial"/>
          <w:sz w:val="21"/>
          <w:szCs w:val="21"/>
          <w:b w:val="1"/>
          <w:bCs w:val="1"/>
          <w:color w:val="000066"/>
        </w:rPr>
      </w:pPr>
    </w:p>
    <w:p>
      <w:pPr>
        <w:ind w:left="200"/>
        <w:spacing w:after="0" w:line="234" w:lineRule="auto"/>
        <w:rPr>
          <w:rFonts w:ascii="Arial" w:cs="Arial" w:eastAsia="Arial" w:hAnsi="Arial"/>
          <w:sz w:val="21"/>
          <w:szCs w:val="21"/>
          <w:b w:val="1"/>
          <w:bCs w:val="1"/>
          <w:color w:val="000066"/>
        </w:rPr>
      </w:pPr>
      <w:r>
        <w:rPr>
          <w:rFonts w:ascii="Arial" w:cs="Arial" w:eastAsia="Arial" w:hAnsi="Arial"/>
          <w:sz w:val="19"/>
          <w:szCs w:val="19"/>
          <w:color w:val="auto"/>
        </w:rPr>
        <w:t>–  Well Productivity—Well Services</w:t>
      </w:r>
    </w:p>
    <w:p>
      <w:pPr>
        <w:ind w:left="200"/>
        <w:spacing w:after="0" w:line="234" w:lineRule="auto"/>
        <w:rPr>
          <w:rFonts w:ascii="Arial" w:cs="Arial" w:eastAsia="Arial" w:hAnsi="Arial"/>
          <w:sz w:val="21"/>
          <w:szCs w:val="21"/>
          <w:b w:val="1"/>
          <w:bCs w:val="1"/>
          <w:color w:val="000066"/>
        </w:rPr>
      </w:pPr>
      <w:r>
        <w:rPr>
          <w:rFonts w:ascii="Arial" w:cs="Arial" w:eastAsia="Arial" w:hAnsi="Arial"/>
          <w:sz w:val="19"/>
          <w:szCs w:val="19"/>
          <w:color w:val="auto"/>
        </w:rPr>
        <w:t>–  Production Technologies—Reservoir Production new business opportunity</w:t>
      </w:r>
    </w:p>
    <w:p>
      <w:pPr>
        <w:ind w:left="200"/>
        <w:spacing w:after="0"/>
        <w:rPr>
          <w:rFonts w:ascii="Arial" w:cs="Arial" w:eastAsia="Arial" w:hAnsi="Arial"/>
          <w:sz w:val="21"/>
          <w:szCs w:val="21"/>
          <w:b w:val="1"/>
          <w:bCs w:val="1"/>
          <w:color w:val="000066"/>
        </w:rPr>
      </w:pPr>
      <w:r>
        <w:rPr>
          <w:rFonts w:ascii="Arial" w:cs="Arial" w:eastAsia="Arial" w:hAnsi="Arial"/>
          <w:sz w:val="19"/>
          <w:szCs w:val="19"/>
          <w:color w:val="auto"/>
        </w:rPr>
        <w:t>–  Environmental Solutions—Water Services</w:t>
      </w:r>
    </w:p>
    <w:p>
      <w:pPr>
        <w:spacing w:after="0" w:line="326" w:lineRule="exact"/>
        <w:rPr>
          <w:rFonts w:ascii="Arial" w:cs="Arial" w:eastAsia="Arial" w:hAnsi="Arial"/>
          <w:sz w:val="21"/>
          <w:szCs w:val="21"/>
          <w:b w:val="1"/>
          <w:bCs w:val="1"/>
          <w:color w:val="000066"/>
        </w:rPr>
      </w:pPr>
    </w:p>
    <w:p>
      <w:pPr>
        <w:ind w:left="360" w:hanging="359"/>
        <w:spacing w:after="0"/>
        <w:tabs>
          <w:tab w:leader="none" w:pos="360" w:val="left"/>
        </w:tabs>
        <w:numPr>
          <w:ilvl w:val="0"/>
          <w:numId w:val="4"/>
        </w:numPr>
        <w:rPr>
          <w:rFonts w:ascii="Arial" w:cs="Arial" w:eastAsia="Arial" w:hAnsi="Arial"/>
          <w:sz w:val="21"/>
          <w:szCs w:val="21"/>
          <w:b w:val="1"/>
          <w:bCs w:val="1"/>
          <w:color w:val="000066"/>
        </w:rPr>
      </w:pPr>
      <w:r>
        <w:rPr>
          <w:rFonts w:ascii="Arial" w:cs="Arial" w:eastAsia="Arial" w:hAnsi="Arial"/>
          <w:sz w:val="21"/>
          <w:szCs w:val="21"/>
          <w:b w:val="1"/>
          <w:bCs w:val="1"/>
          <w:color w:val="000066"/>
        </w:rPr>
        <w:t>Smith products and services complement SLB segment portfolios</w:t>
      </w:r>
    </w:p>
    <w:p>
      <w:pPr>
        <w:spacing w:after="0" w:line="16" w:lineRule="exact"/>
        <w:rPr>
          <w:rFonts w:ascii="Arial" w:cs="Arial" w:eastAsia="Arial" w:hAnsi="Arial"/>
          <w:sz w:val="21"/>
          <w:szCs w:val="21"/>
          <w:b w:val="1"/>
          <w:bCs w:val="1"/>
          <w:color w:val="000066"/>
        </w:rPr>
      </w:pPr>
    </w:p>
    <w:p>
      <w:pPr>
        <w:ind w:left="200"/>
        <w:spacing w:after="0" w:line="234" w:lineRule="auto"/>
        <w:rPr>
          <w:rFonts w:ascii="Arial" w:cs="Arial" w:eastAsia="Arial" w:hAnsi="Arial"/>
          <w:sz w:val="21"/>
          <w:szCs w:val="21"/>
          <w:b w:val="1"/>
          <w:bCs w:val="1"/>
          <w:color w:val="000066"/>
        </w:rPr>
      </w:pPr>
      <w:r>
        <w:rPr>
          <w:rFonts w:ascii="Arial" w:cs="Arial" w:eastAsia="Arial" w:hAnsi="Arial"/>
          <w:sz w:val="19"/>
          <w:szCs w:val="19"/>
          <w:color w:val="auto"/>
        </w:rPr>
        <w:t>–  Liner hangers—SLB Completions segment</w:t>
      </w:r>
    </w:p>
    <w:p>
      <w:pPr>
        <w:ind w:left="200"/>
        <w:spacing w:after="0" w:line="234" w:lineRule="auto"/>
        <w:rPr>
          <w:rFonts w:ascii="Arial" w:cs="Arial" w:eastAsia="Arial" w:hAnsi="Arial"/>
          <w:sz w:val="21"/>
          <w:szCs w:val="21"/>
          <w:b w:val="1"/>
          <w:bCs w:val="1"/>
          <w:color w:val="000066"/>
        </w:rPr>
      </w:pPr>
      <w:r>
        <w:rPr>
          <w:rFonts w:ascii="Arial" w:cs="Arial" w:eastAsia="Arial" w:hAnsi="Arial"/>
          <w:sz w:val="19"/>
          <w:szCs w:val="19"/>
          <w:color w:val="auto"/>
        </w:rPr>
        <w:t>–  Production packers—SLB Completions segment</w:t>
      </w:r>
    </w:p>
    <w:p>
      <w:pPr>
        <w:ind w:left="200"/>
        <w:spacing w:after="0"/>
        <w:rPr>
          <w:rFonts w:ascii="Arial" w:cs="Arial" w:eastAsia="Arial" w:hAnsi="Arial"/>
          <w:sz w:val="21"/>
          <w:szCs w:val="21"/>
          <w:b w:val="1"/>
          <w:bCs w:val="1"/>
          <w:color w:val="000066"/>
        </w:rPr>
      </w:pPr>
      <w:r>
        <w:rPr>
          <w:rFonts w:ascii="Arial" w:cs="Arial" w:eastAsia="Arial" w:hAnsi="Arial"/>
          <w:sz w:val="19"/>
          <w:szCs w:val="19"/>
          <w:color w:val="auto"/>
        </w:rPr>
        <w:t>–  SmithLift—SLB Artificial Lift segment</w:t>
      </w:r>
    </w:p>
    <w:p>
      <w:pPr>
        <w:spacing w:after="0" w:line="5" w:lineRule="exact"/>
        <w:rPr>
          <w:rFonts w:ascii="Arial" w:cs="Arial" w:eastAsia="Arial" w:hAnsi="Arial"/>
          <w:sz w:val="21"/>
          <w:szCs w:val="21"/>
          <w:b w:val="1"/>
          <w:bCs w:val="1"/>
          <w:color w:val="000066"/>
        </w:rPr>
      </w:pPr>
    </w:p>
    <w:p>
      <w:pPr>
        <w:ind w:left="200"/>
        <w:spacing w:after="0" w:line="234" w:lineRule="auto"/>
        <w:rPr>
          <w:rFonts w:ascii="Arial" w:cs="Arial" w:eastAsia="Arial" w:hAnsi="Arial"/>
          <w:sz w:val="21"/>
          <w:szCs w:val="21"/>
          <w:b w:val="1"/>
          <w:bCs w:val="1"/>
          <w:color w:val="000066"/>
        </w:rPr>
      </w:pPr>
      <w:r>
        <w:rPr>
          <w:rFonts w:ascii="Arial" w:cs="Arial" w:eastAsia="Arial" w:hAnsi="Arial"/>
          <w:sz w:val="19"/>
          <w:szCs w:val="19"/>
          <w:color w:val="auto"/>
        </w:rPr>
        <w:t>–  Coiled Tubing Services—SLB Well Services segment</w:t>
      </w:r>
    </w:p>
    <w:p>
      <w:pPr>
        <w:ind w:left="200"/>
        <w:spacing w:after="0"/>
        <w:rPr>
          <w:rFonts w:ascii="Arial" w:cs="Arial" w:eastAsia="Arial" w:hAnsi="Arial"/>
          <w:sz w:val="21"/>
          <w:szCs w:val="21"/>
          <w:b w:val="1"/>
          <w:bCs w:val="1"/>
          <w:color w:val="000066"/>
        </w:rPr>
      </w:pPr>
      <w:r>
        <w:rPr>
          <w:rFonts w:ascii="Arial" w:cs="Arial" w:eastAsia="Arial" w:hAnsi="Arial"/>
          <w:sz w:val="19"/>
          <w:szCs w:val="19"/>
          <w:color w:val="auto"/>
        </w:rPr>
        <w:t>–  Casedholewireline—SLBWirelinesegment</w:t>
      </w:r>
    </w:p>
    <w:p>
      <w:pPr>
        <w:sectPr>
          <w:pgSz w:w="11900" w:h="16838" w:orient="portrait"/>
          <w:cols w:equalWidth="0" w:num="1">
            <w:col w:w="9639"/>
          </w:cols>
          <w:pgMar w:left="820" w:top="564" w:right="1440" w:bottom="1440" w:gutter="0" w:footer="0" w:header="0"/>
        </w:sectPr>
      </w:pPr>
    </w:p>
    <w:bookmarkStart w:id="10" w:name="page11"/>
    <w:bookmarkEnd w:id="10"/>
    <w:p>
      <w:pPr>
        <w:spacing w:after="0"/>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127635</wp:posOffset>
            </wp:positionH>
            <wp:positionV relativeFrom="page">
              <wp:posOffset>88900</wp:posOffset>
            </wp:positionV>
            <wp:extent cx="7319010" cy="4789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9010" cy="4789170"/>
                    </a:xfrm>
                    <a:prstGeom prst="rect">
                      <a:avLst/>
                    </a:prstGeom>
                    <a:noFill/>
                  </pic:spPr>
                </pic:pic>
              </a:graphicData>
            </a:graphic>
          </wp:anchor>
        </w:drawing>
        <w:t>Summary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00" w:right="1779"/>
        <w:spacing w:after="0" w:line="325" w:lineRule="auto"/>
        <w:rPr>
          <w:sz w:val="20"/>
          <w:szCs w:val="20"/>
          <w:color w:val="auto"/>
        </w:rPr>
      </w:pPr>
      <w:r>
        <w:rPr>
          <w:rFonts w:ascii="Arial" w:cs="Arial" w:eastAsia="Arial" w:hAnsi="Arial"/>
          <w:sz w:val="24"/>
          <w:szCs w:val="24"/>
          <w:color w:val="auto"/>
        </w:rPr>
        <w:t>Combines services and products into one focused drilling organization Purpose of deal is to improve drilling performance for our customers</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21"/>
          <w:szCs w:val="21"/>
          <w:color w:val="auto"/>
        </w:rPr>
        <w:t>–  Optimized drilling system designs—range of drilling environments</w:t>
      </w:r>
    </w:p>
    <w:p>
      <w:pPr>
        <w:spacing w:after="0" w:line="63" w:lineRule="exact"/>
        <w:rPr>
          <w:sz w:val="20"/>
          <w:szCs w:val="20"/>
          <w:color w:val="auto"/>
        </w:rPr>
      </w:pPr>
    </w:p>
    <w:p>
      <w:pPr>
        <w:ind w:left="480" w:right="5679" w:hanging="275"/>
        <w:spacing w:after="0" w:line="277" w:lineRule="auto"/>
        <w:rPr>
          <w:sz w:val="20"/>
          <w:szCs w:val="20"/>
          <w:color w:val="auto"/>
        </w:rPr>
      </w:pPr>
      <w:r>
        <w:rPr>
          <w:rFonts w:ascii="Arial" w:cs="Arial" w:eastAsia="Arial" w:hAnsi="Arial"/>
          <w:sz w:val="21"/>
          <w:szCs w:val="21"/>
          <w:color w:val="auto"/>
        </w:rPr>
        <w:t>– New product development—evolving drilling challenges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1"/>
          <w:szCs w:val="21"/>
          <w:color w:val="auto"/>
        </w:rPr>
        <w:t>–  Improved total system reliability</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24"/>
          <w:szCs w:val="24"/>
          <w:color w:val="auto"/>
        </w:rPr>
        <w:t>Add to SLB completions offerings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24"/>
          <w:szCs w:val="24"/>
          <w:color w:val="auto"/>
        </w:rPr>
        <w:t>Strengthens Smith brands</w:t>
      </w:r>
    </w:p>
    <w:p>
      <w:pPr>
        <w:spacing w:after="0" w:line="36" w:lineRule="exact"/>
        <w:rPr>
          <w:sz w:val="20"/>
          <w:szCs w:val="20"/>
          <w:color w:val="auto"/>
        </w:rPr>
      </w:pPr>
    </w:p>
    <w:p>
      <w:pPr>
        <w:ind w:left="480" w:right="6019" w:hanging="275"/>
        <w:spacing w:after="0" w:line="277" w:lineRule="auto"/>
        <w:rPr>
          <w:sz w:val="20"/>
          <w:szCs w:val="20"/>
          <w:color w:val="auto"/>
        </w:rPr>
      </w:pPr>
      <w:r>
        <w:rPr>
          <w:rFonts w:ascii="Arial" w:cs="Arial" w:eastAsia="Arial" w:hAnsi="Arial"/>
          <w:sz w:val="21"/>
          <w:szCs w:val="21"/>
          <w:color w:val="auto"/>
        </w:rPr>
        <w:t>– Increase access to new business opportunities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1"/>
          <w:szCs w:val="21"/>
          <w:color w:val="auto"/>
        </w:rPr>
        <w:t>–  Access to SLB R&amp;D</w:t>
      </w:r>
    </w:p>
    <w:p>
      <w:pPr>
        <w:sectPr>
          <w:pgSz w:w="11900" w:h="16838" w:orient="portrait"/>
          <w:cols w:equalWidth="0" w:num="1">
            <w:col w:w="9639"/>
          </w:cols>
          <w:pgMar w:left="820" w:top="564"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127635</wp:posOffset>
            </wp:positionH>
            <wp:positionV relativeFrom="page">
              <wp:posOffset>88900</wp:posOffset>
            </wp:positionV>
            <wp:extent cx="7319010" cy="47891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9010" cy="4789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7"/>
          <w:szCs w:val="27"/>
          <w:color w:val="auto"/>
        </w:rPr>
        <w:t>©2010 Schlumberger. All rights reserved.</w:t>
      </w:r>
    </w:p>
    <w:p>
      <w:pPr>
        <w:spacing w:after="0" w:line="340" w:lineRule="exact"/>
        <w:rPr>
          <w:sz w:val="20"/>
          <w:szCs w:val="20"/>
          <w:color w:val="auto"/>
        </w:rPr>
      </w:pPr>
    </w:p>
    <w:p>
      <w:pPr>
        <w:spacing w:after="0"/>
        <w:rPr>
          <w:sz w:val="20"/>
          <w:szCs w:val="20"/>
          <w:color w:val="auto"/>
        </w:rPr>
      </w:pPr>
      <w:r>
        <w:rPr>
          <w:rFonts w:ascii="Arial" w:cs="Arial" w:eastAsia="Arial" w:hAnsi="Arial"/>
          <w:sz w:val="27"/>
          <w:szCs w:val="27"/>
          <w:color w:val="auto"/>
        </w:rPr>
        <w:t>An asterisk is used throughout this presentation to denote a mark of Schlumberger.</w:t>
      </w:r>
    </w:p>
    <w:p>
      <w:pPr>
        <w:spacing w:after="0" w:line="15" w:lineRule="exact"/>
        <w:rPr>
          <w:sz w:val="20"/>
          <w:szCs w:val="20"/>
          <w:color w:val="auto"/>
        </w:rPr>
      </w:pPr>
    </w:p>
    <w:p>
      <w:pPr>
        <w:spacing w:after="0"/>
        <w:rPr>
          <w:sz w:val="20"/>
          <w:szCs w:val="20"/>
          <w:color w:val="auto"/>
        </w:rPr>
      </w:pPr>
      <w:r>
        <w:rPr>
          <w:rFonts w:ascii="Arial" w:cs="Arial" w:eastAsia="Arial" w:hAnsi="Arial"/>
          <w:sz w:val="27"/>
          <w:szCs w:val="27"/>
          <w:color w:val="auto"/>
        </w:rPr>
        <w:t>Other company, product, and service names are the properties of their respective owners.</w:t>
      </w:r>
    </w:p>
    <w:sectPr>
      <w:pgSz w:w="11900" w:h="16838" w:orient="portrait"/>
      <w:cols w:equalWidth="0" w:num="1">
        <w:col w:w="10880"/>
      </w:cols>
      <w:pgMar w:left="880" w:top="1440"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endash "/>
      <w:numFmt w:val="bullet"/>
      <w:start w:val="1"/>
    </w:lvl>
  </w:abstractNum>
  <w:abstractNum w:abstractNumId="1">
    <w:nsid w:val="625558EC"/>
    <w:multiLevelType w:val="hybridMultilevel"/>
    <w:lvl w:ilvl="0">
      <w:lvlJc w:val="left"/>
      <w:lvlText w:val="\endash "/>
      <w:numFmt w:val="bullet"/>
      <w:start w:val="1"/>
    </w:lvl>
  </w:abstractNum>
  <w:abstractNum w:abstractNumId="2">
    <w:nsid w:val="238E1F29"/>
    <w:multiLevelType w:val="hybridMultilevel"/>
    <w:lvl w:ilvl="0">
      <w:lvlJc w:val="left"/>
      <w:lvlText w:val="%1."/>
      <w:numFmt w:val="decimal"/>
      <w:start w:val="1"/>
    </w:lvl>
    <w:lvl w:ilvl="1">
      <w:lvlJc w:val="left"/>
      <w:lvlText w:val="\endash "/>
      <w:numFmt w:val="bullet"/>
      <w:start w:val="1"/>
    </w:lvl>
  </w:abstractNum>
  <w:abstractNum w:abstractNumId="3">
    <w:nsid w:val="46E87CCD"/>
    <w:multiLevelType w:val="hybridMultilevel"/>
    <w:lvl w:ilvl="0">
      <w:lvlJc w:val="left"/>
      <w:lvlText w:val="%1."/>
      <w:numFmt w:val="decimal"/>
      <w:start w:val="2"/>
    </w:lvl>
    <w:lvl w:ilvl="1">
      <w:lvlJc w:val="left"/>
      <w:lvlText w:val="\endash "/>
      <w:numFmt w:val="bullet"/>
      <w:start w:val="1"/>
    </w:lvl>
    <w:lvl w:ilvl="2">
      <w:lvlJc w:val="left"/>
      <w:lvlText w:val="\endash "/>
      <w:numFmt w:val="bullet"/>
      <w:start w:val="1"/>
    </w:lvl>
  </w:abstractNum>
  <w:abstractNum w:abstractNumId="4">
    <w:nsid w:val="3D1B58BA"/>
    <w:multiLevelType w:val="hybridMultilevel"/>
    <w:lvl w:ilvl="0">
      <w:lvlJc w:val="left"/>
      <w:lvlText w:val="\endash "/>
      <w:numFmt w:val="bullet"/>
      <w:start w:val="1"/>
    </w:lvl>
  </w:abstractNum>
  <w:abstractNum w:abstractNumId="5">
    <w:nsid w:val="507ED7AB"/>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2019-12-20T19:01:35Z</dcterms:created>
  <dcterms:modified xsi:type="dcterms:W3CDTF">2019-12-20T19:01:35Z</dcterms:modified>
</cp:coreProperties>
</file>