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3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2025</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ind w:left="4520" w:right="2420" w:hanging="4512"/>
        <w:spacing w:after="0" w:line="368" w:lineRule="auto"/>
        <w:tabs>
          <w:tab w:leader="none" w:pos="50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11430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Schlumberger N.V. (Schlumberger Limited)</w:t>
      </w:r>
    </w:p>
    <w:p>
      <w:pPr>
        <w:spacing w:after="0" w:line="43" w:lineRule="exact"/>
        <w:rPr>
          <w:sz w:val="24"/>
          <w:szCs w:val="24"/>
          <w:color w:val="auto"/>
        </w:rPr>
      </w:pPr>
    </w:p>
    <w:tbl>
      <w:tblPr>
        <w:tblLayout w:type="fixed"/>
        <w:tblInd w:w="1340" w:type="dxa"/>
        <w:tblCellMar>
          <w:top w:w="0" w:type="dxa"/>
          <w:left w:w="0" w:type="dxa"/>
          <w:bottom w:w="0" w:type="dxa"/>
          <w:right w:w="0" w:type="dxa"/>
        </w:tblCellMar>
      </w:tblPr>
      <w:tr>
        <w:trPr>
          <w:trHeight w:val="190"/>
        </w:trPr>
        <w:tc>
          <w:tcPr>
            <w:tcW w:w="6280" w:type="dxa"/>
            <w:vAlign w:val="bottom"/>
            <w:gridSpan w:val="3"/>
          </w:tcPr>
          <w:p>
            <w:pPr>
              <w:ind w:left="2620"/>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02"/>
        </w:trPr>
        <w:tc>
          <w:tcPr>
            <w:tcW w:w="31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5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261"/>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2"/>
                <w:szCs w:val="22"/>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24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249"/>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29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53"/>
        </w:trPr>
        <w:tc>
          <w:tcPr>
            <w:tcW w:w="6280" w:type="dxa"/>
            <w:vAlign w:val="bottom"/>
            <w:gridSpan w:val="3"/>
          </w:tcPr>
          <w:p>
            <w:pPr>
              <w:jc w:val="center"/>
              <w:ind w:right="3420"/>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per share</w:t>
            </w: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tcPr>
          <w:p>
            <w:pPr>
              <w:jc w:val="right"/>
              <w:spacing w:after="0"/>
              <w:rPr>
                <w:sz w:val="20"/>
                <w:szCs w:val="20"/>
                <w:color w:val="auto"/>
              </w:rPr>
            </w:pPr>
            <w:r>
              <w:rPr>
                <w:rFonts w:ascii="Arial" w:cs="Arial" w:eastAsia="Arial" w:hAnsi="Arial"/>
                <w:sz w:val="14"/>
                <w:szCs w:val="14"/>
                <w:color w:val="auto"/>
                <w:w w:val="98"/>
              </w:rPr>
              <w:t>common stock, par value $0.01</w:t>
            </w:r>
          </w:p>
        </w:tc>
        <w:tc>
          <w:tcPr>
            <w:tcW w:w="1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SLB</w:t>
            </w:r>
          </w:p>
        </w:tc>
        <w:tc>
          <w:tcPr>
            <w:tcW w:w="60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8"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62"/>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1060" w:type="dxa"/>
            <w:vAlign w:val="bottom"/>
          </w:tcPr>
          <w:p>
            <w:pPr>
              <w:spacing w:after="0"/>
              <w:rPr>
                <w:sz w:val="22"/>
                <w:szCs w:val="2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June 30, 2025</w:t>
            </w:r>
          </w:p>
        </w:tc>
        <w:tc>
          <w:tcPr>
            <w:tcW w:w="620" w:type="dxa"/>
            <w:vAlign w:val="bottom"/>
          </w:tcPr>
          <w:p>
            <w:pPr>
              <w:spacing w:after="0"/>
              <w:rPr>
                <w:sz w:val="22"/>
                <w:szCs w:val="22"/>
                <w:color w:val="auto"/>
              </w:rPr>
            </w:pPr>
          </w:p>
        </w:tc>
      </w:tr>
      <w:tr>
        <w:trPr>
          <w:trHeight w:val="237"/>
        </w:trPr>
        <w:tc>
          <w:tcPr>
            <w:tcW w:w="7440" w:type="dxa"/>
            <w:vAlign w:val="bottom"/>
            <w:gridSpan w:val="3"/>
          </w:tcPr>
          <w:p>
            <w:pPr>
              <w:spacing w:after="0"/>
              <w:rPr>
                <w:sz w:val="20"/>
                <w:szCs w:val="20"/>
                <w:color w:val="auto"/>
              </w:rPr>
            </w:pPr>
            <w:r>
              <w:rPr>
                <w:rFonts w:ascii="Arial" w:cs="Arial" w:eastAsia="Arial" w:hAnsi="Arial"/>
                <w:sz w:val="15"/>
                <w:szCs w:val="15"/>
                <w:color w:val="auto"/>
              </w:rPr>
              <w:t>COMMON STOCK, $0.01 PAR VALUE PER SHARE</w:t>
            </w:r>
          </w:p>
        </w:tc>
        <w:tc>
          <w:tcPr>
            <w:tcW w:w="3180" w:type="dxa"/>
            <w:vAlign w:val="bottom"/>
            <w:gridSpan w:val="2"/>
          </w:tcPr>
          <w:p>
            <w:pPr>
              <w:jc w:val="right"/>
              <w:ind w:right="504"/>
              <w:spacing w:after="0"/>
              <w:rPr>
                <w:sz w:val="20"/>
                <w:szCs w:val="20"/>
                <w:color w:val="auto"/>
              </w:rPr>
            </w:pPr>
            <w:r>
              <w:rPr>
                <w:rFonts w:ascii="Arial" w:cs="Arial" w:eastAsia="Arial" w:hAnsi="Arial"/>
                <w:sz w:val="15"/>
                <w:szCs w:val="15"/>
                <w:color w:val="auto"/>
              </w:rPr>
              <w:t>1,351,248,823</w:t>
            </w:r>
          </w:p>
        </w:tc>
        <w:tc>
          <w:tcPr>
            <w:tcW w:w="620" w:type="dxa"/>
            <w:vAlign w:val="bottom"/>
          </w:tcPr>
          <w:p>
            <w:pPr>
              <w:spacing w:after="0"/>
              <w:rPr>
                <w:sz w:val="20"/>
                <w:szCs w:val="20"/>
                <w:color w:val="auto"/>
              </w:rPr>
            </w:pPr>
          </w:p>
        </w:tc>
      </w:tr>
      <w:tr>
        <w:trPr>
          <w:trHeight w:val="1363"/>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Quarter 2025 Form 10-Q</w:t>
      </w: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60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9600" w:type="dxa"/>
            <w:vAlign w:val="bottom"/>
            <w:gridSpan w:val="12"/>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00" w:type="dxa"/>
            <w:vAlign w:val="bottom"/>
            <w:gridSpan w:val="12"/>
          </w:tcPr>
          <w:p>
            <w:pPr>
              <w:spacing w:after="0"/>
              <w:rPr>
                <w:sz w:val="20"/>
                <w:szCs w:val="20"/>
                <w:color w:val="auto"/>
              </w:rPr>
            </w:pPr>
            <w:r>
              <w:rPr>
                <w:rFonts w:ascii="Arial" w:cs="Arial" w:eastAsia="Arial" w:hAnsi="Arial"/>
                <w:sz w:val="16"/>
                <w:szCs w:val="16"/>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600" w:type="dxa"/>
            <w:vAlign w:val="bottom"/>
            <w:gridSpan w:val="12"/>
          </w:tcPr>
          <w:p>
            <w:pPr>
              <w:spacing w:after="0"/>
              <w:rPr>
                <w:sz w:val="20"/>
                <w:szCs w:val="20"/>
                <w:color w:val="auto"/>
              </w:rPr>
            </w:pPr>
            <w:r>
              <w:rPr>
                <w:rFonts w:ascii="Arial" w:cs="Arial" w:eastAsia="Arial" w:hAnsi="Arial"/>
                <w:sz w:val="16"/>
                <w:szCs w:val="16"/>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8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82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7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2"/>
          </w:tcPr>
          <w:p>
            <w:pPr>
              <w:spacing w:after="0"/>
              <w:rPr>
                <w:sz w:val="24"/>
                <w:szCs w:val="24"/>
                <w:color w:val="auto"/>
              </w:rPr>
            </w:pPr>
          </w:p>
        </w:tc>
        <w:tc>
          <w:tcPr>
            <w:tcW w:w="52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7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34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6"/>
                <w:szCs w:val="16"/>
                <w:color w:val="0000FF"/>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202"/>
        </w:trPr>
        <w:tc>
          <w:tcPr>
            <w:tcW w:w="10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40" w:type="dxa"/>
            <w:vAlign w:val="bottom"/>
            <w:gridSpan w:val="8"/>
          </w:tcPr>
          <w:p>
            <w:pPr>
              <w:ind w:left="78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59"/>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Revenue</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Services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5,327</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5,902</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10,692</w:t>
            </w: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11,578</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Product sales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3,219</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3,237</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6,343</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Total Revenue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8,546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9,139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17,035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17,846</w:t>
            </w:r>
          </w:p>
        </w:tc>
        <w:tc>
          <w:tcPr>
            <w:tcW w:w="120" w:type="dxa"/>
            <w:vAlign w:val="bottom"/>
          </w:tcPr>
          <w:p>
            <w:pPr>
              <w:spacing w:after="0"/>
              <w:rPr>
                <w:sz w:val="15"/>
                <w:szCs w:val="15"/>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330</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services</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4,227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8,480</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8,939</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2,707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5,335</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Research &amp; engineering</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352</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General &amp; administrative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Restructuring &amp; other</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293</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Merger &amp; integration</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289</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Income before taxes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1,285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1,421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2,348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2,778</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Tax expense</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237</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471</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1,048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1,145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1,877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2,243</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 attributable to noncontrolling interests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69" w:lineRule="exact"/>
              <w:rPr>
                <w:sz w:val="20"/>
                <w:szCs w:val="20"/>
                <w:color w:val="auto"/>
              </w:rPr>
            </w:pPr>
            <w:r>
              <w:rPr>
                <w:rFonts w:ascii="Arial" w:cs="Arial" w:eastAsia="Arial" w:hAnsi="Arial"/>
                <w:sz w:val="16"/>
                <w:szCs w:val="16"/>
                <w:i w:val="1"/>
                <w:iCs w:val="1"/>
                <w:color w:val="auto"/>
              </w:rPr>
              <w:t>Net income attributable to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1,014</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1,112</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1,811</w:t>
            </w:r>
          </w:p>
        </w:tc>
        <w:tc>
          <w:tcPr>
            <w:tcW w:w="58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2,180</w:t>
            </w:r>
          </w:p>
        </w:tc>
        <w:tc>
          <w:tcPr>
            <w:tcW w:w="1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Basic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0.75</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0.78</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1.33</w:t>
            </w:r>
          </w:p>
        </w:tc>
        <w:tc>
          <w:tcPr>
            <w:tcW w:w="58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1.53</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Diluted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0.74</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0.77</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1.32</w:t>
            </w:r>
          </w:p>
        </w:tc>
        <w:tc>
          <w:tcPr>
            <w:tcW w:w="58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1.51</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47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Basic</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1,359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Assuming dilution</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1,373</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-2751455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-2751455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-2751455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-2751455</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-1542415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-1542415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-1294130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-1294130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-1294130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-1045210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-1045210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-1045210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Second Quarter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7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1,048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1,145</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1,877</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2,243</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Unrealized net change arising during the period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gain (loss) on cash flow hedges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Reclassification to net income of net realized loss (gain)</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Amortization to net income of net actuarial gain (loss)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to net income of net prior service credit</w:t>
            </w:r>
          </w:p>
        </w:tc>
        <w:tc>
          <w:tcPr>
            <w:tcW w:w="2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Income taxes on pension and other postretirement benefit plans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r>
      <w:tr>
        <w:trPr>
          <w:trHeight w:val="183"/>
        </w:trPr>
        <w:tc>
          <w:tcPr>
            <w:tcW w:w="57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i w:val="1"/>
                <w:iCs w:val="1"/>
                <w:color w:val="auto"/>
              </w:rPr>
              <w:t>Comprehensive income</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1,129</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1,147</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2,084</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2,250</w:t>
            </w:r>
          </w:p>
        </w:tc>
        <w:tc>
          <w:tcPr>
            <w:tcW w:w="120" w:type="dxa"/>
            <w:vAlign w:val="bottom"/>
            <w:tcBorders>
              <w:top w:val="single" w:sz="8" w:color="CFF0FC"/>
            </w:tcBorders>
          </w:tcPr>
          <w:p>
            <w:pPr>
              <w:spacing w:after="0"/>
              <w:rPr>
                <w:sz w:val="15"/>
                <w:szCs w:val="15"/>
                <w:color w:val="auto"/>
              </w:rPr>
            </w:pP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i w:val="1"/>
                <w:iCs w:val="1"/>
                <w:color w:val="auto"/>
              </w:rPr>
              <w:t>Comprehensive income attributable to SLB</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1,095</w:t>
            </w:r>
          </w:p>
        </w:tc>
        <w:tc>
          <w:tcPr>
            <w:tcW w:w="240" w:type="dxa"/>
            <w:vAlign w:val="bottom"/>
          </w:tcPr>
          <w:p>
            <w:pPr>
              <w:spacing w:after="0"/>
              <w:rPr>
                <w:sz w:val="15"/>
                <w:szCs w:val="15"/>
                <w:color w:val="auto"/>
              </w:rPr>
            </w:pPr>
          </w:p>
        </w:tc>
        <w:tc>
          <w:tcPr>
            <w:tcW w:w="240" w:type="dxa"/>
            <w:vAlign w:val="bottom"/>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1,114</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46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2,187</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-402590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-402590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-402590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-402590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6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3,236</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Receivables less allowance for doubtful accounts (2025 - $334; 2024 - $325)</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8,586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4,740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current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1,380</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18,453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18,570</w:t>
            </w:r>
          </w:p>
        </w:tc>
        <w:tc>
          <w:tcPr>
            <w:tcW w:w="100" w:type="dxa"/>
            <w:vAlign w:val="bottom"/>
          </w:tcPr>
          <w:p>
            <w:pPr>
              <w:spacing w:after="0"/>
              <w:rPr>
                <w:sz w:val="15"/>
                <w:szCs w:val="15"/>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7,399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14,658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2,893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3,690</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220" w:type="dxa"/>
            <w:vAlign w:val="bottom"/>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48,769</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i w:val="1"/>
                <w:iCs w:val="1"/>
                <w:color w:val="auto"/>
              </w:rPr>
              <w:t>LIABILITIES AND EQUITY</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9,993</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Estimated liability for taxes on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borrowings and current portion of long-term debt</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1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6"/>
                <w:szCs w:val="16"/>
                <w:color w:val="auto"/>
              </w:rPr>
            </w:pPr>
          </w:p>
        </w:tc>
      </w:tr>
      <w:tr>
        <w:trPr>
          <w:trHeight w:val="183"/>
        </w:trPr>
        <w:tc>
          <w:tcPr>
            <w:tcW w:w="6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14,035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12,811</w:t>
            </w: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10,891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1,778</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27,218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26,585</w:t>
            </w:r>
          </w:p>
        </w:tc>
        <w:tc>
          <w:tcPr>
            <w:tcW w:w="100" w:type="dxa"/>
            <w:vAlign w:val="bottom"/>
          </w:tcPr>
          <w:p>
            <w:pPr>
              <w:spacing w:after="0"/>
              <w:rPr>
                <w:sz w:val="15"/>
                <w:szCs w:val="15"/>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Equity</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11,354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Treasury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(3,742)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(1,773)</w:t>
            </w: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17,433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(4,743)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(4,950)</w:t>
            </w:r>
          </w:p>
        </w:tc>
      </w:tr>
      <w:tr>
        <w:trPr>
          <w:trHeight w:val="183"/>
        </w:trPr>
        <w:tc>
          <w:tcPr>
            <w:tcW w:w="6660" w:type="dxa"/>
            <w:vAlign w:val="bottom"/>
            <w:tcBorders>
              <w:top w:val="single" w:sz="8" w:color="CFF0FC"/>
            </w:tcBorders>
          </w:tcPr>
          <w:p>
            <w:pPr>
              <w:ind w:left="140"/>
              <w:spacing w:after="0" w:line="183" w:lineRule="exact"/>
              <w:rPr>
                <w:sz w:val="20"/>
                <w:szCs w:val="20"/>
                <w:color w:val="auto"/>
              </w:rPr>
            </w:pPr>
            <w:r>
              <w:rPr>
                <w:rFonts w:ascii="Arial" w:cs="Arial" w:eastAsia="Arial" w:hAnsi="Arial"/>
                <w:sz w:val="16"/>
                <w:szCs w:val="16"/>
                <w:color w:val="auto"/>
              </w:rPr>
              <w:t>SLB stockholders’ equity</w:t>
            </w: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20,302</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21,130</w:t>
            </w: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1,249</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21,551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22,350</w:t>
            </w: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48,769</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shd w:val="clear" w:color="auto" w:fill="CFF0FC"/>
          </w:tcPr>
          <w:p>
            <w:pPr>
              <w:spacing w:after="0"/>
              <w:rPr>
                <w:sz w:val="17"/>
                <w:szCs w:val="17"/>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-4225290</wp:posOffset>
            </wp:positionV>
            <wp:extent cx="6858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-3479800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-2750820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-1268095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gridSpan w:val="7"/>
          </w:tcPr>
          <w:p>
            <w:pPr>
              <w:jc w:val="right"/>
              <w:ind w:right="80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6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9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1,877</w:t>
            </w:r>
          </w:p>
        </w:tc>
        <w:tc>
          <w:tcPr>
            <w:tcW w:w="1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Gain on sale of APS project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Impairment of equity method investment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1,273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Deferred taxes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Earnings of equity method investments, less dividends received</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140"/>
              <w:spacing w:after="0" w:line="189"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Increase in receivables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(480)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(755)</w:t>
            </w: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Increase in inventories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Decrease in other current assets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Increase in other assets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Decrease in accounts payable and accrued liabilities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(942)</w:t>
            </w: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Decrease in estimated liability for taxes on income</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Increase in other liabilities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r>
      <w:tr>
        <w:trPr>
          <w:trHeight w:val="183"/>
        </w:trPr>
        <w:tc>
          <w:tcPr>
            <w:tcW w:w="67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1,802</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1,763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expenditures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(769)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(862)</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APS investments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Exploration data costs capitalized</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Business acquisitions and investments, net of cash acquired</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(505)</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Sales of short-term investments, net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Purchase of Blue Chip Swap securities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sale of Blue Chip securities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Proceed from sale of APS investment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6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(186)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(1,644)</w:t>
            </w: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8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(751)</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Taxes paid on net settled stock-based compensation awards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Stock repurchase program</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(735)</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1,081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Repayment of long-term debt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(426)</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decrease in short-term borrowings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8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(1,989)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(46)</w:t>
            </w:r>
          </w:p>
        </w:tc>
      </w:tr>
      <w:tr>
        <w:trPr>
          <w:trHeight w:val="20"/>
        </w:trPr>
        <w:tc>
          <w:tcPr>
            <w:tcW w:w="67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Net (decrease) increase in cash before translation effect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(373)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73</w:t>
            </w:r>
          </w:p>
        </w:tc>
        <w:tc>
          <w:tcPr>
            <w:tcW w:w="100" w:type="dxa"/>
            <w:vAlign w:val="bottom"/>
          </w:tcPr>
          <w:p>
            <w:pPr>
              <w:spacing w:after="0"/>
              <w:rPr>
                <w:sz w:val="15"/>
                <w:szCs w:val="15"/>
                <w:color w:val="auto"/>
              </w:rPr>
            </w:pPr>
          </w:p>
        </w:tc>
      </w:tr>
      <w:tr>
        <w:trPr>
          <w:trHeight w:val="18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Cash, beginning of period</w:t>
            </w:r>
          </w:p>
        </w:tc>
        <w:tc>
          <w:tcPr>
            <w:tcW w:w="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6"/>
                <w:szCs w:val="16"/>
                <w:color w:val="auto"/>
              </w:rPr>
            </w:pPr>
          </w:p>
        </w:tc>
      </w:tr>
      <w:tr>
        <w:trPr>
          <w:trHeight w:val="202"/>
        </w:trPr>
        <w:tc>
          <w:tcPr>
            <w:tcW w:w="67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end of period</w:t>
            </w:r>
          </w:p>
        </w:tc>
        <w:tc>
          <w:tcPr>
            <w:tcW w:w="8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9"/>
              <w:spacing w:after="0" w:line="169"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3,236</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2,953</w:t>
            </w:r>
          </w:p>
        </w:tc>
        <w:tc>
          <w:tcPr>
            <w:tcW w:w="100" w:type="dxa"/>
            <w:vAlign w:val="bottom"/>
            <w:shd w:val="clear" w:color="auto" w:fill="CFF0FC"/>
          </w:tcPr>
          <w:p>
            <w:pPr>
              <w:spacing w:after="0"/>
              <w:rPr>
                <w:sz w:val="17"/>
                <w:szCs w:val="17"/>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-3196590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-1988185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-522605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4"/>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2025 – June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2025</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11,458</w:t>
            </w:r>
          </w:p>
        </w:tc>
        <w:tc>
          <w:tcPr>
            <w:tcW w:w="12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(1,773)</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16,395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(4,950)</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1,220</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22,350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($0.57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4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June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11,354</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(3,742)</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17,433</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color w:val="auto"/>
              </w:rPr>
              <w:t>(4,743)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1,249</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21,551</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8"/>
            <w:vMerge w:val="restart"/>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40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jc w:val="center"/>
              <w:ind w:right="320"/>
              <w:spacing w:after="0" w:line="158"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2024 – June 30, 2024</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Issued</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rPr>
              <w:t>Loss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2024</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11,624</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(678)</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13,497</w:t>
            </w: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(4,254)</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1,170</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21,359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($0.55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June 30, 2024</w:t>
            </w:r>
          </w:p>
        </w:tc>
        <w:tc>
          <w:tcPr>
            <w:tcW w:w="200" w:type="dxa"/>
            <w:vAlign w:val="bottom"/>
            <w:gridSpan w:val="3"/>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11,401</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(973)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14,890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(4,247)</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1,209</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22,280</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April 1, 2025 – June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Issued</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7"/>
              </w:rPr>
              <w:t>Loss</w:t>
            </w: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Interests</w:t>
            </w: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April 1, 2025</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10,827</w:t>
            </w:r>
          </w:p>
        </w:tc>
        <w:tc>
          <w:tcPr>
            <w:tcW w:w="12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(3,292)</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16,804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(4,824)</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1,233</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20,748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($0.285 per share)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2025</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11,354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(3,742)</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rPr>
              <w:t>17,433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(4,743)</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1,249</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21,551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-4525645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-4525645</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-4525645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-4525645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-4525645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-2399665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-2399665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-2399665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-2399665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-2399665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vMerge w:val="restart"/>
          </w:tcPr>
          <w:p>
            <w:pPr>
              <w:jc w:val="right"/>
              <w:ind w:right="7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80"/>
              <w:spacing w:after="0" w:line="158" w:lineRule="exact"/>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3"/>
                <w:szCs w:val="13"/>
                <w:color w:val="auto"/>
              </w:rPr>
            </w:pPr>
          </w:p>
        </w:tc>
        <w:tc>
          <w:tcPr>
            <w:tcW w:w="13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April 1, 2024 – June 30, 2024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Issued</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In Treasury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color w:val="auto"/>
              </w:rPr>
              <w:t>Loss</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April 1, 2024</w:t>
            </w:r>
          </w:p>
        </w:tc>
        <w:tc>
          <w:tcPr>
            <w:tcW w:w="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11,344</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(531)</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14,172</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(4,249)</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21,923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($0.275 per share)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paid to noncontrolling interests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2024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11,401</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(973)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14,890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(4,247)</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1,209</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22,280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SHARES OF COMMON STOCK</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Shares</w:t>
            </w:r>
          </w:p>
        </w:tc>
      </w:tr>
      <w:tr>
        <w:trPr>
          <w:trHeight w:val="203"/>
        </w:trPr>
        <w:tc>
          <w:tcPr>
            <w:tcW w:w="6520" w:type="dxa"/>
            <w:vAlign w:val="bottom"/>
          </w:tcPr>
          <w:p>
            <w:pPr>
              <w:spacing w:after="0"/>
              <w:rPr>
                <w:sz w:val="17"/>
                <w:szCs w:val="17"/>
                <w:color w:val="auto"/>
              </w:rPr>
            </w:pP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98"/>
              </w:rPr>
              <w:t>Issued</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 Treasury</w:t>
            </w:r>
          </w:p>
        </w:tc>
        <w:tc>
          <w:tcPr>
            <w:tcW w:w="220" w:type="dxa"/>
            <w:vAlign w:val="bottom"/>
          </w:tcPr>
          <w:p>
            <w:pPr>
              <w:spacing w:after="0"/>
              <w:rPr>
                <w:sz w:val="17"/>
                <w:szCs w:val="17"/>
                <w:color w:val="auto"/>
              </w:rPr>
            </w:pPr>
          </w:p>
        </w:tc>
        <w:tc>
          <w:tcPr>
            <w:tcW w:w="1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7"/>
                <w:szCs w:val="17"/>
                <w:color w:val="auto"/>
              </w:rPr>
            </w:pPr>
          </w:p>
        </w:tc>
      </w:tr>
      <w:tr>
        <w:trPr>
          <w:trHeight w:val="183"/>
        </w:trPr>
        <w:tc>
          <w:tcPr>
            <w:tcW w:w="74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Balance, January 1, 2025</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1,439</w:t>
            </w:r>
          </w:p>
        </w:tc>
        <w:tc>
          <w:tcPr>
            <w:tcW w:w="1820" w:type="dxa"/>
            <w:vAlign w:val="bottom"/>
            <w:gridSpan w:val="3"/>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(38)</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1,401</w:t>
            </w:r>
          </w:p>
        </w:tc>
        <w:tc>
          <w:tcPr>
            <w:tcW w:w="120" w:type="dxa"/>
            <w:vAlign w:val="bottom"/>
            <w:shd w:val="clear" w:color="auto" w:fill="CFF0FC"/>
          </w:tcPr>
          <w:p>
            <w:pPr>
              <w:spacing w:after="0"/>
              <w:rPr>
                <w:sz w:val="15"/>
                <w:szCs w:val="15"/>
                <w:color w:val="auto"/>
              </w:rPr>
            </w:pPr>
          </w:p>
        </w:tc>
      </w:tr>
      <w:tr>
        <w:trPr>
          <w:trHeight w:val="189"/>
        </w:trPr>
        <w:tc>
          <w:tcPr>
            <w:tcW w:w="7480" w:type="dxa"/>
            <w:vAlign w:val="bottom"/>
            <w:gridSpan w:val="2"/>
          </w:tcPr>
          <w:p>
            <w:pPr>
              <w:spacing w:after="0"/>
              <w:rPr>
                <w:sz w:val="20"/>
                <w:szCs w:val="20"/>
                <w:color w:val="auto"/>
              </w:rPr>
            </w:pPr>
            <w:r>
              <w:rPr>
                <w:rFonts w:ascii="Arial" w:cs="Arial" w:eastAsia="Arial" w:hAnsi="Arial"/>
                <w:sz w:val="16"/>
                <w:szCs w:val="16"/>
                <w:color w:val="auto"/>
              </w:rPr>
              <w:t>Vesting of restricted stock</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r>
      <w:tr>
        <w:trPr>
          <w:trHeight w:val="189"/>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Shares issued under employee stock purchase plan</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r>
      <w:tr>
        <w:trPr>
          <w:trHeight w:val="189"/>
        </w:trPr>
        <w:tc>
          <w:tcPr>
            <w:tcW w:w="652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r>
      <w:tr>
        <w:trPr>
          <w:trHeight w:val="20"/>
        </w:trPr>
        <w:tc>
          <w:tcPr>
            <w:tcW w:w="6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5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Balance, June 30, 2025</w:t>
            </w: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99"/>
              </w:rPr>
              <w:t>1,439</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(88)</w:t>
            </w:r>
          </w:p>
        </w:tc>
        <w:tc>
          <w:tcPr>
            <w:tcW w:w="14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1,351</w:t>
            </w:r>
          </w:p>
        </w:tc>
        <w:tc>
          <w:tcPr>
            <w:tcW w:w="120" w:type="dxa"/>
            <w:vAlign w:val="bottom"/>
            <w:shd w:val="clear" w:color="auto" w:fill="CFF0FC"/>
          </w:tcPr>
          <w:p>
            <w:pPr>
              <w:spacing w:after="0"/>
              <w:rPr>
                <w:sz w:val="17"/>
                <w:szCs w:val="17"/>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6"/>
          <w:szCs w:val="16"/>
          <w:b w:val="1"/>
          <w:bCs w:val="1"/>
          <w:u w:val="single" w:color="auto"/>
          <w:color w:val="auto"/>
        </w:rPr>
        <w:t>SCHLUMBERGER LIMITED AND SUBSIDIARIES</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June 30, 2025 are not necessarily indicative of the results that may be expected for the full year ending December 31, 2025. The December 31, 2024 balance sheet information has been derived from the SLB 2024 audited financial statements. For further information, refer to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notes thereto included in the SLB Annual Report on Form 10-K for the year ended December 31, 2024, filed with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Exchange Commission on January 22,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ChampionX Transaction</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July 16, 2025, SLB completed the acquisition of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 Under the terms of the agreement, ChampionX shareholders received 0.735 shares of SLB common stock in exchange for each ChampionX share. At the closing of the transaction ChampionX shareholders received approximately 141 million shares of SLB common stock valued at $4.9 billion. Excluding its Drilling Technology business, which was disposed of concurrently with the closing of the transaction, ChampionX recorded revenue of approximately $3.4 billion in 2024 and $1.7 billion during the six months ended June 30, 2025.</w:t>
      </w:r>
    </w:p>
    <w:p>
      <w:pPr>
        <w:spacing w:after="0" w:line="182" w:lineRule="exact"/>
        <w:rPr>
          <w:sz w:val="20"/>
          <w:szCs w:val="20"/>
          <w:color w:val="auto"/>
        </w:rPr>
      </w:pPr>
    </w:p>
    <w:p>
      <w:pPr>
        <w:ind w:right="9380" w:firstLine="8"/>
        <w:spacing w:after="0" w:line="388"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a $69 million impairment charge relating to an equity method investment that was determined to be other-than-temporarily impaired.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2025, SLB recorded a charge of $66 million relating to workforce reductions to align its resources with activity levels.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SLB may record additional charges related to workforce reductions in 2025 as it continues to align its resources with activity levels.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2025, in connection with the ChampionX transaction and the October 2023 acquisition of the Aker Solutions subsea business, SLB recorded $35 million of charges related to merger and integration-related costs.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2025, SLB completed the sale of its interest in the Palliser APS project in Canada in exchange for net cash proceeds of $338 million, of which $22 million were received in the third quarter of 2025. SLB recorded a gain of $149 million as a result of this transaction. This gain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a $158 million charge relating to workforce reductions to realign and optimize its support and service delivery structure.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first quarter of 2025, in connection with the ChampionX transaction and the October 2023 acquisition of the Aker Solutions subsea business, SLB recorded $49 million of charges related to merger and integration-related costs.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4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3"/>
        </w:trPr>
        <w:tc>
          <w:tcPr>
            <w:tcW w:w="43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4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3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6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r>
      <w:tr>
        <w:trPr>
          <w:trHeight w:val="189"/>
        </w:trPr>
        <w:tc>
          <w:tcPr>
            <w:tcW w:w="436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r>
      <w:tr>
        <w:trPr>
          <w:trHeight w:val="189"/>
        </w:trPr>
        <w:tc>
          <w:tcPr>
            <w:tcW w:w="436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436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r>
      <w:tr>
        <w:trPr>
          <w:trHeight w:val="189"/>
        </w:trPr>
        <w:tc>
          <w:tcPr>
            <w:tcW w:w="436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r>
      <w:tr>
        <w:trPr>
          <w:trHeight w:val="189"/>
        </w:trPr>
        <w:tc>
          <w:tcPr>
            <w:tcW w:w="436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r>
      <w:tr>
        <w:trPr>
          <w:trHeight w:val="189"/>
        </w:trPr>
        <w:tc>
          <w:tcPr>
            <w:tcW w:w="436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r>
      <w:tr>
        <w:trPr>
          <w:trHeight w:val="223"/>
        </w:trPr>
        <w:tc>
          <w:tcPr>
            <w:tcW w:w="43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2024, SLB recorded a charge of $111 million related to workforce reductions to realign and optimize its support and service delivery structure.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SLB's October 2023 acquisition of the Aker Solutions subsea business, SLB recorded $31 million of charges during the second quarter of 2024 consisting of: $15 million relating to the amortization of purchase accounting adjustments associated with the write-up of acquired inventories to its estimated fair value and $16 million of other merger and integration-related costs. $15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with the remaining $16 million classified in</w:t>
      </w:r>
      <w:r>
        <w:rPr>
          <w:rFonts w:ascii="Arial" w:cs="Arial" w:eastAsia="Arial" w:hAnsi="Arial"/>
          <w:sz w:val="16"/>
          <w:szCs w:val="16"/>
          <w:i w:val="1"/>
          <w:iCs w:val="1"/>
          <w:color w:val="auto"/>
        </w:rPr>
        <w:t xml:space="preserve"> Merger &amp; integration</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connection with SLB's acquisition of the Aker Solutions subsea business, SLB recorded $25 million of charges during the first quarter of 2024 consisting of: $14 million relating to the amortization of purchase accounting adjustments associated with the write-up of acquired inventories to its estimated fair value and $11 million of other merger and integration-related costs. $14 million of these costs are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w:t>
      </w:r>
      <w:r>
        <w:rPr>
          <w:rFonts w:ascii="Arial" w:cs="Arial" w:eastAsia="Arial" w:hAnsi="Arial"/>
          <w:sz w:val="16"/>
          <w:szCs w:val="16"/>
          <w:color w:val="auto"/>
        </w:rPr>
        <w:t>with the remaining $11 million classified in</w:t>
      </w:r>
      <w:r>
        <w:rPr>
          <w:rFonts w:ascii="Arial" w:cs="Arial" w:eastAsia="Arial" w:hAnsi="Arial"/>
          <w:sz w:val="16"/>
          <w:szCs w:val="16"/>
          <w:i w:val="1"/>
          <w:iCs w:val="1"/>
          <w:color w:val="auto"/>
        </w:rPr>
        <w:t xml:space="preserve"> Merger &amp; integration</w:t>
      </w:r>
      <w:r>
        <w:rPr>
          <w:rFonts w:ascii="Arial" w:cs="Arial" w:eastAsia="Arial" w:hAnsi="Arial"/>
          <w:sz w:val="16"/>
          <w:szCs w:val="16"/>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3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364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214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260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2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120"/>
              <w:spacing w:after="0"/>
              <w:rPr>
                <w:sz w:val="20"/>
                <w:szCs w:val="20"/>
                <w:color w:val="auto"/>
              </w:rPr>
            </w:pPr>
            <w:r>
              <w:rPr>
                <w:rFonts w:ascii="Arial" w:cs="Arial" w:eastAsia="Arial" w:hAnsi="Arial"/>
                <w:sz w:val="16"/>
                <w:szCs w:val="16"/>
                <w:color w:val="auto"/>
              </w:rPr>
              <w:t>Workforce reductions</w:t>
            </w:r>
          </w:p>
        </w:tc>
        <w:tc>
          <w:tcPr>
            <w:tcW w:w="2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214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6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14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36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0" w:name="page11"/>
    <w:bookmarkEnd w:id="10"/>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8"/>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3"/>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9"/>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Earnings per</w:t>
            </w:r>
          </w:p>
        </w:tc>
      </w:tr>
      <w:tr>
        <w:trPr>
          <w:trHeight w:val="203"/>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Share</w:t>
            </w:r>
          </w:p>
        </w:tc>
      </w:tr>
      <w:tr>
        <w:trPr>
          <w:trHeight w:val="163"/>
        </w:trPr>
        <w:tc>
          <w:tcPr>
            <w:tcW w:w="2920" w:type="dxa"/>
            <w:vAlign w:val="bottom"/>
            <w:gridSpan w:val="3"/>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Second Quarter</w:t>
            </w:r>
          </w:p>
        </w:tc>
        <w:tc>
          <w:tcPr>
            <w:tcW w:w="4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12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auto"/>
              </w:rPr>
              <w:t>Basic</w:t>
            </w:r>
          </w:p>
        </w:tc>
        <w:tc>
          <w:tcPr>
            <w:tcW w:w="1700" w:type="dxa"/>
            <w:vAlign w:val="bottom"/>
            <w:tcBorders>
              <w:top w:val="single" w:sz="8" w:color="CFF0FC"/>
            </w:tcBorders>
          </w:tcPr>
          <w:p>
            <w:pPr>
              <w:spacing w:after="0"/>
              <w:rPr>
                <w:sz w:val="16"/>
                <w:szCs w:val="16"/>
                <w:color w:val="auto"/>
              </w:rPr>
            </w:pPr>
          </w:p>
        </w:tc>
        <w:tc>
          <w:tcPr>
            <w:tcW w:w="60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1,014</w:t>
            </w:r>
          </w:p>
        </w:tc>
        <w:tc>
          <w:tcPr>
            <w:tcW w:w="138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1,352</w:t>
            </w:r>
          </w:p>
        </w:tc>
        <w:tc>
          <w:tcPr>
            <w:tcW w:w="42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0.75</w:t>
            </w:r>
          </w:p>
        </w:tc>
        <w:tc>
          <w:tcPr>
            <w:tcW w:w="320" w:type="dxa"/>
            <w:vAlign w:val="bottom"/>
            <w:tcBorders>
              <w:top w:val="single" w:sz="8" w:color="CFF0FC"/>
            </w:tcBorders>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1,112</w:t>
            </w: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1,428</w:t>
            </w:r>
          </w:p>
        </w:tc>
        <w:tc>
          <w:tcPr>
            <w:tcW w:w="32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0.78</w:t>
            </w:r>
          </w:p>
        </w:tc>
        <w:tc>
          <w:tcPr>
            <w:tcW w:w="120" w:type="dxa"/>
            <w:vAlign w:val="bottom"/>
            <w:tcBorders>
              <w:top w:val="single" w:sz="8" w:color="CFF0FC"/>
            </w:tcBorders>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29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29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29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1,014</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1,366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0.74</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1,443</w:t>
            </w:r>
          </w:p>
        </w:tc>
        <w:tc>
          <w:tcPr>
            <w:tcW w:w="3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0.77</w:t>
            </w:r>
          </w:p>
        </w:tc>
        <w:tc>
          <w:tcPr>
            <w:tcW w:w="120" w:type="dxa"/>
            <w:vAlign w:val="bottom"/>
            <w:shd w:val="clear" w:color="auto" w:fill="CFF0FC"/>
          </w:tcPr>
          <w:p>
            <w:pPr>
              <w:spacing w:after="0"/>
              <w:rPr>
                <w:sz w:val="19"/>
                <w:szCs w:val="19"/>
                <w:color w:val="auto"/>
              </w:rPr>
            </w:pPr>
          </w:p>
        </w:tc>
      </w:tr>
      <w:tr>
        <w:trPr>
          <w:trHeight w:val="548"/>
        </w:trPr>
        <w:tc>
          <w:tcPr>
            <w:tcW w:w="88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70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9"/>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Earnings per</w:t>
            </w:r>
          </w:p>
        </w:tc>
      </w:tr>
      <w:tr>
        <w:trPr>
          <w:trHeight w:val="203"/>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Share</w:t>
            </w:r>
          </w:p>
        </w:tc>
      </w:tr>
      <w:tr>
        <w:trPr>
          <w:trHeight w:val="163"/>
        </w:trPr>
        <w:tc>
          <w:tcPr>
            <w:tcW w:w="8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Six Months</w:t>
            </w:r>
          </w:p>
        </w:tc>
        <w:tc>
          <w:tcPr>
            <w:tcW w:w="2040" w:type="dxa"/>
            <w:vAlign w:val="bottom"/>
            <w:tcBorders>
              <w:bottom w:val="single" w:sz="8" w:color="CFF0FC"/>
            </w:tcBorders>
            <w:gridSpan w:val="2"/>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r>
      <w:tr>
        <w:trPr>
          <w:trHeight w:val="189"/>
        </w:trPr>
        <w:tc>
          <w:tcPr>
            <w:tcW w:w="2920" w:type="dxa"/>
            <w:vAlign w:val="bottom"/>
            <w:gridSpan w:val="3"/>
          </w:tcPr>
          <w:p>
            <w:pPr>
              <w:spacing w:after="0" w:line="169" w:lineRule="exact"/>
              <w:rPr>
                <w:sz w:val="20"/>
                <w:szCs w:val="20"/>
                <w:color w:val="auto"/>
              </w:rPr>
            </w:pPr>
            <w:r>
              <w:rPr>
                <w:rFonts w:ascii="Arial" w:cs="Arial" w:eastAsia="Arial" w:hAnsi="Arial"/>
                <w:sz w:val="16"/>
                <w:szCs w:val="16"/>
                <w:color w:val="auto"/>
              </w:rPr>
              <w:t>Basic</w:t>
            </w:r>
          </w:p>
        </w:tc>
        <w:tc>
          <w:tcPr>
            <w:tcW w:w="60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1,811</w:t>
            </w:r>
          </w:p>
        </w:tc>
        <w:tc>
          <w:tcPr>
            <w:tcW w:w="138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1,359</w:t>
            </w:r>
          </w:p>
        </w:tc>
        <w:tc>
          <w:tcPr>
            <w:tcW w:w="420" w:type="dxa"/>
            <w:vAlign w:val="bottom"/>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1.33</w:t>
            </w:r>
          </w:p>
        </w:tc>
        <w:tc>
          <w:tcPr>
            <w:tcW w:w="3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2,180</w:t>
            </w:r>
          </w:p>
        </w:tc>
        <w:tc>
          <w:tcPr>
            <w:tcW w:w="3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1,429</w:t>
            </w:r>
          </w:p>
        </w:tc>
        <w:tc>
          <w:tcPr>
            <w:tcW w:w="3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1.53</w:t>
            </w:r>
          </w:p>
        </w:tc>
        <w:tc>
          <w:tcPr>
            <w:tcW w:w="1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9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29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9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1,811</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1,373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1.32</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2,180</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1,445</w:t>
            </w:r>
          </w:p>
        </w:tc>
        <w:tc>
          <w:tcPr>
            <w:tcW w:w="3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7"/>
                <w:szCs w:val="17"/>
                <w:color w:val="auto"/>
              </w:rPr>
            </w:pP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-1422400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-1405255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-1422400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-1405255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-1422400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-1405255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-1422400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-1405255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-1422400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-1405255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40" w:type="dxa"/>
            <w:vAlign w:val="bottom"/>
          </w:tcPr>
          <w:p>
            <w:pPr>
              <w:spacing w:after="0"/>
              <w:rPr>
                <w:sz w:val="24"/>
                <w:szCs w:val="24"/>
                <w:color w:val="auto"/>
              </w:rPr>
            </w:pPr>
          </w:p>
        </w:tc>
        <w:tc>
          <w:tcPr>
            <w:tcW w:w="22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60"/>
              <w:spacing w:after="0"/>
              <w:rPr>
                <w:sz w:val="20"/>
                <w:szCs w:val="20"/>
                <w:color w:val="auto"/>
              </w:rPr>
            </w:pPr>
            <w:r>
              <w:rPr>
                <w:rFonts w:ascii="Arial" w:cs="Arial" w:eastAsia="Arial" w:hAnsi="Arial"/>
                <w:sz w:val="16"/>
                <w:szCs w:val="16"/>
                <w:b w:val="1"/>
                <w:bCs w:val="1"/>
                <w:color w:val="auto"/>
              </w:rPr>
              <w:t>Six Months</w:t>
            </w:r>
          </w:p>
        </w:tc>
      </w:tr>
      <w:tr>
        <w:trPr>
          <w:trHeight w:val="182"/>
        </w:trPr>
        <w:tc>
          <w:tcPr>
            <w:tcW w:w="57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2024</w:t>
            </w:r>
          </w:p>
        </w:tc>
        <w:tc>
          <w:tcPr>
            <w:tcW w:w="3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64"/>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6600" w:type="dxa"/>
            <w:vAlign w:val="bottom"/>
            <w:gridSpan w:val="2"/>
            <w:shd w:val="clear" w:color="auto" w:fill="CFF0FC"/>
          </w:tcPr>
          <w:p>
            <w:pPr>
              <w:jc w:val="right"/>
              <w:ind w:right="4799"/>
              <w:spacing w:after="0" w:line="183" w:lineRule="exact"/>
              <w:rPr>
                <w:sz w:val="20"/>
                <w:szCs w:val="20"/>
                <w:color w:val="auto"/>
              </w:rPr>
            </w:pPr>
            <w:r>
              <w:rPr>
                <w:rFonts w:ascii="Arial" w:cs="Arial" w:eastAsia="Arial" w:hAnsi="Arial"/>
                <w:sz w:val="16"/>
                <w:szCs w:val="16"/>
                <w:color w:val="auto"/>
              </w:rPr>
              <w:t>Employee stock options</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w:t>
            </w:r>
          </w:p>
        </w:tc>
        <w:tc>
          <w:tcPr>
            <w:tcW w:w="1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5"/>
                <w:szCs w:val="15"/>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rPr>
              <w:t>Jun. 30,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Raw materials &amp; field materials</w:t>
            </w:r>
          </w:p>
        </w:tc>
        <w:tc>
          <w:tcPr>
            <w:tcW w:w="4700" w:type="dxa"/>
            <w:vAlign w:val="bottom"/>
            <w:gridSpan w:val="2"/>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2,553</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189"/>
        </w:trPr>
        <w:tc>
          <w:tcPr>
            <w:tcW w:w="4080" w:type="dxa"/>
            <w:vAlign w:val="bottom"/>
            <w:gridSpan w:val="3"/>
          </w:tcPr>
          <w:p>
            <w:pPr>
              <w:spacing w:after="0"/>
              <w:rPr>
                <w:sz w:val="20"/>
                <w:szCs w:val="20"/>
                <w:color w:val="auto"/>
              </w:rPr>
            </w:pPr>
            <w:r>
              <w:rPr>
                <w:rFonts w:ascii="Arial" w:cs="Arial" w:eastAsia="Arial" w:hAnsi="Arial"/>
                <w:sz w:val="16"/>
                <w:szCs w:val="16"/>
                <w:color w:val="auto"/>
              </w:rPr>
              <w:t>Work in progress</w:t>
            </w: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914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189"/>
        </w:trPr>
        <w:tc>
          <w:tcPr>
            <w:tcW w:w="40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35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1,273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120" w:type="dxa"/>
            <w:vAlign w:val="bottom"/>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4,740</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5.  Fixed Assets</w:t>
            </w:r>
          </w:p>
        </w:tc>
        <w:tc>
          <w:tcPr>
            <w:tcW w:w="3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80" w:type="dxa"/>
            <w:vAlign w:val="bottom"/>
            <w:gridSpan w:val="3"/>
            <w:vMerge w:val="continue"/>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080" w:type="dxa"/>
            <w:vAlign w:val="bottom"/>
            <w:gridSpan w:val="3"/>
          </w:tcPr>
          <w:p>
            <w:pPr>
              <w:spacing w:after="0"/>
              <w:rPr>
                <w:sz w:val="20"/>
                <w:szCs w:val="20"/>
                <w:color w:val="auto"/>
              </w:rPr>
            </w:pPr>
            <w:r>
              <w:rPr>
                <w:rFonts w:ascii="Arial" w:cs="Arial" w:eastAsia="Arial" w:hAnsi="Arial"/>
                <w:sz w:val="16"/>
                <w:szCs w:val="16"/>
                <w:color w:val="auto"/>
              </w:rPr>
              <w:t>Fixed assets consist of the following:</w:t>
            </w: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rPr>
              <w:t>Jun. 30,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Property, plant &amp; equipment</w:t>
            </w:r>
          </w:p>
        </w:tc>
        <w:tc>
          <w:tcPr>
            <w:tcW w:w="4700" w:type="dxa"/>
            <w:vAlign w:val="bottom"/>
            <w:gridSpan w:val="2"/>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w w:val="93"/>
              </w:rPr>
              <w:t>30,332</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29,573</w:t>
            </w:r>
          </w:p>
        </w:tc>
        <w:tc>
          <w:tcPr>
            <w:tcW w:w="0" w:type="dxa"/>
            <w:vAlign w:val="bottom"/>
          </w:tcPr>
          <w:p>
            <w:pPr>
              <w:spacing w:after="0"/>
              <w:rPr>
                <w:sz w:val="1"/>
                <w:szCs w:val="1"/>
                <w:color w:val="auto"/>
              </w:rPr>
            </w:pPr>
          </w:p>
        </w:tc>
      </w:tr>
      <w:tr>
        <w:trPr>
          <w:trHeight w:val="189"/>
        </w:trPr>
        <w:tc>
          <w:tcPr>
            <w:tcW w:w="4080" w:type="dxa"/>
            <w:vAlign w:val="bottom"/>
            <w:gridSpan w:val="3"/>
          </w:tcPr>
          <w:p>
            <w:pPr>
              <w:spacing w:after="0"/>
              <w:rPr>
                <w:sz w:val="20"/>
                <w:szCs w:val="20"/>
                <w:color w:val="auto"/>
              </w:rPr>
            </w:pPr>
            <w:r>
              <w:rPr>
                <w:rFonts w:ascii="Arial" w:cs="Arial" w:eastAsia="Arial" w:hAnsi="Arial"/>
                <w:sz w:val="16"/>
                <w:szCs w:val="16"/>
                <w:color w:val="auto"/>
              </w:rPr>
              <w:t>Less: Accumulated depreciation</w:t>
            </w:r>
          </w:p>
        </w:tc>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3"/>
              </w:rPr>
              <w:t>22,933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22,214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7,399</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7,359</w:t>
            </w:r>
          </w:p>
        </w:tc>
        <w:tc>
          <w:tcPr>
            <w:tcW w:w="0" w:type="dxa"/>
            <w:vAlign w:val="bottom"/>
          </w:tcPr>
          <w:p>
            <w:pPr>
              <w:spacing w:after="0"/>
              <w:rPr>
                <w:sz w:val="1"/>
                <w:szCs w:val="1"/>
                <w:color w:val="auto"/>
              </w:rPr>
            </w:pPr>
          </w:p>
        </w:tc>
      </w:tr>
      <w:tr>
        <w:trPr>
          <w:trHeight w:val="613"/>
        </w:trPr>
        <w:tc>
          <w:tcPr>
            <w:tcW w:w="2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spacing w:after="0"/>
              <w:rPr>
                <w:sz w:val="24"/>
                <w:szCs w:val="24"/>
                <w:color w:val="auto"/>
              </w:rPr>
            </w:pPr>
          </w:p>
        </w:tc>
        <w:tc>
          <w:tcPr>
            <w:tcW w:w="3580" w:type="dxa"/>
            <w:vAlign w:val="bottom"/>
            <w:tcBorders>
              <w:top w:val="single" w:sz="8" w:color="CFF0FC"/>
            </w:tcBorders>
          </w:tcPr>
          <w:p>
            <w:pPr>
              <w:jc w:val="right"/>
              <w:ind w:right="1859"/>
              <w:spacing w:after="0"/>
              <w:rPr>
                <w:sz w:val="20"/>
                <w:szCs w:val="20"/>
                <w:color w:val="auto"/>
              </w:rPr>
            </w:pPr>
            <w:r>
              <w:rPr>
                <w:rFonts w:ascii="Arial" w:cs="Arial" w:eastAsia="Arial" w:hAnsi="Arial"/>
                <w:sz w:val="16"/>
                <w:szCs w:val="16"/>
                <w:color w:val="auto"/>
              </w:rPr>
              <w:t>11</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-2605405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-899160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Depreciation expense relating to fixed assets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4"/>
                <w:szCs w:val="24"/>
                <w:color w:val="auto"/>
              </w:rPr>
            </w:pPr>
          </w:p>
        </w:tc>
      </w:tr>
      <w:tr>
        <w:trPr>
          <w:trHeight w:val="183"/>
        </w:trPr>
        <w:tc>
          <w:tcPr>
            <w:tcW w:w="300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Second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408</w:t>
            </w:r>
          </w:p>
        </w:tc>
        <w:tc>
          <w:tcPr>
            <w:tcW w:w="5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384</w:t>
            </w:r>
          </w:p>
        </w:tc>
        <w:tc>
          <w:tcPr>
            <w:tcW w:w="120" w:type="dxa"/>
            <w:vAlign w:val="bottom"/>
            <w:tcBorders>
              <w:left w:val="single" w:sz="8" w:color="CFF0FC"/>
            </w:tcBorders>
            <w:shd w:val="clear" w:color="auto" w:fill="CFF0FC"/>
          </w:tcPr>
          <w:p>
            <w:pPr>
              <w:spacing w:after="0"/>
              <w:rPr>
                <w:sz w:val="15"/>
                <w:szCs w:val="15"/>
                <w:color w:val="auto"/>
              </w:rPr>
            </w:pPr>
          </w:p>
        </w:tc>
      </w:tr>
      <w:tr>
        <w:trPr>
          <w:trHeight w:val="223"/>
        </w:trPr>
        <w:tc>
          <w:tcPr>
            <w:tcW w:w="3000" w:type="dxa"/>
            <w:vAlign w:val="bottom"/>
            <w:gridSpan w:val="3"/>
          </w:tcPr>
          <w:p>
            <w:pPr>
              <w:spacing w:after="0"/>
              <w:rPr>
                <w:sz w:val="20"/>
                <w:szCs w:val="20"/>
                <w:color w:val="auto"/>
              </w:rPr>
            </w:pPr>
            <w:r>
              <w:rPr>
                <w:rFonts w:ascii="Arial" w:cs="Arial" w:eastAsia="Arial" w:hAnsi="Arial"/>
                <w:sz w:val="16"/>
                <w:szCs w:val="16"/>
                <w:color w:val="auto"/>
              </w:rPr>
              <w:t>Six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805</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9"/>
                <w:szCs w:val="19"/>
                <w:color w:val="auto"/>
              </w:rPr>
            </w:pPr>
          </w:p>
        </w:tc>
      </w:tr>
      <w:tr>
        <w:trPr>
          <w:trHeight w:val="533"/>
        </w:trPr>
        <w:tc>
          <w:tcPr>
            <w:tcW w:w="3000" w:type="dxa"/>
            <w:vAlign w:val="bottom"/>
            <w:gridSpan w:val="3"/>
          </w:tcPr>
          <w:p>
            <w:pPr>
              <w:spacing w:after="0"/>
              <w:rPr>
                <w:sz w:val="20"/>
                <w:szCs w:val="20"/>
                <w:color w:val="auto"/>
              </w:rPr>
            </w:pPr>
            <w:r>
              <w:rPr>
                <w:rFonts w:ascii="Arial" w:cs="Arial" w:eastAsia="Arial" w:hAnsi="Arial"/>
                <w:sz w:val="16"/>
                <w:szCs w:val="16"/>
                <w:b w:val="1"/>
                <w:bCs w:val="1"/>
                <w:color w:val="auto"/>
              </w:rPr>
              <w:t>6.  Intangible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5"/>
        </w:trPr>
        <w:tc>
          <w:tcPr>
            <w:tcW w:w="3000" w:type="dxa"/>
            <w:vAlign w:val="bottom"/>
            <w:gridSpan w:val="3"/>
          </w:tcPr>
          <w:p>
            <w:pPr>
              <w:spacing w:after="0"/>
              <w:rPr>
                <w:sz w:val="20"/>
                <w:szCs w:val="20"/>
                <w:color w:val="auto"/>
              </w:rPr>
            </w:pPr>
            <w:r>
              <w:rPr>
                <w:rFonts w:ascii="Arial" w:cs="Arial" w:eastAsia="Arial" w:hAnsi="Arial"/>
                <w:sz w:val="16"/>
                <w:szCs w:val="16"/>
                <w:color w:val="auto"/>
              </w:rPr>
              <w:t>Intangible assets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 30, 2025</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color w:val="auto"/>
              </w:rPr>
              <w:t>Dec. 31, 2024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line="16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98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Net Book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240"/>
              <w:spacing w:after="0" w:line="168" w:lineRule="exact"/>
              <w:rPr>
                <w:sz w:val="20"/>
                <w:szCs w:val="20"/>
                <w:color w:val="auto"/>
              </w:rPr>
            </w:pPr>
            <w:r>
              <w:rPr>
                <w:rFonts w:ascii="Arial" w:cs="Arial" w:eastAsia="Arial" w:hAnsi="Arial"/>
                <w:sz w:val="16"/>
                <w:szCs w:val="16"/>
                <w:color w:val="auto"/>
              </w:rPr>
              <w:t>Gross</w:t>
            </w:r>
          </w:p>
        </w:tc>
        <w:tc>
          <w:tcPr>
            <w:tcW w:w="100" w:type="dxa"/>
            <w:vAlign w:val="bottom"/>
          </w:tcPr>
          <w:p>
            <w:pPr>
              <w:spacing w:after="0"/>
              <w:rPr>
                <w:sz w:val="14"/>
                <w:szCs w:val="14"/>
                <w:color w:val="auto"/>
              </w:rPr>
            </w:pPr>
          </w:p>
        </w:tc>
        <w:tc>
          <w:tcPr>
            <w:tcW w:w="1120" w:type="dxa"/>
            <w:vAlign w:val="bottom"/>
            <w:gridSpan w:val="4"/>
          </w:tcPr>
          <w:p>
            <w:pPr>
              <w:jc w:val="center"/>
              <w:ind w:right="180"/>
              <w:spacing w:after="0" w:line="168"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4"/>
                <w:szCs w:val="14"/>
                <w:color w:val="auto"/>
              </w:rPr>
            </w:pPr>
          </w:p>
        </w:tc>
      </w:tr>
      <w:tr>
        <w:trPr>
          <w:trHeight w:val="203"/>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Book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Amortization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r>
      <w:tr>
        <w:trPr>
          <w:trHeight w:val="183"/>
        </w:trPr>
        <w:tc>
          <w:tcPr>
            <w:tcW w:w="300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Customer relationships</w:t>
            </w: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1,889</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845</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1,044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1,887</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799</w:t>
            </w:r>
          </w:p>
        </w:tc>
        <w:tc>
          <w:tcPr>
            <w:tcW w:w="2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1,088</w:t>
            </w:r>
          </w:p>
        </w:tc>
        <w:tc>
          <w:tcPr>
            <w:tcW w:w="120" w:type="dxa"/>
            <w:vAlign w:val="bottom"/>
            <w:tcBorders>
              <w:left w:val="single" w:sz="8" w:color="CFF0FC"/>
            </w:tcBorders>
            <w:shd w:val="clear" w:color="auto" w:fill="CFF0FC"/>
          </w:tcPr>
          <w:p>
            <w:pPr>
              <w:spacing w:after="0"/>
              <w:rPr>
                <w:sz w:val="15"/>
                <w:szCs w:val="15"/>
                <w:color w:val="auto"/>
              </w:rPr>
            </w:pPr>
          </w:p>
        </w:tc>
      </w:tr>
      <w:tr>
        <w:trPr>
          <w:trHeight w:val="189"/>
        </w:trPr>
        <w:tc>
          <w:tcPr>
            <w:tcW w:w="3000" w:type="dxa"/>
            <w:vAlign w:val="bottom"/>
            <w:gridSpan w:val="3"/>
          </w:tcPr>
          <w:p>
            <w:pPr>
              <w:spacing w:after="0"/>
              <w:rPr>
                <w:sz w:val="20"/>
                <w:szCs w:val="20"/>
                <w:color w:val="auto"/>
              </w:rPr>
            </w:pPr>
            <w:r>
              <w:rPr>
                <w:rFonts w:ascii="Arial" w:cs="Arial" w:eastAsia="Arial" w:hAnsi="Arial"/>
                <w:sz w:val="16"/>
                <w:szCs w:val="16"/>
                <w:color w:val="auto"/>
              </w:rPr>
              <w:t>Technology/technical know-how</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923</w:t>
            </w: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696</w:t>
            </w:r>
          </w:p>
        </w:tc>
        <w:tc>
          <w:tcPr>
            <w:tcW w:w="100" w:type="dxa"/>
            <w:vAlign w:val="bottom"/>
          </w:tcPr>
          <w:p>
            <w:pPr>
              <w:spacing w:after="0"/>
              <w:rPr>
                <w:sz w:val="16"/>
                <w:szCs w:val="16"/>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color w:val="auto"/>
              </w:rPr>
              <w:t>872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6"/>
                <w:szCs w:val="16"/>
                <w:color w:val="auto"/>
              </w:rPr>
            </w:pPr>
          </w:p>
        </w:tc>
      </w:tr>
      <w:tr>
        <w:trPr>
          <w:trHeight w:val="189"/>
        </w:trPr>
        <w:tc>
          <w:tcPr>
            <w:tcW w:w="30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Tradenames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795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317</w:t>
            </w: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478</w:t>
            </w:r>
          </w:p>
        </w:tc>
        <w:tc>
          <w:tcPr>
            <w:tcW w:w="100" w:type="dxa"/>
            <w:vAlign w:val="bottom"/>
            <w:shd w:val="clear" w:color="auto" w:fill="CFF0FC"/>
          </w:tcPr>
          <w:p>
            <w:pPr>
              <w:spacing w:after="0"/>
              <w:rPr>
                <w:sz w:val="16"/>
                <w:szCs w:val="16"/>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left w:val="single" w:sz="8" w:color="CFF0FC"/>
            </w:tcBorders>
            <w:shd w:val="clear" w:color="auto" w:fill="CFF0FC"/>
          </w:tcPr>
          <w:p>
            <w:pPr>
              <w:spacing w:after="0"/>
              <w:rPr>
                <w:sz w:val="16"/>
                <w:szCs w:val="16"/>
                <w:color w:val="auto"/>
              </w:rPr>
            </w:pPr>
          </w:p>
        </w:tc>
      </w:tr>
      <w:tr>
        <w:trPr>
          <w:trHeight w:val="189"/>
        </w:trPr>
        <w:tc>
          <w:tcPr>
            <w:tcW w:w="3000" w:type="dxa"/>
            <w:vAlign w:val="bottom"/>
            <w:gridSpan w:val="3"/>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946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675</w:t>
            </w:r>
          </w:p>
        </w:tc>
        <w:tc>
          <w:tcPr>
            <w:tcW w:w="100" w:type="dxa"/>
            <w:vAlign w:val="bottom"/>
          </w:tcPr>
          <w:p>
            <w:pPr>
              <w:spacing w:after="0"/>
              <w:rPr>
                <w:sz w:val="16"/>
                <w:szCs w:val="16"/>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1,604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color w:val="auto"/>
              </w:rPr>
              <w:t>892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b w:val="1"/>
                <w:bCs w:val="1"/>
                <w:color w:val="auto"/>
              </w:rPr>
              <w:t>5,924</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3,031</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2,893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5,874</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2,862</w:t>
            </w:r>
          </w:p>
        </w:tc>
        <w:tc>
          <w:tcPr>
            <w:tcW w:w="2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3,012</w:t>
            </w:r>
          </w:p>
        </w:tc>
        <w:tc>
          <w:tcPr>
            <w:tcW w:w="120" w:type="dxa"/>
            <w:vAlign w:val="bottom"/>
            <w:tcBorders>
              <w:left w:val="single" w:sz="8" w:color="CFF0FC"/>
            </w:tcBorders>
            <w:shd w:val="clear" w:color="auto" w:fill="CFF0FC"/>
          </w:tcPr>
          <w:p>
            <w:pPr>
              <w:spacing w:after="0"/>
              <w:rPr>
                <w:sz w:val="17"/>
                <w:szCs w:val="17"/>
                <w:color w:val="auto"/>
              </w:rPr>
            </w:pPr>
          </w:p>
        </w:tc>
      </w:tr>
      <w:tr>
        <w:trPr>
          <w:trHeight w:val="20"/>
        </w:trPr>
        <w:tc>
          <w:tcPr>
            <w:tcW w:w="2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370"/>
        </w:trPr>
        <w:tc>
          <w:tcPr>
            <w:tcW w:w="4300" w:type="dxa"/>
            <w:vAlign w:val="bottom"/>
            <w:gridSpan w:val="7"/>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4"/>
                <w:szCs w:val="24"/>
                <w:color w:val="auto"/>
              </w:rPr>
            </w:pPr>
          </w:p>
        </w:tc>
      </w:tr>
      <w:tr>
        <w:trPr>
          <w:trHeight w:val="183"/>
        </w:trPr>
        <w:tc>
          <w:tcPr>
            <w:tcW w:w="300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Second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82</w:t>
            </w:r>
          </w:p>
        </w:tc>
        <w:tc>
          <w:tcPr>
            <w:tcW w:w="5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w:t>
            </w:r>
          </w:p>
        </w:tc>
        <w:tc>
          <w:tcPr>
            <w:tcW w:w="120" w:type="dxa"/>
            <w:vAlign w:val="bottom"/>
            <w:tcBorders>
              <w:left w:val="single" w:sz="8" w:color="CFF0FC"/>
            </w:tcBorders>
            <w:shd w:val="clear" w:color="auto" w:fill="CFF0FC"/>
          </w:tcPr>
          <w:p>
            <w:pPr>
              <w:spacing w:after="0"/>
              <w:rPr>
                <w:sz w:val="15"/>
                <w:szCs w:val="15"/>
                <w:color w:val="auto"/>
              </w:rPr>
            </w:pPr>
          </w:p>
        </w:tc>
      </w:tr>
      <w:tr>
        <w:trPr>
          <w:trHeight w:val="223"/>
        </w:trPr>
        <w:tc>
          <w:tcPr>
            <w:tcW w:w="3000" w:type="dxa"/>
            <w:vAlign w:val="bottom"/>
            <w:gridSpan w:val="3"/>
          </w:tcPr>
          <w:p>
            <w:pPr>
              <w:spacing w:after="0"/>
              <w:rPr>
                <w:sz w:val="20"/>
                <w:szCs w:val="20"/>
                <w:color w:val="auto"/>
              </w:rPr>
            </w:pPr>
            <w:r>
              <w:rPr>
                <w:rFonts w:ascii="Arial" w:cs="Arial" w:eastAsia="Arial" w:hAnsi="Arial"/>
                <w:sz w:val="16"/>
                <w:szCs w:val="16"/>
                <w:color w:val="auto"/>
              </w:rPr>
              <w:t>Six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-1006475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-989330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-1006475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-989330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-1006475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-989330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-1006475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-989330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-1006475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-989330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-1006475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-989330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carrying value of intangible assets at June 30, 2025, amortization expense for the subsequent five years is estimated to be: remaining two quarters of 2025—$162 million; 2026—$316 million; 2027—$312 million; 2028—$302 million; 2029—$289 million; and 2030—$284 million.</w:t>
      </w:r>
    </w:p>
    <w:p>
      <w:pPr>
        <w:spacing w:after="0" w:line="15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 30,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Dec. 31,</w:t>
            </w:r>
          </w:p>
        </w:tc>
      </w:tr>
      <w:tr>
        <w:trPr>
          <w:trHeight w:val="203"/>
        </w:trPr>
        <w:tc>
          <w:tcPr>
            <w:tcW w:w="4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3.90%</w:t>
            </w:r>
          </w:p>
        </w:tc>
        <w:tc>
          <w:tcPr>
            <w:tcW w:w="362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Senior Notes due 2028</w:t>
            </w:r>
          </w:p>
        </w:tc>
        <w:tc>
          <w:tcPr>
            <w:tcW w:w="4660" w:type="dxa"/>
            <w:vAlign w:val="bottom"/>
            <w:gridSpan w:val="2"/>
            <w:shd w:val="clear" w:color="auto" w:fill="CFF0FC"/>
          </w:tcPr>
          <w:p>
            <w:pPr>
              <w:jc w:val="right"/>
              <w:ind w:right="919"/>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1,481</w:t>
            </w:r>
          </w:p>
        </w:tc>
        <w:tc>
          <w:tcPr>
            <w:tcW w:w="520" w:type="dxa"/>
            <w:vAlign w:val="bottom"/>
            <w:gridSpan w:val="2"/>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1,478</w:t>
            </w:r>
          </w:p>
        </w:tc>
        <w:tc>
          <w:tcPr>
            <w:tcW w:w="100" w:type="dxa"/>
            <w:vAlign w:val="bottom"/>
            <w:shd w:val="clear" w:color="auto" w:fill="CFF0FC"/>
          </w:tcPr>
          <w:p>
            <w:pPr>
              <w:spacing w:after="0"/>
              <w:rPr>
                <w:sz w:val="15"/>
                <w:szCs w:val="15"/>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3620" w:type="dxa"/>
            <w:vAlign w:val="bottom"/>
          </w:tcPr>
          <w:p>
            <w:pPr>
              <w:ind w:left="40"/>
              <w:spacing w:after="0"/>
              <w:rPr>
                <w:sz w:val="20"/>
                <w:szCs w:val="20"/>
                <w:color w:val="auto"/>
              </w:rPr>
            </w:pPr>
            <w:r>
              <w:rPr>
                <w:rFonts w:ascii="Arial" w:cs="Arial" w:eastAsia="Arial" w:hAnsi="Arial"/>
                <w:sz w:val="16"/>
                <w:szCs w:val="16"/>
                <w:color w:val="auto"/>
              </w:rPr>
              <w:t>Senior Notes due 2030</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1,246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r>
      <w:tr>
        <w:trPr>
          <w:trHeight w:val="189"/>
        </w:trPr>
        <w:tc>
          <w:tcPr>
            <w:tcW w:w="4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1.375% Guaranteed Notes due 2026</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1,171</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2.00%</w:t>
            </w:r>
          </w:p>
        </w:tc>
        <w:tc>
          <w:tcPr>
            <w:tcW w:w="3620" w:type="dxa"/>
            <w:vAlign w:val="bottom"/>
          </w:tcPr>
          <w:p>
            <w:pPr>
              <w:ind w:left="40"/>
              <w:spacing w:after="0"/>
              <w:rPr>
                <w:sz w:val="20"/>
                <w:szCs w:val="20"/>
                <w:color w:val="auto"/>
              </w:rPr>
            </w:pPr>
            <w:r>
              <w:rPr>
                <w:rFonts w:ascii="Arial" w:cs="Arial" w:eastAsia="Arial" w:hAnsi="Arial"/>
                <w:sz w:val="16"/>
                <w:szCs w:val="16"/>
                <w:color w:val="auto"/>
              </w:rPr>
              <w:t>Guaranteed Notes due 2032</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1,166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0.25%</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2027</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1,054</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0.50%</w:t>
            </w:r>
          </w:p>
        </w:tc>
        <w:tc>
          <w:tcPr>
            <w:tcW w:w="3620" w:type="dxa"/>
            <w:vAlign w:val="bottom"/>
          </w:tcPr>
          <w:p>
            <w:pPr>
              <w:ind w:left="40"/>
              <w:spacing w:after="0"/>
              <w:rPr>
                <w:sz w:val="20"/>
                <w:szCs w:val="20"/>
                <w:color w:val="auto"/>
              </w:rPr>
            </w:pPr>
            <w:r>
              <w:rPr>
                <w:rFonts w:ascii="Arial" w:cs="Arial" w:eastAsia="Arial" w:hAnsi="Arial"/>
                <w:sz w:val="16"/>
                <w:szCs w:val="16"/>
                <w:color w:val="auto"/>
              </w:rPr>
              <w:t>Notes due 2031</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1,053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4.50%</w:t>
            </w:r>
          </w:p>
        </w:tc>
        <w:tc>
          <w:tcPr>
            <w:tcW w:w="3620" w:type="dxa"/>
            <w:vAlign w:val="bottom"/>
          </w:tcPr>
          <w:p>
            <w:pPr>
              <w:ind w:left="40"/>
              <w:spacing w:after="0"/>
              <w:rPr>
                <w:sz w:val="20"/>
                <w:szCs w:val="20"/>
                <w:color w:val="auto"/>
              </w:rPr>
            </w:pPr>
            <w:r>
              <w:rPr>
                <w:rFonts w:ascii="Arial" w:cs="Arial" w:eastAsia="Arial" w:hAnsi="Arial"/>
                <w:sz w:val="16"/>
                <w:szCs w:val="16"/>
                <w:color w:val="auto"/>
              </w:rPr>
              <w:t>Senior Notes due 2028</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2027</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496</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4.85%</w:t>
            </w:r>
          </w:p>
        </w:tc>
        <w:tc>
          <w:tcPr>
            <w:tcW w:w="3620" w:type="dxa"/>
            <w:vAlign w:val="bottom"/>
          </w:tcPr>
          <w:p>
            <w:pPr>
              <w:ind w:left="40"/>
              <w:spacing w:after="0"/>
              <w:rPr>
                <w:sz w:val="20"/>
                <w:szCs w:val="20"/>
                <w:color w:val="auto"/>
              </w:rPr>
            </w:pPr>
            <w:r>
              <w:rPr>
                <w:rFonts w:ascii="Arial" w:cs="Arial" w:eastAsia="Arial" w:hAnsi="Arial"/>
                <w:sz w:val="16"/>
                <w:szCs w:val="16"/>
                <w:color w:val="auto"/>
              </w:rPr>
              <w:t>Senior Notes due 2033</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493</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5.00%</w:t>
            </w:r>
          </w:p>
        </w:tc>
        <w:tc>
          <w:tcPr>
            <w:tcW w:w="3620" w:type="dxa"/>
            <w:vAlign w:val="bottom"/>
          </w:tcPr>
          <w:p>
            <w:pPr>
              <w:ind w:left="40"/>
              <w:spacing w:after="0"/>
              <w:rPr>
                <w:sz w:val="20"/>
                <w:szCs w:val="20"/>
                <w:color w:val="auto"/>
              </w:rPr>
            </w:pPr>
            <w:r>
              <w:rPr>
                <w:rFonts w:ascii="Arial" w:cs="Arial" w:eastAsia="Arial" w:hAnsi="Arial"/>
                <w:sz w:val="16"/>
                <w:szCs w:val="16"/>
                <w:color w:val="auto"/>
              </w:rPr>
              <w:t>Senior Notes due 2034</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7.00%</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2038</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5.95%</w:t>
            </w:r>
          </w:p>
        </w:tc>
        <w:tc>
          <w:tcPr>
            <w:tcW w:w="3620" w:type="dxa"/>
            <w:vAlign w:val="bottom"/>
          </w:tcPr>
          <w:p>
            <w:pPr>
              <w:ind w:left="40"/>
              <w:spacing w:after="0"/>
              <w:rPr>
                <w:sz w:val="20"/>
                <w:szCs w:val="20"/>
                <w:color w:val="auto"/>
              </w:rPr>
            </w:pPr>
            <w:r>
              <w:rPr>
                <w:rFonts w:ascii="Arial" w:cs="Arial" w:eastAsia="Arial" w:hAnsi="Arial"/>
                <w:sz w:val="16"/>
                <w:szCs w:val="16"/>
                <w:color w:val="auto"/>
              </w:rPr>
              <w:t>Notes due 2041</w:t>
            </w:r>
          </w:p>
        </w:tc>
        <w:tc>
          <w:tcPr>
            <w:tcW w:w="3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5.13%</w:t>
            </w:r>
          </w:p>
        </w:tc>
        <w:tc>
          <w:tcPr>
            <w:tcW w:w="3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2043</w:t>
            </w:r>
          </w:p>
        </w:tc>
        <w:tc>
          <w:tcPr>
            <w:tcW w:w="35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1.00%</w:t>
            </w:r>
          </w:p>
        </w:tc>
        <w:tc>
          <w:tcPr>
            <w:tcW w:w="362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Guaranteed Notes due 2026</w:t>
            </w:r>
          </w:p>
        </w:tc>
        <w:tc>
          <w:tcPr>
            <w:tcW w:w="356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FF0FC"/>
            </w:tcBorders>
          </w:tcPr>
          <w:p>
            <w:pPr>
              <w:spacing w:after="0"/>
              <w:rPr>
                <w:sz w:val="16"/>
                <w:szCs w:val="16"/>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8"/>
              </w:rPr>
              <w:t>10,891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613"/>
        </w:trPr>
        <w:tc>
          <w:tcPr>
            <w:tcW w:w="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60" w:type="dxa"/>
            <w:vAlign w:val="bottom"/>
          </w:tcPr>
          <w:p>
            <w:pPr>
              <w:jc w:val="right"/>
              <w:ind w:right="1859"/>
              <w:spacing w:after="0"/>
              <w:rPr>
                <w:sz w:val="20"/>
                <w:szCs w:val="20"/>
                <w:color w:val="auto"/>
              </w:rPr>
            </w:pPr>
            <w:r>
              <w:rPr>
                <w:rFonts w:ascii="Arial" w:cs="Arial" w:eastAsia="Arial" w:hAnsi="Arial"/>
                <w:sz w:val="16"/>
                <w:szCs w:val="16"/>
                <w:color w:val="auto"/>
              </w:rPr>
              <w:t>12</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1"/>
        </w:trPr>
        <w:tc>
          <w:tcPr>
            <w:tcW w:w="4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-899160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p>
      <w:pPr>
        <w:jc w:val="both"/>
        <w:ind w:right="20"/>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June 30, 2025 and December 31, 2024, was $10.5 billion and $10.4 billion, respectively.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June 30, 2025, SLB had committed credit facility agreements with commercial banks aggregating $5.0 billion, of which $2.0 billion matures in February 2028 and $3.0 billion matures in December 2029. These committed facilities support commercial paper programs in the United States and Europe. There were no borrowings under these facilities at June 30, 2025 and December 31, 2024.</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Commercial paper borrowings are classified as long-term debt to the extent they are backed up by available and unused committed credit facilities maturing in more than one year and to the extent it is SLB’s intent to maintain these obligations for longer than one year. Borrowings under the commercial paper programs at June 30, 2025, were $1.1 billion, all of which were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Sheet</w:t>
      </w:r>
      <w:r>
        <w:rPr>
          <w:rFonts w:ascii="Arial" w:cs="Arial" w:eastAsia="Arial" w:hAnsi="Arial"/>
          <w:sz w:val="16"/>
          <w:szCs w:val="16"/>
          <w:color w:val="auto"/>
        </w:rPr>
        <w:t>. There were no borrowings under the commercial paper programs at December 31, 2024.</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Limited fully and unconditionally guarantees the securities issued by certain of its subsidiaries, including securities issued by Schlumberger Investment S.A. and Schlumberger Finance Canada Ltd., both indirect wholly-owned subsidiaries of Schlumberger Limited.</w:t>
      </w:r>
    </w:p>
    <w:p>
      <w:pPr>
        <w:spacing w:after="0" w:line="15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June 30, 2025,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jc w:val="both"/>
        <w:ind w:left="1020" w:hanging="503"/>
        <w:spacing w:after="0" w:line="252"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 30, 2025</w:t>
            </w: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Dec. 31, 2024</w:t>
            </w:r>
          </w:p>
        </w:tc>
        <w:tc>
          <w:tcPr>
            <w:tcW w:w="100" w:type="dxa"/>
            <w:vAlign w:val="bottom"/>
          </w:tcPr>
          <w:p>
            <w:pPr>
              <w:spacing w:after="0"/>
              <w:rPr>
                <w:sz w:val="24"/>
                <w:szCs w:val="24"/>
                <w:color w:val="auto"/>
              </w:rPr>
            </w:pPr>
          </w:p>
        </w:tc>
      </w:tr>
      <w:tr>
        <w:trPr>
          <w:trHeight w:val="183"/>
        </w:trPr>
        <w:tc>
          <w:tcPr>
            <w:tcW w:w="45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Other current assets</w:t>
            </w:r>
          </w:p>
        </w:tc>
        <w:tc>
          <w:tcPr>
            <w:tcW w:w="4420" w:type="dxa"/>
            <w:vAlign w:val="bottom"/>
            <w:gridSpan w:val="2"/>
            <w:shd w:val="clear" w:color="auto" w:fill="CFF0FC"/>
          </w:tcPr>
          <w:p>
            <w:pPr>
              <w:jc w:val="right"/>
              <w:ind w:right="1139"/>
              <w:spacing w:after="0" w:line="183" w:lineRule="exact"/>
              <w:rPr>
                <w:sz w:val="20"/>
                <w:szCs w:val="20"/>
                <w:color w:val="auto"/>
              </w:rPr>
            </w:pPr>
            <w:r>
              <w:rPr>
                <w:rFonts w:ascii="Arial" w:cs="Arial" w:eastAsia="Arial" w:hAnsi="Arial"/>
                <w:sz w:val="16"/>
                <w:szCs w:val="16"/>
                <w:b w:val="1"/>
                <w:bCs w:val="1"/>
                <w:color w:val="auto"/>
              </w:rPr>
              <w:t>$</w:t>
            </w:r>
          </w:p>
        </w:tc>
        <w:tc>
          <w:tcPr>
            <w:tcW w:w="4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37</w:t>
            </w:r>
          </w:p>
        </w:tc>
      </w:tr>
      <w:tr>
        <w:trPr>
          <w:trHeight w:val="189"/>
        </w:trPr>
        <w:tc>
          <w:tcPr>
            <w:tcW w:w="4560" w:type="dxa"/>
            <w:vAlign w:val="bottom"/>
          </w:tcPr>
          <w:p>
            <w:pPr>
              <w:spacing w:after="0"/>
              <w:rPr>
                <w:sz w:val="20"/>
                <w:szCs w:val="20"/>
                <w:color w:val="auto"/>
              </w:rPr>
            </w:pPr>
            <w:r>
              <w:rPr>
                <w:rFonts w:ascii="Arial" w:cs="Arial" w:eastAsia="Arial" w:hAnsi="Arial"/>
                <w:sz w:val="16"/>
                <w:szCs w:val="16"/>
                <w:i w:val="1"/>
                <w:iCs w:val="1"/>
                <w:color w:val="auto"/>
              </w:rPr>
              <w:t>Other Assets</w:t>
            </w:r>
          </w:p>
        </w:tc>
        <w:tc>
          <w:tcPr>
            <w:tcW w:w="442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7"/>
              </w:rPr>
              <w:t>212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r>
      <w:tr>
        <w:trPr>
          <w:trHeight w:val="189"/>
        </w:trPr>
        <w:tc>
          <w:tcPr>
            <w:tcW w:w="45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4420" w:type="dxa"/>
            <w:vAlign w:val="bottom"/>
            <w:gridSpan w:val="2"/>
            <w:shd w:val="clear" w:color="auto" w:fill="CFF0FC"/>
          </w:tcPr>
          <w:p>
            <w:pPr>
              <w:jc w:val="right"/>
              <w:ind w:right="1139"/>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color w:val="auto"/>
        </w:rPr>
        <w:t xml:space="preserve">Balance Sheet </w:t>
      </w:r>
      <w:r>
        <w:rPr>
          <w:rFonts w:ascii="Arial" w:cs="Arial" w:eastAsia="Arial" w:hAnsi="Arial"/>
          <w:sz w:val="16"/>
          <w:szCs w:val="16"/>
          <w:color w:val="auto"/>
        </w:rPr>
        <w:t>and changes in the fair value are recognized 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as are changes in the fair value of the hedged item.</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$5.1 billion and $5.5 billion in various foreign currencies as of June 30, 2025 and December 31, 2024, respectively.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June 30, 2025 and December 31, 2024.</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6"/>
          </w:tcPr>
          <w:p>
            <w:pPr>
              <w:jc w:val="right"/>
              <w:ind w:right="520"/>
              <w:spacing w:after="0" w:line="183" w:lineRule="exact"/>
              <w:rPr>
                <w:sz w:val="20"/>
                <w:szCs w:val="20"/>
                <w:color w:val="auto"/>
              </w:rPr>
            </w:pPr>
            <w:r>
              <w:rPr>
                <w:rFonts w:ascii="Arial" w:cs="Arial" w:eastAsia="Arial" w:hAnsi="Arial"/>
                <w:sz w:val="16"/>
                <w:szCs w:val="16"/>
                <w:b w:val="1"/>
                <w:bCs w:val="1"/>
                <w:color w:val="auto"/>
              </w:rPr>
              <w:t>Second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419"/>
              <w:spacing w:after="0" w:line="183" w:lineRule="exact"/>
              <w:rPr>
                <w:sz w:val="20"/>
                <w:szCs w:val="20"/>
                <w:color w:val="auto"/>
              </w:rPr>
            </w:pPr>
            <w:r>
              <w:rPr>
                <w:rFonts w:ascii="Arial" w:cs="Arial" w:eastAsia="Arial" w:hAnsi="Arial"/>
                <w:sz w:val="16"/>
                <w:szCs w:val="16"/>
                <w:b w:val="1"/>
                <w:bCs w:val="1"/>
                <w:color w:val="auto"/>
              </w:rPr>
              <w:t>Six Months</w:t>
            </w:r>
          </w:p>
        </w:tc>
        <w:tc>
          <w:tcPr>
            <w:tcW w:w="140" w:type="dxa"/>
            <w:vAlign w:val="bottom"/>
          </w:tcPr>
          <w:p>
            <w:pPr>
              <w:spacing w:after="0"/>
              <w:rPr>
                <w:sz w:val="15"/>
                <w:szCs w:val="15"/>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3"/>
        </w:trPr>
        <w:tc>
          <w:tcPr>
            <w:tcW w:w="4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cash flow hedges:</w:t>
            </w:r>
          </w:p>
        </w:tc>
        <w:tc>
          <w:tcPr>
            <w:tcW w:w="16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16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(52)</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(146)</w:t>
            </w: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Cross-currency interest rate swaps</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(37)</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w:t>
            </w: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(80)</w:t>
            </w:r>
          </w:p>
        </w:tc>
        <w:tc>
          <w:tcPr>
            <w:tcW w:w="2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(196)</w:t>
            </w:r>
          </w:p>
        </w:tc>
        <w:tc>
          <w:tcPr>
            <w:tcW w:w="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Derivatives not designated as hedges:</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8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Foreign currency forward contracts</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b w:val="1"/>
                <w:bCs w:val="1"/>
                <w:color w:val="auto"/>
              </w:rPr>
              <w:t>(17)</w:t>
            </w:r>
          </w:p>
        </w:tc>
        <w:tc>
          <w:tcPr>
            <w:tcW w:w="2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-290830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-273685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-290830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-273685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-290830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-273685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-290830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-273685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has issued credit default swaps (“CDSs”) to certain third-party financial institutions that have an aggregate notional amount outstanding of approximately $ 1.0 billion as of June 30, 2025. The CDSs relate to borrowings provided by the financial institutions to SLB’s primary customer in Mexico. The borrowings were used by this customer to pay certain of SLB’s outstanding receivables. Approximately $0.2 billion of the outstanding CDSs reduces on a monthly basis over its remaining 8-month term while the remaining $0.8 billion reduces on a monthly basis over its remaining 12-month term. The fair value of these derivative liabilities was not material at June 30, 2025.</w:t>
      </w:r>
    </w:p>
    <w:p>
      <w:pPr>
        <w:spacing w:after="0" w:line="18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Second Quarter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60"/>
              <w:spacing w:after="0" w:line="163"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320"/>
              <w:spacing w:after="0" w:line="163" w:lineRule="exact"/>
              <w:rPr>
                <w:sz w:val="20"/>
                <w:szCs w:val="20"/>
                <w:color w:val="auto"/>
              </w:rPr>
            </w:pPr>
            <w:r>
              <w:rPr>
                <w:rFonts w:ascii="Arial" w:cs="Arial" w:eastAsia="Arial" w:hAnsi="Arial"/>
                <w:sz w:val="16"/>
                <w:szCs w:val="16"/>
                <w:b w:val="1"/>
                <w:bCs w:val="1"/>
                <w:color w:val="auto"/>
              </w:rPr>
              <w:t>Capital</w:t>
            </w:r>
          </w:p>
        </w:tc>
      </w:tr>
      <w:tr>
        <w:trPr>
          <w:trHeight w:val="230"/>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0"/>
              <w:spacing w:after="0" w:line="230" w:lineRule="exact"/>
              <w:rPr>
                <w:sz w:val="20"/>
                <w:szCs w:val="20"/>
                <w:color w:val="auto"/>
              </w:rPr>
            </w:pPr>
            <w:r>
              <w:rPr>
                <w:rFonts w:ascii="Arial" w:cs="Arial" w:eastAsia="Arial" w:hAnsi="Arial"/>
                <w:sz w:val="16"/>
                <w:szCs w:val="16"/>
                <w:b w:val="1"/>
                <w:bCs w:val="1"/>
                <w:color w:val="auto"/>
                <w:w w:val="99"/>
              </w:rPr>
              <w:t xml:space="preserve">Investments </w:t>
            </w:r>
            <w:r>
              <w:rPr>
                <w:rFonts w:ascii="Arial" w:cs="Arial" w:eastAsia="Arial" w:hAnsi="Arial"/>
                <w:sz w:val="21"/>
                <w:szCs w:val="21"/>
                <w:b w:val="1"/>
                <w:bCs w:val="1"/>
                <w:color w:val="auto"/>
                <w:w w:val="99"/>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995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327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150</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1,691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2,963</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551</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3,036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(139)</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(107)</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(139)</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3040" w:type="dxa"/>
            <w:vAlign w:val="bottom"/>
          </w:tcPr>
          <w:p>
            <w:pPr>
              <w:spacing w:after="0"/>
              <w:rPr>
                <w:sz w:val="15"/>
                <w:szCs w:val="15"/>
                <w:color w:val="auto"/>
              </w:rPr>
            </w:pPr>
          </w:p>
        </w:tc>
        <w:tc>
          <w:tcPr>
            <w:tcW w:w="160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8,546</w:t>
            </w:r>
          </w:p>
        </w:tc>
        <w:tc>
          <w:tcPr>
            <w:tcW w:w="28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1,285</w:t>
            </w:r>
          </w:p>
        </w:tc>
        <w:tc>
          <w:tcPr>
            <w:tcW w:w="30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633</w:t>
            </w:r>
          </w:p>
        </w:tc>
        <w:tc>
          <w:tcPr>
            <w:tcW w:w="42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520</w:t>
            </w:r>
          </w:p>
        </w:tc>
        <w:tc>
          <w:tcPr>
            <w:tcW w:w="120" w:type="dxa"/>
            <w:vAlign w:val="bottom"/>
          </w:tcPr>
          <w:p>
            <w:pPr>
              <w:spacing w:after="0"/>
              <w:rPr>
                <w:sz w:val="15"/>
                <w:szCs w:val="15"/>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1"/>
        </w:trPr>
        <w:tc>
          <w:tcPr>
            <w:tcW w:w="3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-1045210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-1045210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-1045210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6"/>
                <w:szCs w:val="16"/>
                <w:color w:val="auto"/>
              </w:rPr>
              <w:t>Second Quarter 2024</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left="181"/>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60"/>
              <w:spacing w:after="0" w:line="163" w:lineRule="exact"/>
              <w:rPr>
                <w:sz w:val="20"/>
                <w:szCs w:val="20"/>
                <w:color w:val="auto"/>
              </w:rPr>
            </w:pPr>
            <w:r>
              <w:rPr>
                <w:rFonts w:ascii="Arial" w:cs="Arial" w:eastAsia="Arial" w:hAnsi="Arial"/>
                <w:sz w:val="16"/>
                <w:szCs w:val="16"/>
                <w:color w:val="auto"/>
              </w:rPr>
              <w:t>Income</w:t>
            </w:r>
          </w:p>
        </w:tc>
        <w:tc>
          <w:tcPr>
            <w:tcW w:w="1180" w:type="dxa"/>
            <w:vAlign w:val="bottom"/>
          </w:tcPr>
          <w:p>
            <w:pPr>
              <w:jc w:val="center"/>
              <w:ind w:left="181"/>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320"/>
              <w:spacing w:after="0" w:line="163" w:lineRule="exact"/>
              <w:rPr>
                <w:sz w:val="20"/>
                <w:szCs w:val="20"/>
                <w:color w:val="auto"/>
              </w:rPr>
            </w:pPr>
            <w:r>
              <w:rPr>
                <w:rFonts w:ascii="Arial" w:cs="Arial" w:eastAsia="Arial" w:hAnsi="Arial"/>
                <w:sz w:val="16"/>
                <w:szCs w:val="16"/>
                <w:color w:val="auto"/>
              </w:rPr>
              <w:t>Capital</w:t>
            </w:r>
          </w:p>
        </w:tc>
      </w:tr>
      <w:tr>
        <w:trPr>
          <w:trHeight w:val="229"/>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Amortization</w:t>
            </w:r>
          </w:p>
        </w:tc>
        <w:tc>
          <w:tcPr>
            <w:tcW w:w="2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0"/>
              <w:spacing w:after="0" w:line="230" w:lineRule="exact"/>
              <w:rPr>
                <w:sz w:val="20"/>
                <w:szCs w:val="20"/>
                <w:color w:val="auto"/>
              </w:rPr>
            </w:pPr>
            <w:r>
              <w:rPr>
                <w:rFonts w:ascii="Arial" w:cs="Arial" w:eastAsia="Arial" w:hAnsi="Arial"/>
                <w:sz w:val="16"/>
                <w:szCs w:val="16"/>
                <w:color w:val="auto"/>
              </w:rPr>
              <w:t xml:space="preserve">Investments </w:t>
            </w:r>
            <w:r>
              <w:rPr>
                <w:rFonts w:ascii="Arial" w:cs="Arial" w:eastAsia="Arial" w:hAnsi="Arial"/>
                <w:sz w:val="21"/>
                <w:szCs w:val="21"/>
                <w:color w:val="auto"/>
                <w:vertAlign w:val="superscript"/>
              </w:rPr>
              <w:t>(5)</w:t>
            </w:r>
          </w:p>
        </w:tc>
        <w:tc>
          <w:tcPr>
            <w:tcW w:w="120" w:type="dxa"/>
            <w:vAlign w:val="bottom"/>
          </w:tcPr>
          <w:p>
            <w:pPr>
              <w:spacing w:after="0"/>
              <w:rPr>
                <w:sz w:val="19"/>
                <w:szCs w:val="19"/>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325</w:t>
            </w: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02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7"/>
              </w:rPr>
              <w:t>170</w:t>
            </w:r>
          </w:p>
        </w:tc>
        <w:tc>
          <w:tcPr>
            <w:tcW w:w="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197</w:t>
            </w:r>
          </w:p>
        </w:tc>
        <w:tc>
          <w:tcPr>
            <w:tcW w:w="120" w:type="dxa"/>
            <w:vAlign w:val="bottom"/>
            <w:shd w:val="clear" w:color="auto" w:fill="CFF0FC"/>
          </w:tcPr>
          <w:p>
            <w:pPr>
              <w:spacing w:after="0"/>
              <w:rPr>
                <w:sz w:val="15"/>
                <w:szCs w:val="15"/>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Reservoir Performance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101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3,411</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162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Production Systems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473</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(166)</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w:t>
            </w: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(191)</w:t>
            </w:r>
          </w:p>
        </w:tc>
        <w:tc>
          <w:tcPr>
            <w:tcW w:w="1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(129)</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(142)</w:t>
            </w: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3"/>
        </w:trPr>
        <w:tc>
          <w:tcPr>
            <w:tcW w:w="44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9,139</w:t>
            </w: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1,421</w:t>
            </w:r>
          </w:p>
        </w:tc>
        <w:tc>
          <w:tcPr>
            <w:tcW w:w="300" w:type="dxa"/>
            <w:vAlign w:val="bottom"/>
            <w:tcBorders>
              <w:top w:val="single" w:sz="8" w:color="CFF0FC"/>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631</w:t>
            </w: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660</w:t>
            </w:r>
          </w:p>
        </w:tc>
        <w:tc>
          <w:tcPr>
            <w:tcW w:w="120" w:type="dxa"/>
            <w:vAlign w:val="bottom"/>
            <w:tcBorders>
              <w:top w:val="single" w:sz="8" w:color="CFF0FC"/>
            </w:tcBorders>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-153670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-153670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35" w:lineRule="exact"/>
        <w:rPr>
          <w:sz w:val="20"/>
          <w:szCs w:val="20"/>
          <w:color w:val="auto"/>
        </w:rPr>
      </w:pPr>
    </w:p>
    <w:p>
      <w:pPr>
        <w:ind w:left="380" w:hanging="372"/>
        <w:spacing w:after="0" w:line="222"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$9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2025; $3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included capital expenditures, APS investments, and exploration data costs capitalized.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60"/>
              <w:spacing w:after="0" w:line="163"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320"/>
              <w:spacing w:after="0" w:line="163" w:lineRule="exact"/>
              <w:rPr>
                <w:sz w:val="20"/>
                <w:szCs w:val="20"/>
                <w:color w:val="auto"/>
              </w:rPr>
            </w:pPr>
            <w:r>
              <w:rPr>
                <w:rFonts w:ascii="Arial" w:cs="Arial" w:eastAsia="Arial" w:hAnsi="Arial"/>
                <w:sz w:val="16"/>
                <w:szCs w:val="16"/>
                <w:b w:val="1"/>
                <w:bCs w:val="1"/>
                <w:color w:val="auto"/>
              </w:rPr>
              <w:t>Capital</w:t>
            </w:r>
          </w:p>
        </w:tc>
      </w:tr>
      <w:tr>
        <w:trPr>
          <w:trHeight w:val="230"/>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0"/>
              <w:spacing w:after="0" w:line="230" w:lineRule="exact"/>
              <w:rPr>
                <w:sz w:val="20"/>
                <w:szCs w:val="20"/>
                <w:color w:val="auto"/>
              </w:rPr>
            </w:pPr>
            <w:r>
              <w:rPr>
                <w:rFonts w:ascii="Arial" w:cs="Arial" w:eastAsia="Arial" w:hAnsi="Arial"/>
                <w:sz w:val="16"/>
                <w:szCs w:val="16"/>
                <w:b w:val="1"/>
                <w:bCs w:val="1"/>
                <w:color w:val="auto"/>
                <w:w w:val="99"/>
              </w:rPr>
              <w:t xml:space="preserve">Investments </w:t>
            </w:r>
            <w:r>
              <w:rPr>
                <w:rFonts w:ascii="Arial" w:cs="Arial" w:eastAsia="Arial" w:hAnsi="Arial"/>
                <w:sz w:val="21"/>
                <w:szCs w:val="21"/>
                <w:b w:val="1"/>
                <w:bCs w:val="1"/>
                <w:color w:val="auto"/>
                <w:w w:val="99"/>
                <w:vertAlign w:val="superscript"/>
              </w:rPr>
              <w:t>(5)</w:t>
            </w:r>
          </w:p>
        </w:tc>
        <w:tc>
          <w:tcPr>
            <w:tcW w:w="120" w:type="dxa"/>
            <w:vAlign w:val="bottom"/>
          </w:tcPr>
          <w:p>
            <w:pPr>
              <w:spacing w:after="0"/>
              <w:rPr>
                <w:sz w:val="19"/>
                <w:szCs w:val="19"/>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2,001</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633</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315</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311</w:t>
            </w:r>
          </w:p>
        </w:tc>
        <w:tc>
          <w:tcPr>
            <w:tcW w:w="120" w:type="dxa"/>
            <w:vAlign w:val="bottom"/>
            <w:shd w:val="clear" w:color="auto" w:fill="CFF0FC"/>
          </w:tcPr>
          <w:p>
            <w:pPr>
              <w:spacing w:after="0"/>
              <w:rPr>
                <w:sz w:val="15"/>
                <w:szCs w:val="15"/>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Reservoir Performance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3,391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261</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5,940</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1,140</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247</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Production Systems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5,974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973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(271)</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(202)</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(347)</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(283)</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(228)</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3"/>
        </w:trPr>
        <w:tc>
          <w:tcPr>
            <w:tcW w:w="44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17,035</w:t>
            </w: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2,348</w:t>
            </w: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1,273</w:t>
            </w:r>
          </w:p>
        </w:tc>
        <w:tc>
          <w:tcPr>
            <w:tcW w:w="28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1,077</w:t>
            </w:r>
          </w:p>
        </w:tc>
        <w:tc>
          <w:tcPr>
            <w:tcW w:w="120" w:type="dxa"/>
            <w:vAlign w:val="bottom"/>
            <w:tcBorders>
              <w:top w:val="single" w:sz="8" w:color="CFF0FC"/>
            </w:tcBorders>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-153670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-153670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color w:val="auto"/>
              </w:rPr>
              <w:t>Six Months 2024</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19"/>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760"/>
              <w:spacing w:after="0" w:line="163" w:lineRule="exact"/>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4"/>
                <w:szCs w:val="14"/>
                <w:color w:val="auto"/>
              </w:rPr>
            </w:pPr>
          </w:p>
        </w:tc>
        <w:tc>
          <w:tcPr>
            <w:tcW w:w="1280" w:type="dxa"/>
            <w:vAlign w:val="bottom"/>
          </w:tcPr>
          <w:p>
            <w:pPr>
              <w:jc w:val="center"/>
              <w:ind w:right="11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320"/>
              <w:spacing w:after="0" w:line="163" w:lineRule="exact"/>
              <w:rPr>
                <w:sz w:val="20"/>
                <w:szCs w:val="20"/>
                <w:color w:val="auto"/>
              </w:rPr>
            </w:pPr>
            <w:r>
              <w:rPr>
                <w:rFonts w:ascii="Arial" w:cs="Arial" w:eastAsia="Arial" w:hAnsi="Arial"/>
                <w:sz w:val="16"/>
                <w:szCs w:val="16"/>
                <w:color w:val="auto"/>
              </w:rPr>
              <w:t>Capital</w:t>
            </w:r>
          </w:p>
        </w:tc>
      </w:tr>
      <w:tr>
        <w:trPr>
          <w:trHeight w:val="230"/>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0"/>
              <w:spacing w:after="0" w:line="230" w:lineRule="exact"/>
              <w:rPr>
                <w:sz w:val="20"/>
                <w:szCs w:val="20"/>
                <w:color w:val="auto"/>
              </w:rPr>
            </w:pPr>
            <w:r>
              <w:rPr>
                <w:rFonts w:ascii="Arial" w:cs="Arial" w:eastAsia="Arial" w:hAnsi="Arial"/>
                <w:sz w:val="16"/>
                <w:szCs w:val="16"/>
                <w:color w:val="auto"/>
              </w:rPr>
              <w:t xml:space="preserve">Investments </w:t>
            </w:r>
            <w:r>
              <w:rPr>
                <w:rFonts w:ascii="Arial" w:cs="Arial" w:eastAsia="Arial" w:hAnsi="Arial"/>
                <w:sz w:val="21"/>
                <w:szCs w:val="21"/>
                <w:color w:val="auto"/>
                <w:vertAlign w:val="superscript"/>
              </w:rPr>
              <w:t>(5)</w:t>
            </w:r>
          </w:p>
        </w:tc>
        <w:tc>
          <w:tcPr>
            <w:tcW w:w="120" w:type="dxa"/>
            <w:vAlign w:val="bottom"/>
          </w:tcPr>
          <w:p>
            <w:pPr>
              <w:spacing w:after="0"/>
              <w:rPr>
                <w:sz w:val="19"/>
                <w:szCs w:val="19"/>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318</w:t>
            </w:r>
          </w:p>
        </w:tc>
        <w:tc>
          <w:tcPr>
            <w:tcW w:w="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348</w:t>
            </w:r>
          </w:p>
        </w:tc>
        <w:tc>
          <w:tcPr>
            <w:tcW w:w="120" w:type="dxa"/>
            <w:vAlign w:val="bottom"/>
            <w:shd w:val="clear" w:color="auto" w:fill="CFF0FC"/>
          </w:tcPr>
          <w:p>
            <w:pPr>
              <w:spacing w:after="0"/>
              <w:rPr>
                <w:sz w:val="15"/>
                <w:szCs w:val="15"/>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Reservoir Performance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Production Systems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5,843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(323)</w:t>
            </w: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(382)</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(238)</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4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3"/>
        </w:trPr>
        <w:tc>
          <w:tcPr>
            <w:tcW w:w="44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17,846</w:t>
            </w: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2,778</w:t>
            </w:r>
          </w:p>
        </w:tc>
        <w:tc>
          <w:tcPr>
            <w:tcW w:w="30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1,231</w:t>
            </w: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1,209</w:t>
            </w:r>
          </w:p>
        </w:tc>
        <w:tc>
          <w:tcPr>
            <w:tcW w:w="120" w:type="dxa"/>
            <w:vAlign w:val="bottom"/>
            <w:tcBorders>
              <w:top w:val="single" w:sz="8" w:color="CFF0FC"/>
            </w:tcBorders>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-153670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-153670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$13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($6 million in 2025; $7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included capital expenditures, APS investments, and exploration data costs capitalized.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Total assets by segment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4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Jun.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03"/>
        </w:trPr>
        <w:tc>
          <w:tcPr>
            <w:tcW w:w="48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4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33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2,708</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3,117</w:t>
            </w:r>
          </w:p>
        </w:tc>
        <w:tc>
          <w:tcPr>
            <w:tcW w:w="100" w:type="dxa"/>
            <w:vAlign w:val="bottom"/>
            <w:shd w:val="clear" w:color="auto" w:fill="CFF0FC"/>
          </w:tcPr>
          <w:p>
            <w:pPr>
              <w:spacing w:after="0"/>
              <w:rPr>
                <w:sz w:val="15"/>
                <w:szCs w:val="15"/>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Reservoir Performance</w:t>
            </w: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4,088</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6"/>
                <w:szCs w:val="16"/>
                <w:color w:val="auto"/>
              </w:rPr>
            </w:pP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3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6,754</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6,741</w:t>
            </w:r>
          </w:p>
        </w:tc>
        <w:tc>
          <w:tcPr>
            <w:tcW w:w="100" w:type="dxa"/>
            <w:vAlign w:val="bottom"/>
            <w:shd w:val="clear" w:color="auto" w:fill="CFF0FC"/>
          </w:tcPr>
          <w:p>
            <w:pPr>
              <w:spacing w:after="0"/>
              <w:rPr>
                <w:sz w:val="16"/>
                <w:szCs w:val="16"/>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Production Systems</w:t>
            </w: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7,741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7,116</w:t>
            </w:r>
          </w:p>
        </w:tc>
        <w:tc>
          <w:tcPr>
            <w:tcW w:w="100" w:type="dxa"/>
            <w:vAlign w:val="bottom"/>
          </w:tcPr>
          <w:p>
            <w:pPr>
              <w:spacing w:after="0"/>
              <w:rPr>
                <w:sz w:val="16"/>
                <w:szCs w:val="16"/>
                <w:color w:val="auto"/>
              </w:rPr>
            </w:pPr>
          </w:p>
        </w:tc>
      </w:tr>
      <w:tr>
        <w:trPr>
          <w:trHeight w:val="189"/>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intangibles</w:t>
            </w:r>
          </w:p>
        </w:tc>
        <w:tc>
          <w:tcPr>
            <w:tcW w:w="3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17,551</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17,605</w:t>
            </w:r>
          </w:p>
        </w:tc>
        <w:tc>
          <w:tcPr>
            <w:tcW w:w="100" w:type="dxa"/>
            <w:vAlign w:val="bottom"/>
            <w:shd w:val="clear" w:color="auto" w:fill="CFF0FC"/>
          </w:tcPr>
          <w:p>
            <w:pPr>
              <w:spacing w:after="0"/>
              <w:rPr>
                <w:sz w:val="16"/>
                <w:szCs w:val="16"/>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6"/>
                <w:szCs w:val="16"/>
                <w:color w:val="auto"/>
              </w:rPr>
              <w:t>All other assets</w:t>
            </w: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9,927</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10,554</w:t>
            </w:r>
          </w:p>
        </w:tc>
        <w:tc>
          <w:tcPr>
            <w:tcW w:w="100" w:type="dxa"/>
            <w:vAlign w:val="bottom"/>
          </w:tcPr>
          <w:p>
            <w:pPr>
              <w:spacing w:after="0"/>
              <w:rPr>
                <w:sz w:val="16"/>
                <w:szCs w:val="16"/>
                <w:color w:val="auto"/>
              </w:rPr>
            </w:pPr>
          </w:p>
        </w:tc>
      </w:tr>
      <w:tr>
        <w:trPr>
          <w:trHeight w:val="203"/>
        </w:trPr>
        <w:tc>
          <w:tcPr>
            <w:tcW w:w="4820" w:type="dxa"/>
            <w:vAlign w:val="bottom"/>
            <w:shd w:val="clear" w:color="auto" w:fill="CFF0FC"/>
          </w:tcPr>
          <w:p>
            <w:pPr>
              <w:spacing w:after="0"/>
              <w:rPr>
                <w:sz w:val="17"/>
                <w:szCs w:val="17"/>
                <w:color w:val="auto"/>
              </w:rPr>
            </w:pPr>
          </w:p>
        </w:tc>
        <w:tc>
          <w:tcPr>
            <w:tcW w:w="33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48,769</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shd w:val="clear" w:color="auto" w:fill="CFF0FC"/>
          </w:tcPr>
          <w:p>
            <w:pPr>
              <w:spacing w:after="0"/>
              <w:rPr>
                <w:sz w:val="17"/>
                <w:szCs w:val="17"/>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costs capitalized, and APS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Second Quarter</w:t>
            </w: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2024</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North America</w:t>
            </w:r>
          </w:p>
        </w:tc>
        <w:tc>
          <w:tcPr>
            <w:tcW w:w="800" w:type="dxa"/>
            <w:vAlign w:val="bottom"/>
            <w:gridSpan w:val="2"/>
            <w:shd w:val="clear" w:color="auto" w:fill="CFF0FC"/>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9"/>
              </w:rPr>
              <w:t>1,655</w:t>
            </w:r>
          </w:p>
        </w:tc>
        <w:tc>
          <w:tcPr>
            <w:tcW w:w="1040" w:type="dxa"/>
            <w:vAlign w:val="bottom"/>
            <w:gridSpan w:val="2"/>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1,644</w:t>
            </w:r>
          </w:p>
        </w:tc>
        <w:tc>
          <w:tcPr>
            <w:tcW w:w="5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3,373</w:t>
            </w:r>
          </w:p>
        </w:tc>
        <w:tc>
          <w:tcPr>
            <w:tcW w:w="600" w:type="dxa"/>
            <w:vAlign w:val="bottom"/>
            <w:gridSpan w:val="2"/>
            <w:shd w:val="clear" w:color="auto" w:fill="CFF0FC"/>
          </w:tcPr>
          <w:p>
            <w:pPr>
              <w:jc w:val="right"/>
              <w:ind w:right="208"/>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3,242</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Latin America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1,492</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1,742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2,986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2,369</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2,442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4,604</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4,764</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Middle East &amp; Asia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2,986</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3,268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5,983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6,348</w:t>
            </w:r>
          </w:p>
        </w:tc>
        <w:tc>
          <w:tcPr>
            <w:tcW w:w="120" w:type="dxa"/>
            <w:vAlign w:val="bottom"/>
          </w:tcPr>
          <w:p>
            <w:pPr>
              <w:spacing w:after="0"/>
              <w:rPr>
                <w:sz w:val="16"/>
                <w:szCs w:val="16"/>
                <w:color w:val="auto"/>
              </w:rPr>
            </w:pPr>
          </w:p>
        </w:tc>
      </w:tr>
      <w:tr>
        <w:trPr>
          <w:trHeight w:val="189"/>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89</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800" w:type="dxa"/>
            <w:vAlign w:val="bottom"/>
            <w:gridSpan w:val="2"/>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9"/>
              </w:rPr>
              <w:t>8,546</w:t>
            </w:r>
          </w:p>
        </w:tc>
        <w:tc>
          <w:tcPr>
            <w:tcW w:w="1040" w:type="dxa"/>
            <w:vAlign w:val="bottom"/>
            <w:gridSpan w:val="2"/>
          </w:tcPr>
          <w:p>
            <w:pPr>
              <w:jc w:val="right"/>
              <w:ind w:right="61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9"/>
              </w:rPr>
              <w:t>9,139</w:t>
            </w:r>
          </w:p>
        </w:tc>
        <w:tc>
          <w:tcPr>
            <w:tcW w:w="52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17,035</w:t>
            </w:r>
          </w:p>
        </w:tc>
        <w:tc>
          <w:tcPr>
            <w:tcW w:w="600" w:type="dxa"/>
            <w:vAlign w:val="bottom"/>
            <w:gridSpan w:val="2"/>
          </w:tcPr>
          <w:p>
            <w:pPr>
              <w:jc w:val="right"/>
              <w:ind w:right="208"/>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17,846</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-153670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6"/>
                <w:szCs w:val="16"/>
                <w:b w:val="1"/>
                <w:bCs w:val="1"/>
                <w:color w:val="auto"/>
              </w:rPr>
              <w:t>Second Quarter 2025</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223</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769</w:t>
            </w:r>
          </w:p>
        </w:tc>
        <w:tc>
          <w:tcPr>
            <w:tcW w:w="98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3</w:t>
            </w:r>
          </w:p>
        </w:tc>
        <w:tc>
          <w:tcPr>
            <w:tcW w:w="36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995</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148</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1,541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1,691</w:t>
            </w: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512</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2,394</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57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2,963</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789</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2,243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3,036</w:t>
            </w: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(139)</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1,655</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6,847</w:t>
            </w:r>
          </w:p>
        </w:tc>
        <w:tc>
          <w:tcPr>
            <w:tcW w:w="980" w:type="dxa"/>
            <w:vAlign w:val="bottom"/>
            <w:gridSpan w:val="2"/>
          </w:tcPr>
          <w:p>
            <w:pPr>
              <w:jc w:val="right"/>
              <w:ind w:right="719"/>
              <w:spacing w:after="0" w:line="183" w:lineRule="exact"/>
              <w:rPr>
                <w:sz w:val="20"/>
                <w:szCs w:val="20"/>
                <w:color w:val="auto"/>
              </w:rPr>
            </w:pPr>
            <w:r>
              <w:rPr>
                <w:rFonts w:ascii="Arial" w:cs="Arial" w:eastAsia="Arial" w:hAnsi="Arial"/>
                <w:sz w:val="16"/>
                <w:szCs w:val="16"/>
                <w:b w:val="1"/>
                <w:bCs w:val="1"/>
                <w:color w:val="auto"/>
              </w:rPr>
              <w:t>$</w:t>
            </w:r>
          </w:p>
        </w:tc>
        <w:tc>
          <w:tcPr>
            <w:tcW w:w="50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44</w:t>
            </w:r>
          </w:p>
        </w:tc>
        <w:tc>
          <w:tcPr>
            <w:tcW w:w="360" w:type="dxa"/>
            <w:vAlign w:val="bottom"/>
            <w:gridSpan w:val="2"/>
          </w:tcPr>
          <w:p>
            <w:pPr>
              <w:jc w:val="right"/>
              <w:ind w:right="108"/>
              <w:spacing w:after="0" w:line="183" w:lineRule="exact"/>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8,546</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color w:val="auto"/>
              </w:rPr>
              <w:t>Second Quarter 2024</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291</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757</w:t>
            </w:r>
          </w:p>
        </w:tc>
        <w:tc>
          <w:tcPr>
            <w:tcW w:w="98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2</w:t>
            </w:r>
          </w:p>
        </w:tc>
        <w:tc>
          <w:tcPr>
            <w:tcW w:w="36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1,050</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1,819</w:t>
            </w: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3,411</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2,378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3,025</w:t>
            </w: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1,644</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7,452</w:t>
            </w:r>
          </w:p>
        </w:tc>
        <w:tc>
          <w:tcPr>
            <w:tcW w:w="980" w:type="dxa"/>
            <w:vAlign w:val="bottom"/>
            <w:gridSpan w:val="2"/>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43</w:t>
            </w:r>
          </w:p>
        </w:tc>
        <w:tc>
          <w:tcPr>
            <w:tcW w:w="360" w:type="dxa"/>
            <w:vAlign w:val="bottom"/>
            <w:gridSpan w:val="2"/>
          </w:tcPr>
          <w:p>
            <w:pPr>
              <w:jc w:val="right"/>
              <w:ind w:right="108"/>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9,139</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b w:val="1"/>
                <w:bCs w:val="1"/>
                <w:color w:val="auto"/>
              </w:rPr>
              <w:t>Six Months 2025</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512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1,486</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2,001</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3,097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3,391</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5,940</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1,557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4,410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5,974</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(195)</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(271)</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3,373</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13,573</w:t>
            </w:r>
          </w:p>
        </w:tc>
        <w:tc>
          <w:tcPr>
            <w:tcW w:w="160" w:type="dxa"/>
            <w:vAlign w:val="bottom"/>
          </w:tcPr>
          <w:p>
            <w:pPr>
              <w:spacing w:after="0"/>
              <w:rPr>
                <w:sz w:val="15"/>
                <w:szCs w:val="15"/>
                <w:color w:val="auto"/>
              </w:rPr>
            </w:pPr>
          </w:p>
        </w:tc>
        <w:tc>
          <w:tcPr>
            <w:tcW w:w="980" w:type="dxa"/>
            <w:vAlign w:val="bottom"/>
            <w:gridSpan w:val="2"/>
          </w:tcPr>
          <w:p>
            <w:pPr>
              <w:jc w:val="right"/>
              <w:ind w:right="719"/>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89</w:t>
            </w:r>
          </w:p>
        </w:tc>
        <w:tc>
          <w:tcPr>
            <w:tcW w:w="140" w:type="dxa"/>
            <w:vAlign w:val="bottom"/>
          </w:tcPr>
          <w:p>
            <w:pPr>
              <w:spacing w:after="0"/>
              <w:rPr>
                <w:sz w:val="15"/>
                <w:szCs w:val="15"/>
                <w:color w:val="auto"/>
              </w:rPr>
            </w:pPr>
          </w:p>
        </w:tc>
        <w:tc>
          <w:tcPr>
            <w:tcW w:w="360" w:type="dxa"/>
            <w:vAlign w:val="bottom"/>
            <w:gridSpan w:val="2"/>
          </w:tcPr>
          <w:p>
            <w:pPr>
              <w:jc w:val="right"/>
              <w:ind w:right="108"/>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17,035</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color w:val="auto"/>
              </w:rPr>
              <w:t>Six Months 2024</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1,474</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8"/>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2,003</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Reservoir Performance</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Production Systems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5,843</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3,242</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14,507</w:t>
            </w:r>
          </w:p>
        </w:tc>
        <w:tc>
          <w:tcPr>
            <w:tcW w:w="160" w:type="dxa"/>
            <w:vAlign w:val="bottom"/>
          </w:tcPr>
          <w:p>
            <w:pPr>
              <w:spacing w:after="0"/>
              <w:rPr>
                <w:sz w:val="15"/>
                <w:szCs w:val="15"/>
                <w:color w:val="auto"/>
              </w:rPr>
            </w:pPr>
          </w:p>
        </w:tc>
        <w:tc>
          <w:tcPr>
            <w:tcW w:w="980" w:type="dxa"/>
            <w:vAlign w:val="bottom"/>
            <w:gridSpan w:val="2"/>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97</w:t>
            </w:r>
          </w:p>
        </w:tc>
        <w:tc>
          <w:tcPr>
            <w:tcW w:w="140" w:type="dxa"/>
            <w:vAlign w:val="bottom"/>
          </w:tcPr>
          <w:p>
            <w:pPr>
              <w:spacing w:after="0"/>
              <w:rPr>
                <w:sz w:val="15"/>
                <w:szCs w:val="15"/>
                <w:color w:val="auto"/>
              </w:rPr>
            </w:pPr>
          </w:p>
        </w:tc>
        <w:tc>
          <w:tcPr>
            <w:tcW w:w="360" w:type="dxa"/>
            <w:vAlign w:val="bottom"/>
            <w:gridSpan w:val="2"/>
          </w:tcPr>
          <w:p>
            <w:pPr>
              <w:jc w:val="right"/>
              <w:ind w:right="108"/>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17,846</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-4345305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-4345305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-4345305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-4345305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-2974340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-2974340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-2974340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-2974340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-1525270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-1525270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-1525270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-153670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Significant segment expenses, which represent the difference between segment revenue and pretax segment income, consist of the following: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rPr>
              <w:t>Second Quarter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w w:val="98"/>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Integration</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198</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592</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235</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279</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818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1,882</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217</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421</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668</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1,377</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2,412</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2,537</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rPr>
              <w:t>Second Quarter 2024</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Integration</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422</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664</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267</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899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725</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1,443</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2,669</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2,552</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0"/>
        </w:trPr>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b w:val="1"/>
                <w:bCs w:val="1"/>
                <w:color w:val="auto"/>
              </w:rPr>
              <w:t>Six Months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w w:val="98"/>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Integration</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404</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814</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4"/>
              </w:rPr>
              <w:t>1,195</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476</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4"/>
              </w:rPr>
              <w:t>1,620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3,702</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211</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182</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490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276</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856</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1,162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1,368</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2,795</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4,800</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5,001</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8"/>
        </w:trPr>
        <w:tc>
          <w:tcPr>
            <w:tcW w:w="5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6"/>
                <w:szCs w:val="16"/>
                <w:color w:val="auto"/>
              </w:rPr>
              <w:t>Six Months 2024</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Digital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Integration</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431</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814</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4"/>
              </w:rPr>
              <w:t>1,318</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561</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1,826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1,382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1,424</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2,829</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5,347</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4,970</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-4396740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-4396740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-4396740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-4396740</wp:posOffset>
            </wp:positionV>
            <wp:extent cx="774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-3025140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-3025140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-3025140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-1525270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-1525270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-1525270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professional fees, and other costs.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$0.5 billion at June 30, 2025 and $0.5 billion at December 31, 2024.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$5.7 billion at June 30, 2025, of which approximately 55% is expected to be recognized as revenue over the next 12 months.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$2.2 billion at June 30, 2025 and $2.0 billion at December 31, 2024.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Second Quarter 2025 Compared to First Quarter 2025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Second Quarter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6"/>
                <w:szCs w:val="16"/>
                <w:color w:val="auto"/>
              </w:rPr>
              <w:t>First Quarter 2025</w:t>
            </w: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9"/>
              <w:spacing w:after="0" w:line="168" w:lineRule="exact"/>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b w:val="1"/>
                <w:bCs w:val="1"/>
                <w:color w:val="auto"/>
              </w:rPr>
              <w:t>995</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327</w:t>
            </w: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1,006</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306</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1,691</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282</w:t>
            </w: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2,963</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551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589</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3,036</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475</w:t>
            </w: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(139)</w:t>
            </w: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(107)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w:t>
            </w:r>
          </w:p>
        </w:tc>
      </w:tr>
      <w:tr>
        <w:trPr>
          <w:trHeight w:val="20"/>
        </w:trPr>
        <w:tc>
          <w:tcPr>
            <w:tcW w:w="356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1,584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1,556</w:t>
            </w: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(169)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(139)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8,546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2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1,285</w:t>
            </w: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8,490</w:t>
            </w:r>
          </w:p>
        </w:tc>
        <w:tc>
          <w:tcPr>
            <w:tcW w:w="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1,063</w:t>
            </w: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-762635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380" w:hanging="372"/>
        <w:spacing w:after="0" w:line="222"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both the second quarter of 2025 and the first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($3 million in the second quarter of 2025; $3 million in the first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231F20"/>
        </w:rPr>
        <w:t>Second-quarter 2025 revenue of $8.5 billion increased 1% compared to the first quarter of 2025. SLB’s broad exposure across geographies and business lines enabled it to effectively overcome the impact of certain regional activity slowdowns. As a result, international revenue increased 2% sequentially, driven by robust growth in some parts of the Middle East, Asia, Europe and North Africa, which more than offset declines in certain key markets. Revenue in North America decreased 4% sequentially as a result of lower Asset Performance Solutions (“APS”) revenue and reduced activity due to the Canadian seasonal spring break.</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Despite pockets of activity adjustments in key markets, the industry has shown that it can operate through uncertainty without a significant drop in upstream spending. This has been driven by the combination of capital discipline and the need for energy security.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31F20"/>
        </w:rPr>
        <w:t xml:space="preserve">Assuming commodity prices stay range bound, SLB remain constructive for the second half of the year. This is supported by its position in key markets, the depth of its diversified portfolio, and its increased exposure to the growing production and recovery market through the acquisition of ChampionX, which closed on July 16, 2025 (see Note 1 to the </w:t>
      </w:r>
      <w:r>
        <w:rPr>
          <w:rFonts w:ascii="Arial" w:cs="Arial" w:eastAsia="Arial" w:hAnsi="Arial"/>
          <w:sz w:val="16"/>
          <w:szCs w:val="16"/>
          <w:i w:val="1"/>
          <w:iCs w:val="1"/>
          <w:color w:val="231F20"/>
        </w:rPr>
        <w:t>Consolidated Financial Statements</w:t>
      </w:r>
      <w:r>
        <w:rPr>
          <w:rFonts w:ascii="Arial" w:cs="Arial" w:eastAsia="Arial" w:hAnsi="Arial"/>
          <w:sz w:val="16"/>
          <w:szCs w:val="16"/>
          <w:color w:val="231F20"/>
        </w:rPr>
        <w:t>). SLB will also continue to manage costs in line with market conditions as it remains focused on delivering peer-leading margins.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Digital &amp; Integration revenue of $995 million decreased 1% sequentially primarily due to lower APS revenue in Canada. Digital revenue remained steady, with double-digit sequential growth from the combined effects of platforms, applications and digital operations, offset by reduced sales of exploration data following a strong first quarter.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231F20"/>
        </w:rPr>
        <w:t>Digital &amp; Integration pretax operating margin of 33% expanded 240 basis points (“bps”) sequentially, driven by greater digital adoption and efficiency gains.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revenue of $1.7 billion declined 1% sequentially due to a slowdown in evaluation and stimulation activity across international markets, partially offset by strong intervention activity.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31F20"/>
        </w:rPr>
        <w:t>Reservoir Performance pretax operating margin of 19% increased 203 bps sequentially as a result of the higher intervention activity and the absence of startup costs that impacted the first quarter.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revenue of $3.0 billion was essentially flat sequentially. Higher revenue in Iraq, the United Arab Emirates, offshore Mexico, North Africa and Nigeria were offset by declines in drilling activity in Namibia, North America land markets, Argentina and Saudi Arabia.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pretax operating margin of 19% declined 119 bps sequentially primarily due to an unfavorable geography mix in the international markets.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6"/>
          <w:szCs w:val="16"/>
          <w:color w:val="231F20"/>
        </w:rPr>
        <w:t>Production Systems revenue of $3.0 billion increased 3% sequentially primarily due to higher sales of artificial lift systems and midstream production solutions.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231F20"/>
        </w:rPr>
        <w:t>Production Systems sequential pretax operating margin remained steady at 16% primarily due to continued growth and a favorable activity mix.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Six Months 2025 Compared to Six Months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Six Months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6"/>
                <w:szCs w:val="16"/>
                <w:color w:val="auto"/>
              </w:rPr>
              <w:t>Six Months 2024</w:t>
            </w:r>
          </w:p>
        </w:tc>
      </w:tr>
      <w:tr>
        <w:trPr>
          <w:trHeight w:val="168"/>
        </w:trPr>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59"/>
              <w:spacing w:after="0" w:line="168" w:lineRule="exact"/>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3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3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 &amp; Integration</w:t>
            </w:r>
          </w:p>
        </w:tc>
        <w:tc>
          <w:tcPr>
            <w:tcW w:w="21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2,001</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633</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w:t>
            </w:r>
          </w:p>
        </w:tc>
        <w:tc>
          <w:tcPr>
            <w:tcW w:w="120" w:type="dxa"/>
            <w:vAlign w:val="bottom"/>
            <w:shd w:val="clear" w:color="auto" w:fill="CFF0FC"/>
          </w:tcPr>
          <w:p>
            <w:pPr>
              <w:spacing w:after="0"/>
              <w:rPr>
                <w:sz w:val="15"/>
                <w:szCs w:val="15"/>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Reservoir Performance</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6"/>
                <w:szCs w:val="16"/>
                <w:color w:val="auto"/>
              </w:rPr>
            </w:pPr>
          </w:p>
        </w:tc>
      </w:tr>
      <w:tr>
        <w:trPr>
          <w:trHeight w:val="18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5,940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1,140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FF0FC"/>
          </w:tcPr>
          <w:p>
            <w:pPr>
              <w:spacing w:after="0"/>
              <w:rPr>
                <w:sz w:val="16"/>
                <w:szCs w:val="16"/>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6"/>
                <w:szCs w:val="16"/>
                <w:color w:val="auto"/>
              </w:rPr>
              <w:t>Production Systems</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5,974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6"/>
                <w:szCs w:val="16"/>
                <w:color w:val="auto"/>
              </w:rPr>
            </w:pPr>
          </w:p>
        </w:tc>
      </w:tr>
      <w:tr>
        <w:trPr>
          <w:trHeight w:val="189"/>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Eliminations &amp; other</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(271)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r>
      <w:tr>
        <w:trPr>
          <w:trHeight w:val="183"/>
        </w:trPr>
        <w:tc>
          <w:tcPr>
            <w:tcW w:w="3580" w:type="dxa"/>
            <w:vAlign w:val="bottom"/>
            <w:tcBorders>
              <w:top w:val="single" w:sz="8" w:color="CFF0FC"/>
            </w:tcBorders>
          </w:tcPr>
          <w:p>
            <w:pPr>
              <w:spacing w:after="0"/>
              <w:rPr>
                <w:sz w:val="15"/>
                <w:szCs w:val="15"/>
                <w:color w:val="auto"/>
              </w:rPr>
            </w:pPr>
          </w:p>
        </w:tc>
        <w:tc>
          <w:tcPr>
            <w:tcW w:w="19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3,140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3,502</w:t>
            </w:r>
          </w:p>
        </w:tc>
        <w:tc>
          <w:tcPr>
            <w:tcW w:w="120" w:type="dxa"/>
            <w:vAlign w:val="bottom"/>
            <w:tcBorders>
              <w:top w:val="single" w:sz="8" w:color="CFF0FC"/>
            </w:tcBorders>
          </w:tcPr>
          <w:p>
            <w:pPr>
              <w:spacing w:after="0"/>
              <w:rPr>
                <w:sz w:val="15"/>
                <w:szCs w:val="15"/>
                <w:color w:val="auto"/>
              </w:rPr>
            </w:pPr>
          </w:p>
        </w:tc>
      </w:tr>
      <w:tr>
        <w:trPr>
          <w:trHeight w:val="189"/>
        </w:trPr>
        <w:tc>
          <w:tcPr>
            <w:tcW w:w="35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(347)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r>
      <w:tr>
        <w:trPr>
          <w:trHeight w:val="189"/>
        </w:trPr>
        <w:tc>
          <w:tcPr>
            <w:tcW w:w="35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(283)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(238)</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r>
      <w:tr>
        <w:trPr>
          <w:trHeight w:val="20"/>
        </w:trPr>
        <w:tc>
          <w:tcPr>
            <w:tcW w:w="3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17,035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2,348</w:t>
            </w:r>
          </w:p>
        </w:tc>
        <w:tc>
          <w:tcPr>
            <w:tcW w:w="14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17,846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2,778</w:t>
            </w:r>
          </w:p>
        </w:tc>
        <w:tc>
          <w:tcPr>
            <w:tcW w:w="120" w:type="dxa"/>
            <w:vAlign w:val="bottom"/>
            <w:shd w:val="clear" w:color="auto" w:fill="CFF0FC"/>
          </w:tcPr>
          <w:p>
            <w:pPr>
              <w:spacing w:after="0"/>
              <w:rPr>
                <w:sz w:val="17"/>
                <w:szCs w:val="17"/>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-762635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$13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($6 million in 2025; $7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31F20"/>
        </w:rPr>
        <w:t>Six-month 2025 revenue of $17.0 billion decreased 5% year on year primarily due to activity reductions in Saudi Arabia, Mexico, and certain key offshore markets. As a result, international revenue declined by 6% year on year. North America revenue increased by 4% primarily due to growth in data center infrastructure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 &amp; Integration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Digital &amp; Integration revenue of $2.0 billion was flat year on year. Revenue growth from platform, applications and digital operations of 10% was offset by lower sales exploration data and lower APS revenue.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Digital &amp; Integration pretax operating margin of 32% increased 272 bps year on year driven by greater digital adoption and efficiency gains.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Reservoir Performance revenue of $3.4 billion decreased 4% year on year primarily due to a slowdown in evaluation and stimulation activity in the international markets.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231F20"/>
        </w:rPr>
        <w:t>Reservoir Performance pretax operating margin of 18% contracted 259 bps year on year due to the lower evaluation and stimulation activity.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Well Construction revenue of $5.9 billion declined 12% year on year driven by a broad reduction in drilling activity both internationally, mainly in Saudi Arabia, Mexico and offshore Africa, and in North America.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pretax operating margin of 19% declined 193 bps year on year driven by the widespread activity reductions.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Production Systems revenue of $6.0 billion increased 2% year on year driven by strong demand for data center infrastructure solutions, artificial lift, completions, and surface production systems.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Production Systems pretax operating margin of 16% expanded 136 bps year on year driven primarily by a favorable activity mix and execution efficiency.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&amp;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45"/>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center"/>
              <w:ind w:left="127"/>
              <w:spacing w:after="0"/>
              <w:rPr>
                <w:sz w:val="20"/>
                <w:szCs w:val="20"/>
                <w:color w:val="auto"/>
              </w:rPr>
            </w:pPr>
            <w:r>
              <w:rPr>
                <w:rFonts w:ascii="Arial" w:cs="Arial" w:eastAsia="Arial" w:hAnsi="Arial"/>
                <w:sz w:val="16"/>
                <w:szCs w:val="16"/>
                <w:b w:val="1"/>
                <w:bCs w:val="1"/>
                <w:color w:val="auto"/>
              </w:rPr>
              <w:t>Second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Six Months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ind w:left="167"/>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First Quarter</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jc w:val="center"/>
              <w:ind w:left="167"/>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 on sale of Palliser APS project</w:t>
            </w:r>
          </w:p>
        </w:tc>
        <w:tc>
          <w:tcPr>
            <w:tcW w:w="860" w:type="dxa"/>
            <w:vAlign w:val="bottom"/>
            <w:gridSpan w:val="2"/>
            <w:shd w:val="clear" w:color="auto" w:fill="CFF0FC"/>
          </w:tcPr>
          <w:p>
            <w:pPr>
              <w:jc w:val="right"/>
              <w:ind w:right="70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149</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84"/>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149</w:t>
            </w:r>
          </w:p>
        </w:tc>
        <w:tc>
          <w:tcPr>
            <w:tcW w:w="580" w:type="dxa"/>
            <w:vAlign w:val="bottom"/>
            <w:gridSpan w:val="2"/>
            <w:shd w:val="clear" w:color="auto" w:fill="CFF0FC"/>
          </w:tcPr>
          <w:p>
            <w:pPr>
              <w:jc w:val="right"/>
              <w:ind w:right="184"/>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Earnings of equity method investments</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w:t>
            </w:r>
          </w:p>
        </w:tc>
        <w:tc>
          <w:tcPr>
            <w:tcW w:w="2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w:t>
            </w:r>
          </w:p>
        </w:tc>
        <w:tc>
          <w:tcPr>
            <w:tcW w:w="24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07"/>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252</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330</w:t>
            </w: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 </w:t>
      </w:r>
      <w:r>
        <w:rPr>
          <w:rFonts w:ascii="Arial" w:cs="Arial" w:eastAsia="Arial" w:hAnsi="Arial"/>
          <w:sz w:val="16"/>
          <w:szCs w:val="16"/>
          <w:color w:val="auto"/>
        </w:rPr>
        <w:t>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First</w:t>
            </w:r>
          </w:p>
        </w:tc>
        <w:tc>
          <w:tcPr>
            <w:tcW w:w="1780" w:type="dxa"/>
            <w:vAlign w:val="bottom"/>
            <w:gridSpan w:val="3"/>
            <w:vMerge w:val="restart"/>
          </w:tcPr>
          <w:p>
            <w:pPr>
              <w:ind w:left="880"/>
              <w:spacing w:after="0"/>
              <w:rPr>
                <w:sz w:val="20"/>
                <w:szCs w:val="20"/>
                <w:color w:val="auto"/>
              </w:rPr>
            </w:pPr>
            <w:r>
              <w:rPr>
                <w:rFonts w:ascii="Arial" w:cs="Arial" w:eastAsia="Arial" w:hAnsi="Arial"/>
                <w:sz w:val="16"/>
                <w:szCs w:val="16"/>
                <w:b w:val="1"/>
                <w:bCs w:val="1"/>
                <w:color w:val="auto"/>
              </w:rPr>
              <w:t>Six Months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Quarter</w:t>
            </w:r>
          </w:p>
        </w:tc>
        <w:tc>
          <w:tcPr>
            <w:tcW w:w="17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90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2025</w:t>
            </w:r>
          </w:p>
        </w:tc>
        <w:tc>
          <w:tcPr>
            <w:tcW w:w="280" w:type="dxa"/>
            <w:vAlign w:val="bottom"/>
          </w:tcPr>
          <w:p>
            <w:pPr>
              <w:spacing w:after="0"/>
              <w:rPr>
                <w:sz w:val="15"/>
                <w:szCs w:val="15"/>
                <w:color w:val="auto"/>
              </w:rPr>
            </w:pPr>
          </w:p>
        </w:tc>
        <w:tc>
          <w:tcPr>
            <w:tcW w:w="11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Research &amp; engineering</w:t>
            </w:r>
          </w:p>
        </w:tc>
        <w:tc>
          <w:tcPr>
            <w:tcW w:w="5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2.1%</w:t>
            </w: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2.0%</w:t>
            </w: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2.1%</w:t>
            </w:r>
          </w:p>
        </w:tc>
        <w:tc>
          <w:tcPr>
            <w:tcW w:w="3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6"/>
                <w:szCs w:val="16"/>
                <w:color w:val="auto"/>
              </w:rPr>
              <w:t>General &amp; administrative</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effective tax rate was 18% for the second quarter of 2025 as compared to 19% for the same period of 2024. The effective tax rate for the first six months of 2025 was 20% as compared to 19% for the same period of 2024.</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SLB recorded charges and credits during the first six months of 2025 and 2024.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80" w:type="dxa"/>
            <w:vAlign w:val="bottom"/>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r>
      <w:tr>
        <w:trPr>
          <w:trHeight w:val="223"/>
        </w:trPr>
        <w:tc>
          <w:tcPr>
            <w:tcW w:w="57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810"/>
        </w:trPr>
        <w:tc>
          <w:tcPr>
            <w:tcW w:w="57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80" w:type="dxa"/>
            <w:vAlign w:val="bottom"/>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Second quarter:</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Workforce reductions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-1919605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-1902460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-2047875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-1919605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-1902460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-2047875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-1919605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-1902460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-2047875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-1902460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-2047875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4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Jun.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Dec. 31,</w:t>
            </w:r>
          </w:p>
        </w:tc>
      </w:tr>
      <w:tr>
        <w:trPr>
          <w:trHeight w:val="203"/>
        </w:trPr>
        <w:tc>
          <w:tcPr>
            <w:tcW w:w="4900" w:type="dxa"/>
            <w:vAlign w:val="bottom"/>
          </w:tcPr>
          <w:p>
            <w:pPr>
              <w:spacing w:after="0"/>
              <w:rPr>
                <w:sz w:val="20"/>
                <w:szCs w:val="20"/>
                <w:color w:val="auto"/>
              </w:rPr>
            </w:pPr>
            <w:r>
              <w:rPr>
                <w:rFonts w:ascii="Arial" w:cs="Arial" w:eastAsia="Arial" w:hAnsi="Arial"/>
                <w:sz w:val="16"/>
                <w:szCs w:val="16"/>
                <w:b w:val="1"/>
                <w:bCs w:val="1"/>
                <w:color w:val="auto"/>
              </w:rPr>
              <w:t>Components of Liquidity:</w:t>
            </w:r>
          </w:p>
        </w:tc>
        <w:tc>
          <w:tcPr>
            <w:tcW w:w="1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w:t>
            </w:r>
          </w:p>
        </w:tc>
        <w:tc>
          <w:tcPr>
            <w:tcW w:w="18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3,236</w:t>
            </w:r>
          </w:p>
        </w:tc>
        <w:tc>
          <w:tcPr>
            <w:tcW w:w="1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2,953</w:t>
            </w:r>
          </w:p>
        </w:tc>
        <w:tc>
          <w:tcPr>
            <w:tcW w:w="1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5"/>
                <w:szCs w:val="15"/>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Short-term investments</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r>
      <w:tr>
        <w:trPr>
          <w:trHeight w:val="189"/>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1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(2,807)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(1,051)</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Long-term debt</w:t>
            </w: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(10,891)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(12,156)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(11,023)</w:t>
            </w:r>
          </w:p>
        </w:tc>
      </w:tr>
      <w:tr>
        <w:trPr>
          <w:trHeight w:val="20"/>
        </w:trPr>
        <w:tc>
          <w:tcPr>
            <w:tcW w:w="4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18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b w:val="1"/>
                <w:bCs w:val="1"/>
                <w:color w:val="auto"/>
              </w:rPr>
              <w:t>(9,951)</w:t>
            </w:r>
          </w:p>
        </w:tc>
        <w:tc>
          <w:tcPr>
            <w:tcW w:w="36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(9,186)</w:t>
            </w:r>
          </w:p>
        </w:tc>
        <w:tc>
          <w:tcPr>
            <w:tcW w:w="2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(7,405)</w:t>
            </w:r>
          </w:p>
        </w:tc>
      </w:tr>
      <w:tr>
        <w:trPr>
          <w:trHeight w:val="613"/>
        </w:trPr>
        <w:tc>
          <w:tcPr>
            <w:tcW w:w="490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jc w:val="right"/>
              <w:ind w:right="759"/>
              <w:spacing w:after="0"/>
              <w:rPr>
                <w:sz w:val="20"/>
                <w:szCs w:val="20"/>
                <w:color w:val="auto"/>
              </w:rPr>
            </w:pPr>
            <w:r>
              <w:rPr>
                <w:rFonts w:ascii="Arial" w:cs="Arial" w:eastAsia="Arial" w:hAnsi="Arial"/>
                <w:sz w:val="16"/>
                <w:szCs w:val="16"/>
                <w:color w:val="auto"/>
              </w:rPr>
              <w:t>22</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1"/>
        </w:trPr>
        <w:tc>
          <w:tcPr>
            <w:tcW w:w="49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-916940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-899795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6600" w:type="dxa"/>
            <w:vAlign w:val="bottom"/>
            <w:vMerge w:val="restart"/>
          </w:tcPr>
          <w:p>
            <w:pPr>
              <w:spacing w:after="0"/>
              <w:rPr>
                <w:sz w:val="20"/>
                <w:szCs w:val="20"/>
                <w:color w:val="auto"/>
              </w:rPr>
            </w:pPr>
            <w:r>
              <w:rPr>
                <w:rFonts w:ascii="Arial" w:cs="Arial" w:eastAsia="Arial" w:hAnsi="Arial"/>
                <w:sz w:val="16"/>
                <w:szCs w:val="16"/>
                <w:b w:val="1"/>
                <w:bCs w:val="1"/>
                <w:color w:val="auto"/>
              </w:rPr>
              <w:t>Changes in Liquidity:</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Six Months Ended Jun. 30,</w:t>
            </w:r>
          </w:p>
        </w:tc>
        <w:tc>
          <w:tcPr>
            <w:tcW w:w="0" w:type="dxa"/>
            <w:vAlign w:val="bottom"/>
          </w:tcPr>
          <w:p>
            <w:pPr>
              <w:spacing w:after="0"/>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42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1,877</w:t>
            </w:r>
          </w:p>
        </w:tc>
        <w:tc>
          <w:tcPr>
            <w:tcW w:w="1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Impairment of equity method investment</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Palliser APS project</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(149)</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1,273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Earnings of equity method investments, less dividends received</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Deferred taxes</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Increase in working capital</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72</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operations</w:t>
            </w:r>
          </w:p>
        </w:tc>
        <w:tc>
          <w:tcPr>
            <w:tcW w:w="1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(769)</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APS investments</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Exploration data costs capitalized</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106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725</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(773)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plans</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Proceeds from stock options</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Taxes paid on net settled stock-based compensation awards</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Business acquisitions and investments, net of cash acquired</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Palliser APS project</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Purchase of Blue Chip Swap securities</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Blue Chip securities</w:t>
            </w: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(2,051)</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Increase in net debt</w:t>
            </w: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(2,546)</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Arial" w:cs="Arial" w:eastAsia="Arial" w:hAnsi="Arial"/>
                <w:sz w:val="16"/>
                <w:szCs w:val="16"/>
                <w:color w:val="auto"/>
              </w:rPr>
              <w:t xml:space="preserve">Net debt, beginning of period </w:t>
            </w:r>
            <w:r>
              <w:rPr>
                <w:rFonts w:ascii="Arial" w:cs="Arial" w:eastAsia="Arial" w:hAnsi="Arial"/>
                <w:sz w:val="21"/>
                <w:szCs w:val="21"/>
                <w:color w:val="auto"/>
                <w:vertAlign w:val="superscript"/>
              </w:rPr>
              <w:t>(1)</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(7,405)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(7,976)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 xml:space="preserve">Net debt, end of period </w:t>
            </w:r>
            <w:r>
              <w:rPr>
                <w:rFonts w:ascii="Arial" w:cs="Arial" w:eastAsia="Arial" w:hAnsi="Arial"/>
                <w:sz w:val="19"/>
                <w:szCs w:val="19"/>
                <w:b w:val="1"/>
                <w:bCs w:val="1"/>
                <w:color w:val="auto"/>
                <w:vertAlign w:val="superscript"/>
              </w:rPr>
              <w:t>(1)</w:t>
            </w: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b w:val="1"/>
                <w:bCs w:val="1"/>
                <w:color w:val="auto"/>
                <w:w w:val="89"/>
              </w:rPr>
              <w:t>$</w:t>
            </w:r>
          </w:p>
        </w:tc>
        <w:tc>
          <w:tcPr>
            <w:tcW w:w="14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b w:val="1"/>
                <w:bCs w:val="1"/>
                <w:color w:val="auto"/>
              </w:rPr>
              <w:t>(9,951)</w:t>
            </w:r>
          </w:p>
        </w:tc>
        <w:tc>
          <w:tcPr>
            <w:tcW w:w="4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-1988185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Key liquidity events during the first six months of 2025 and 2024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$1.1 billion during the first six months of 2025 compared to $1.2 billion during the first six months of 2024. Capital investments for the full year 2025 are expected to be approximately $2.4 billion, including the impact of the ChampionX acquisition.</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2025, SLB announced a 3.6% increase to its quarterly cash dividend from $0.275 per share of outstanding common stock to $0.285 per share, beginning with the dividend payable in April 2025. Dividends paid during the first six months of 2025 and 2024 were $773 million and $751 million, respectively.</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59"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SLB entered into accelerated share repurchase ("ASR") agreements to repurchase $2.3 billion of its common stock commencing on January 13, 2025, and ending no later than May 31, 2025. The ASR was completed on April 7, 2025, and SLB received 56.8 million shares of its common stock, of which 47.6 million were received in January 2025 and the remaining 9.2 million shares were received in April 2025. These shares were repurchased by SLB at an average price of $40.51, representing the volume-weighted average price of SLB's common stock during this period less a discount.</w:t>
      </w:r>
    </w:p>
    <w:p>
      <w:pPr>
        <w:spacing w:after="0" w:line="69"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six months of 2024, SLB repurchased 15.3 million shares of its common stock at an average price of $48.01 per share for a total purchase price of $735 million.</w:t>
      </w:r>
    </w:p>
    <w:p>
      <w:pPr>
        <w:spacing w:after="0" w:line="48"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SLB completed the sale of its interest in the Palliser APS project in Canada in exchange for net cash proceeds of $338 million, of which $22 million were received in the third quarter of 2025. SLB recorded revenue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3" w:name="page24"/>
    <w:bookmarkEnd w:id="23"/>
    <w:p>
      <w:pPr>
        <w:ind w:left="380"/>
        <w:spacing w:after="0"/>
        <w:rPr>
          <w:sz w:val="20"/>
          <w:szCs w:val="20"/>
          <w:color w:val="auto"/>
        </w:rPr>
      </w:pPr>
      <w:r>
        <w:rPr>
          <w:rFonts w:ascii="Arial" w:cs="Arial" w:eastAsia="Arial" w:hAnsi="Arial"/>
          <w:sz w:val="16"/>
          <w:szCs w:val="16"/>
          <w:color w:val="auto"/>
        </w:rPr>
        <w:t>approximately $0.2 billion relating to this project during the six months ended June 30, 2025 and approximately $0.5 billion during 2024.</w:t>
      </w:r>
    </w:p>
    <w:p>
      <w:pPr>
        <w:spacing w:after="0" w:line="113" w:lineRule="exact"/>
        <w:rPr>
          <w:sz w:val="20"/>
          <w:szCs w:val="20"/>
          <w:color w:val="auto"/>
        </w:rPr>
      </w:pPr>
    </w:p>
    <w:p>
      <w:pPr>
        <w:ind w:left="380" w:hanging="372"/>
        <w:spacing w:after="0" w:line="285" w:lineRule="auto"/>
        <w:tabs>
          <w:tab w:leader="none" w:pos="3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issued $500 million of 5.00% Senior Notes due 2027, $500 million of 5.00% Senior Notes due 2029, and $500 million of 5.00% Senior Notes due 2034.</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June 30, 2025, SLB had $3.7 billion of cash and short-term investments on hand and committed debt facility agreements with commercial banks aggregating $5.0 billion, all of which was available. SLB believes these amounts are sufficient to meet future business requirements for at least the next 12 months and beyond.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SLB has a global footprint in more than 100 countries. As of June 30, 2025, only two of those countries individually accounted for greater than 5% of SLB’s net receivable balance. Only one of these countries, the United States, represented greater than 10% of such receivables. As of June 30, 2025, Mexico represented 9% of SLB's net accounts receivable balance see Note 8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While SLB has recently experienced delays in payment from its primary customer in Mexico, these receivables are not in dispute and SLB has not historically had any material write-offs due to uncollectible accounts receivable relating to this customer.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second-quarter 2025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 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3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July 24, 2025, and SLB disclaims any intention or obligation to update publicly or revise such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2024. SLB’s exposure to market risk has not changed materially since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6"/>
          <w:szCs w:val="16"/>
          <w:color w:val="auto"/>
        </w:rPr>
        <w:t>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9—Contingencies,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July 16, 2025, SLB completed the acquisition of ChampionX and therefore no longer faces risks associated with the ability to complete the ChampionX transaction. Except as described in the foregoing sentence, as of the date of this filing, there have been no material changes from the risk factors disclosed in Part 1, Item 1A, of SLB’s Annual Report on Form 10-K for the fiscal year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June 30, 2025, SLB had repurchased approximately $5.8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June 30, 2025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45"/>
        </w:trPr>
        <w:tc>
          <w:tcPr>
            <w:tcW w:w="5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Total number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of shares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Maximum</w:t>
            </w: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purchased as</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rPr>
              <w:t>value of shares</w:t>
            </w: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part of publicly</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rPr>
              <w:t>that may yet be</w:t>
            </w:r>
          </w:p>
        </w:tc>
      </w:tr>
      <w:tr>
        <w:trPr>
          <w:trHeight w:val="189"/>
        </w:trPr>
        <w:tc>
          <w:tcPr>
            <w:tcW w:w="528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rPr>
              <w:t>Total number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rPr>
              <w:t>announced plans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purchased</w:t>
            </w:r>
          </w:p>
        </w:tc>
      </w:tr>
      <w:tr>
        <w:trPr>
          <w:trHeight w:val="189"/>
        </w:trPr>
        <w:tc>
          <w:tcPr>
            <w:tcW w:w="52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of shares</w:t>
            </w:r>
          </w:p>
        </w:tc>
        <w:tc>
          <w:tcPr>
            <w:tcW w:w="1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Average price</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or</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under the plans</w:t>
            </w:r>
          </w:p>
        </w:tc>
      </w:tr>
      <w:tr>
        <w:trPr>
          <w:trHeight w:val="203"/>
        </w:trPr>
        <w:tc>
          <w:tcPr>
            <w:tcW w:w="52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paid per share</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9"/>
              </w:rPr>
              <w:t>or programs</w:t>
            </w:r>
          </w:p>
        </w:tc>
        <w:tc>
          <w:tcPr>
            <w:tcW w:w="120" w:type="dxa"/>
            <w:vAlign w:val="bottom"/>
          </w:tcPr>
          <w:p>
            <w:pPr>
              <w:spacing w:after="0"/>
              <w:rPr>
                <w:sz w:val="17"/>
                <w:szCs w:val="17"/>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April 2025</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9,127.3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50.40</w:t>
            </w:r>
          </w:p>
        </w:tc>
        <w:tc>
          <w:tcPr>
            <w:tcW w:w="15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9,127.3</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4,241,326</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May 2025</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4,241,326</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June 2025</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4,241,326</w:t>
            </w:r>
          </w:p>
        </w:tc>
      </w:tr>
      <w:tr>
        <w:trPr>
          <w:trHeight w:val="20"/>
        </w:trPr>
        <w:tc>
          <w:tcPr>
            <w:tcW w:w="52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28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9,127.3</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50.40</w:t>
            </w:r>
          </w:p>
        </w:tc>
        <w:tc>
          <w:tcPr>
            <w:tcW w:w="15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9,127.3</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-153670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entered into ASR agreements to repurchase $2.3 billion of its common stock commencing on January 13, 2025, and ending no later than May 31, 2025. The ASR was completed on April 7, 2025, and SLB received 56.8 million shares of its common stock, of which 47.6 million were received in January 2025 and the remaining shares were received in April 2025. These shares were repurchased by SLB at an average price of $40.51, representing the volume-weighted average price of SLB's common stock during this period less a discount.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SLB’s residual transactions or dealings with the government of Iran during the second quarter of 2025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t>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83" w:lineRule="exact"/>
        <w:rPr>
          <w:sz w:val="20"/>
          <w:szCs w:val="20"/>
          <w:color w:val="auto"/>
        </w:rPr>
      </w:pPr>
    </w:p>
    <w:p>
      <w:pPr>
        <w:ind w:left="520"/>
        <w:spacing w:after="0" w:line="286" w:lineRule="auto"/>
        <w:rPr>
          <w:rFonts w:ascii="Arial" w:cs="Arial" w:eastAsia="Arial" w:hAnsi="Arial"/>
          <w:sz w:val="16"/>
          <w:szCs w:val="16"/>
          <w:color w:val="auto"/>
        </w:rPr>
      </w:pPr>
      <w:hyperlink r:id="rId315">
        <w:r>
          <w:rPr>
            <w:rFonts w:ascii="Arial" w:cs="Arial" w:eastAsia="Arial" w:hAnsi="Arial"/>
            <w:sz w:val="16"/>
            <w:szCs w:val="16"/>
            <w:color w:val="auto"/>
          </w:rPr>
          <w:t>Exhibit 3.1—Articles of Incorporation of Schlumberger Limited (Schlumberger N.V.) (incorporated by reference to Exhibit 3.1 to SLB’s Current Report</w:t>
        </w:r>
      </w:hyperlink>
      <w:r>
        <w:rPr>
          <w:rFonts w:ascii="Arial" w:cs="Arial" w:eastAsia="Arial" w:hAnsi="Arial"/>
          <w:sz w:val="16"/>
          <w:szCs w:val="16"/>
          <w:color w:val="auto"/>
        </w:rPr>
        <w:t xml:space="preserve"> </w:t>
      </w:r>
      <w:hyperlink r:id="rId315">
        <w:r>
          <w:rPr>
            <w:rFonts w:ascii="Arial" w:cs="Arial" w:eastAsia="Arial" w:hAnsi="Arial"/>
            <w:sz w:val="16"/>
            <w:szCs w:val="16"/>
            <w:color w:val="auto"/>
          </w:rPr>
          <w:t>on Form 8-K filed on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204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220460"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15722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109" w:lineRule="exact"/>
        <w:rPr>
          <w:sz w:val="20"/>
          <w:szCs w:val="20"/>
          <w:color w:val="auto"/>
        </w:rPr>
      </w:pPr>
    </w:p>
    <w:p>
      <w:pPr>
        <w:ind w:left="520"/>
        <w:spacing w:after="0" w:line="286" w:lineRule="auto"/>
        <w:rPr>
          <w:rFonts w:ascii="Arial" w:cs="Arial" w:eastAsia="Arial" w:hAnsi="Arial"/>
          <w:sz w:val="16"/>
          <w:szCs w:val="16"/>
          <w:color w:val="auto"/>
        </w:rPr>
      </w:pPr>
      <w:hyperlink r:id="rId318">
        <w:r>
          <w:rPr>
            <w:rFonts w:ascii="Arial" w:cs="Arial" w:eastAsia="Arial" w:hAnsi="Arial"/>
            <w:sz w:val="16"/>
            <w:szCs w:val="16"/>
            <w:color w:val="auto"/>
          </w:rPr>
          <w:t>Exhibit 3.2—Amended and Restated By-Laws of Schlumberger Limited (Schlumberger N.V.) (incorporated by reference to Exhibit 3 to SLB’s Current</w:t>
        </w:r>
      </w:hyperlink>
      <w:r>
        <w:rPr>
          <w:rFonts w:ascii="Arial" w:cs="Arial" w:eastAsia="Arial" w:hAnsi="Arial"/>
          <w:sz w:val="16"/>
          <w:szCs w:val="16"/>
          <w:color w:val="auto"/>
        </w:rPr>
        <w:t xml:space="preserve"> </w:t>
      </w:r>
      <w:hyperlink r:id="rId318">
        <w:r>
          <w:rPr>
            <w:rFonts w:ascii="Arial" w:cs="Arial" w:eastAsia="Arial" w:hAnsi="Arial"/>
            <w:sz w:val="16"/>
            <w:szCs w:val="16"/>
            <w:color w:val="auto"/>
          </w:rPr>
          <w:t>Report on Form 8-K filed on April 21,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-165735</wp:posOffset>
            </wp:positionV>
            <wp:extent cx="62210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622109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19665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1966595" cy="8255"/>
                    </a:xfrm>
                    <a:prstGeom prst="rect">
                      <a:avLst/>
                    </a:prstGeom>
                    <a:noFill/>
                  </pic:spPr>
                </pic:pic>
              </a:graphicData>
            </a:graphic>
          </wp:anchor>
        </w:drawing>
      </w:r>
    </w:p>
    <w:p>
      <w:pPr>
        <w:spacing w:after="0" w:line="109" w:lineRule="exact"/>
        <w:rPr>
          <w:sz w:val="20"/>
          <w:szCs w:val="20"/>
          <w:color w:val="auto"/>
        </w:rPr>
      </w:pPr>
    </w:p>
    <w:p>
      <w:pPr>
        <w:ind w:left="520" w:hanging="3"/>
        <w:spacing w:after="0" w:line="286" w:lineRule="auto"/>
        <w:tabs>
          <w:tab w:leader="none" w:pos="648"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Exhibit 10.1—Employment, Non-Competition and Non-Solicitation Agreement effective as of May 1, 2025, by and between SLB and Khaled Al Mogharbel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-165735</wp:posOffset>
            </wp:positionV>
            <wp:extent cx="60725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607250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643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09" w:lineRule="exact"/>
        <w:rPr>
          <w:sz w:val="20"/>
          <w:szCs w:val="20"/>
          <w:color w:val="auto"/>
        </w:rPr>
      </w:pPr>
    </w:p>
    <w:p>
      <w:pPr>
        <w:ind w:left="520" w:right="20"/>
        <w:spacing w:after="0" w:line="286" w:lineRule="auto"/>
        <w:rPr>
          <w:rFonts w:ascii="Arial" w:cs="Arial" w:eastAsia="Arial" w:hAnsi="Arial"/>
          <w:sz w:val="16"/>
          <w:szCs w:val="16"/>
          <w:color w:val="auto"/>
        </w:rPr>
      </w:pPr>
      <w:hyperlink r:id="rId323">
        <w:r>
          <w:rPr>
            <w:rFonts w:ascii="Arial" w:cs="Arial" w:eastAsia="Arial" w:hAnsi="Arial"/>
            <w:sz w:val="16"/>
            <w:szCs w:val="16"/>
            <w:color w:val="auto"/>
          </w:rPr>
          <w:t>Exhibit 10.2—SLB Discounted Stock Purchase Plan, as amended and restated effective January 16, 2025 (incorporated by reference to Appendix B</w:t>
        </w:r>
      </w:hyperlink>
      <w:r>
        <w:rPr>
          <w:rFonts w:ascii="Arial" w:cs="Arial" w:eastAsia="Arial" w:hAnsi="Arial"/>
          <w:sz w:val="16"/>
          <w:szCs w:val="16"/>
          <w:color w:val="auto"/>
        </w:rPr>
        <w:t xml:space="preserve"> </w:t>
      </w:r>
      <w:hyperlink r:id="rId323">
        <w:r>
          <w:rPr>
            <w:rFonts w:ascii="Arial" w:cs="Arial" w:eastAsia="Arial" w:hAnsi="Arial"/>
            <w:sz w:val="16"/>
            <w:szCs w:val="16"/>
            <w:color w:val="auto"/>
          </w:rPr>
          <w:t>to SLB’s Definitive Proxy Statement on Schedule 14A filed on February 20,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-165735</wp:posOffset>
            </wp:positionV>
            <wp:extent cx="61614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616140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38569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3856990" cy="8255"/>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22—Issuers of Registered Guaranteed Debt Securities</w:t>
      </w:r>
    </w:p>
    <w:p>
      <w:pPr>
        <w:spacing w:after="0" w:line="194"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31.1—Certification of Chief Executive Officer pursuant to Rule 13a-14(a) of the Securities Exchange Act of 1934, as amended, as adopted pursuant to Section 302 of the Sarbanes-Oxley Act of 2002</w:t>
      </w:r>
    </w:p>
    <w:p>
      <w:pPr>
        <w:spacing w:after="0" w:line="128"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31.2—Certification of Chief Financial Officer pursuant to Rule 13a-14(a)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-765810</wp:posOffset>
            </wp:positionV>
            <wp:extent cx="2270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-525780</wp:posOffset>
            </wp:positionV>
            <wp:extent cx="60839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608393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2687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-165735</wp:posOffset>
            </wp:positionV>
            <wp:extent cx="60839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687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2687320" cy="8890"/>
                    </a:xfrm>
                    <a:prstGeom prst="rect">
                      <a:avLst/>
                    </a:prstGeom>
                    <a:noFill/>
                  </pic:spPr>
                </pic:pic>
              </a:graphicData>
            </a:graphic>
          </wp:anchor>
        </w:drawing>
      </w:r>
    </w:p>
    <w:p>
      <w:pPr>
        <w:spacing w:after="0" w:line="109" w:lineRule="exact"/>
        <w:rPr>
          <w:sz w:val="20"/>
          <w:szCs w:val="20"/>
          <w:color w:val="auto"/>
        </w:rPr>
      </w:pPr>
    </w:p>
    <w:p>
      <w:pPr>
        <w:ind w:left="520" w:hanging="3"/>
        <w:spacing w:after="0" w:line="28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32.1—Certification of Chief Executive Officer pursuant to 18 U.S.C. Section 1350, as adopted pursuant to Section 906 of the Sarbanes-Oxley Act of 2002</w:t>
      </w:r>
    </w:p>
    <w:p>
      <w:pPr>
        <w:spacing w:after="0" w:line="128" w:lineRule="exact"/>
        <w:rPr>
          <w:rFonts w:ascii="Arial" w:cs="Arial" w:eastAsia="Arial" w:hAnsi="Arial"/>
          <w:sz w:val="16"/>
          <w:szCs w:val="16"/>
          <w:color w:val="auto"/>
        </w:rPr>
      </w:pPr>
    </w:p>
    <w:p>
      <w:pPr>
        <w:ind w:left="520" w:hanging="3"/>
        <w:spacing w:after="0" w:line="28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Exhibit 32.2—Certification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-525780</wp:posOffset>
            </wp:positionV>
            <wp:extent cx="60382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8115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-165735</wp:posOffset>
            </wp:positionV>
            <wp:extent cx="603821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603821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8115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09" w:lineRule="exact"/>
        <w:rPr>
          <w:sz w:val="20"/>
          <w:szCs w:val="20"/>
          <w:color w:val="auto"/>
        </w:rPr>
      </w:pPr>
    </w:p>
    <w:p>
      <w:pPr>
        <w:ind w:left="620" w:hanging="103"/>
        <w:spacing w:after="0"/>
        <w:tabs>
          <w:tab w:leader="none" w:pos="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Exhibit 95—Mine Safety Disclosures</w:t>
      </w:r>
    </w:p>
    <w:p>
      <w:pPr>
        <w:spacing w:after="0" w:line="194" w:lineRule="exact"/>
        <w:rPr>
          <w:rFonts w:ascii="Arial" w:cs="Arial" w:eastAsia="Arial" w:hAnsi="Arial"/>
          <w:sz w:val="16"/>
          <w:szCs w:val="16"/>
          <w:color w:val="auto"/>
        </w:rPr>
      </w:pPr>
    </w:p>
    <w:p>
      <w:pPr>
        <w:ind w:left="520" w:hanging="3"/>
        <w:spacing w:after="0" w:line="286" w:lineRule="auto"/>
        <w:tabs>
          <w:tab w:leader="none" w:pos="64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28" w:lineRule="exact"/>
        <w:rPr>
          <w:rFonts w:ascii="Arial" w:cs="Arial" w:eastAsia="Arial" w:hAnsi="Arial"/>
          <w:sz w:val="16"/>
          <w:szCs w:val="16"/>
          <w:color w:val="auto"/>
        </w:rPr>
      </w:pPr>
    </w:p>
    <w:p>
      <w:pPr>
        <w:ind w:left="620" w:hanging="103"/>
        <w:spacing w:after="0"/>
        <w:tabs>
          <w:tab w:leader="none" w:pos="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194" w:lineRule="exact"/>
        <w:rPr>
          <w:rFonts w:ascii="Arial" w:cs="Arial" w:eastAsia="Arial" w:hAnsi="Arial"/>
          <w:sz w:val="16"/>
          <w:szCs w:val="16"/>
          <w:color w:val="auto"/>
        </w:rPr>
      </w:pPr>
    </w:p>
    <w:p>
      <w:pPr>
        <w:ind w:right="4000" w:firstLine="517"/>
        <w:spacing w:after="0" w:line="440" w:lineRule="auto"/>
        <w:tabs>
          <w:tab w:leader="none" w:pos="61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-1273175</wp:posOffset>
            </wp:positionV>
            <wp:extent cx="11029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SCHLUMBERGER LIMITED</w:t>
      </w:r>
    </w:p>
    <w:p>
      <w:pPr>
        <w:spacing w:after="0" w:line="235"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6"/>
          <w:szCs w:val="16"/>
          <w:color w:val="auto"/>
        </w:rPr>
        <w:t>Date:</w:t>
        <w:tab/>
        <w:t>July 24, 2025</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Howard Guild</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NON-COMPETITION AND NON-SOLICITATION AGREEMENT</w:t>
      </w:r>
    </w:p>
    <w:p>
      <w:pPr>
        <w:spacing w:after="0" w:line="200" w:lineRule="exact"/>
        <w:rPr>
          <w:sz w:val="20"/>
          <w:szCs w:val="20"/>
          <w:color w:val="auto"/>
        </w:rPr>
      </w:pPr>
    </w:p>
    <w:p>
      <w:pPr>
        <w:spacing w:after="0" w:line="22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THIS EMPLOYMENT, NON-COMPETITION AND NON-SOLICITATION AGREEMENT (as may be amended,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effective as of May 1,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SCHLUMBERGER LIMITED, a Curaçao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(the “Company”), and Khaled Al Mogharbel, an individual residing in Houston, Texas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8"/>
        <w:spacing w:after="0" w:line="253" w:lineRule="exact"/>
        <w:tabs>
          <w:tab w:leader="none" w:pos="509"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 of Executive</w:t>
      </w:r>
      <w:r>
        <w:rPr>
          <w:rFonts w:ascii="Times New Roman" w:cs="Times New Roman" w:eastAsia="Times New Roman" w:hAnsi="Times New Roman"/>
          <w:sz w:val="22"/>
          <w:szCs w:val="22"/>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securing Executive’s non-competition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solicitation covenants, establishing certain incentive, tenure and performance criteria related to such employment, and otherwise setting forth Executive’s benefits and compensation, all subject to the terms and conditions of this Agreement.</w:t>
      </w:r>
    </w:p>
    <w:p>
      <w:pPr>
        <w:spacing w:after="0" w:line="179" w:lineRule="exact"/>
        <w:rPr>
          <w:rFonts w:ascii="Times New Roman" w:cs="Times New Roman" w:eastAsia="Times New Roman" w:hAnsi="Times New Roman"/>
          <w:sz w:val="22"/>
          <w:szCs w:val="22"/>
          <w:color w:val="010000"/>
        </w:rPr>
      </w:pPr>
    </w:p>
    <w:p>
      <w:pPr>
        <w:jc w:val="both"/>
        <w:ind w:firstLine="8"/>
        <w:spacing w:after="0" w:line="234" w:lineRule="auto"/>
        <w:tabs>
          <w:tab w:leader="none" w:pos="509"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 and Extent of Services</w:t>
      </w:r>
      <w:r>
        <w:rPr>
          <w:rFonts w:ascii="Times New Roman" w:cs="Times New Roman" w:eastAsia="Times New Roman" w:hAnsi="Times New Roman"/>
          <w:sz w:val="22"/>
          <w:szCs w:val="22"/>
          <w:color w:val="auto"/>
        </w:rPr>
        <w:t>. The term will commence on the Effective Date and will continue until the close of business on May 1, 2028, or until a date of earlier termination pursuant to Section 4 (the “Term”). During the Term, Executive will be employed by the Company and will have the title of Advisor, reporting to the Company’s Chief Executive Officer, and shall be available to provide services when required. This Agreement does not constitute a guarantee of continued employment but instead provides for certain obligations of, and rights and benefits for, Executive during the Term and in the event his employment with the Company terminates under the circumstances described herein. Effective as of the Effective Date, Executive hereby resigns from all positions, offices or directorships at the Company and its affiliates, other than the position of Advisor as contemplated above. At the expiration of the Term, Executive’s employment with the Company and all of its subsidiaries shall terminate.</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Nothing herein will prohibit Executive, during the Term, from being engaged as a consultant or employee to organizations or businesses or to be appointed to their boards of directors, except those identified as Unauthorized Competitors (as defined in Section 5).</w:t>
      </w:r>
    </w:p>
    <w:p>
      <w:pPr>
        <w:spacing w:after="0" w:line="173" w:lineRule="exact"/>
        <w:rPr>
          <w:sz w:val="20"/>
          <w:szCs w:val="20"/>
          <w:color w:val="auto"/>
        </w:rPr>
      </w:pPr>
    </w:p>
    <w:p>
      <w:pPr>
        <w:ind w:left="440" w:hanging="432"/>
        <w:spacing w:after="0"/>
        <w:tabs>
          <w:tab w:leader="none" w:pos="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Payment and Benefits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During the Term, Executive will be entitled to payment of annual base salary of $675,000, 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applicable withholding and in accordance with the Company’s standard payroll practices for employees. The base salary amount shall be inclusive of any perquisite allowance, and no additional amount will be paid to the Executive for any perquisite allowance. The salary will be prorated for any portion of a full year during which Employee serves as an Advisory.</w:t>
      </w:r>
    </w:p>
    <w:p>
      <w:pPr>
        <w:spacing w:after="0" w:line="176" w:lineRule="exact"/>
        <w:rPr>
          <w:rFonts w:ascii="Times New Roman" w:cs="Times New Roman" w:eastAsia="Times New Roman" w:hAnsi="Times New Roman"/>
          <w:sz w:val="22"/>
          <w:szCs w:val="22"/>
          <w:color w:val="010000"/>
        </w:rPr>
      </w:pPr>
    </w:p>
    <w:p>
      <w:pPr>
        <w:ind w:left="1500" w:hanging="743"/>
        <w:spacing w:after="0"/>
        <w:tabs>
          <w:tab w:leader="none" w:pos="1500"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Welfare Benefits</w:t>
      </w:r>
      <w:r>
        <w:rPr>
          <w:rFonts w:ascii="Times New Roman" w:cs="Times New Roman" w:eastAsia="Times New Roman" w:hAnsi="Times New Roman"/>
          <w:sz w:val="22"/>
          <w:szCs w:val="22"/>
          <w:color w:val="auto"/>
        </w:rPr>
        <w:t>.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both"/>
        <w:ind w:left="1720" w:hanging="744"/>
        <w:spacing w:after="0" w:line="241" w:lineRule="auto"/>
        <w:tabs>
          <w:tab w:leader="none" w:pos="1720" w:val="left"/>
        </w:tabs>
        <w:numPr>
          <w:ilvl w:val="0"/>
          <w:numId w:val="28"/>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 xml:space="preserve">Employee Welfare Benefits. </w:t>
      </w:r>
      <w:r>
        <w:rPr>
          <w:rFonts w:ascii="Times New Roman" w:cs="Times New Roman" w:eastAsia="Times New Roman" w:hAnsi="Times New Roman"/>
          <w:sz w:val="22"/>
          <w:szCs w:val="22"/>
          <w:color w:val="auto"/>
        </w:rPr>
        <w:t>Executive shall be eligible to participate in the Company’s group health,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welfare and insurance plans (e.g., medical, dental, vision, life insurance, short- and long-term disability, etc.) (collectively, “Company Welfare Plans”) on a basis comparable to that of other International Staff employees of the Company and as such plans may be amended from time to time.</w:t>
      </w:r>
    </w:p>
    <w:p>
      <w:pPr>
        <w:spacing w:after="0" w:line="176" w:lineRule="exact"/>
        <w:rPr>
          <w:sz w:val="20"/>
          <w:szCs w:val="20"/>
          <w:color w:val="auto"/>
        </w:rPr>
      </w:pPr>
    </w:p>
    <w:p>
      <w:pPr>
        <w:ind w:left="1820" w:right="120"/>
        <w:spacing w:after="0" w:line="236" w:lineRule="auto"/>
        <w:rPr>
          <w:sz w:val="20"/>
          <w:szCs w:val="20"/>
          <w:color w:val="auto"/>
        </w:rPr>
      </w:pPr>
      <w:r>
        <w:rPr>
          <w:rFonts w:ascii="Times New Roman" w:cs="Times New Roman" w:eastAsia="Times New Roman" w:hAnsi="Times New Roman"/>
          <w:sz w:val="22"/>
          <w:szCs w:val="22"/>
          <w:color w:val="auto"/>
        </w:rPr>
        <w:t>However, if Executive accepts employment with another entity that offers the same or similar welfare benefits for which the Executive is eligible to participate, or engages on a substantially full-time basis as a consultant with any other entity that offers the same or similar welfare benefits for which the Executive is eligible to participate, then Executive will no longer be eligible to participate in, and shall cease participating in, all Company Welfare Plans, effective as of the date of such acceptance of employment or commencement of such consulting services.</w:t>
      </w:r>
    </w:p>
    <w:p>
      <w:pPr>
        <w:spacing w:after="0" w:line="208" w:lineRule="exact"/>
        <w:rPr>
          <w:sz w:val="20"/>
          <w:szCs w:val="20"/>
          <w:color w:val="auto"/>
        </w:rPr>
      </w:pPr>
    </w:p>
    <w:p>
      <w:pPr>
        <w:ind w:left="1820" w:right="100"/>
        <w:spacing w:after="0" w:line="253" w:lineRule="auto"/>
        <w:rPr>
          <w:sz w:val="20"/>
          <w:szCs w:val="20"/>
          <w:color w:val="auto"/>
        </w:rPr>
      </w:pPr>
      <w:r>
        <w:rPr>
          <w:rFonts w:ascii="Times New Roman" w:cs="Times New Roman" w:eastAsia="Times New Roman" w:hAnsi="Times New Roman"/>
          <w:sz w:val="21"/>
          <w:szCs w:val="21"/>
          <w:color w:val="auto"/>
        </w:rPr>
        <w:t>This provision is not intended to apply to any other benefits, consideration, obligations, or covenants provided under this Agreement. For avoidance of doubt, the non-competition covenant in Section 5(b)</w:t>
      </w:r>
    </w:p>
    <w:p>
      <w:pPr>
        <w:spacing w:after="0" w:line="1" w:lineRule="exact"/>
        <w:rPr>
          <w:sz w:val="20"/>
          <w:szCs w:val="20"/>
          <w:color w:val="auto"/>
        </w:rPr>
      </w:pPr>
    </w:p>
    <w:p>
      <w:pPr>
        <w:ind w:left="2080" w:hanging="266"/>
        <w:spacing w:after="0"/>
        <w:tabs>
          <w:tab w:leader="none" w:pos="208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effective by, and survives, the termination of Employee Welfare Benefit eligibility.</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left="1720" w:hanging="744"/>
        <w:spacing w:after="0" w:line="236" w:lineRule="auto"/>
        <w:tabs>
          <w:tab w:leader="none" w:pos="1720" w:val="left"/>
        </w:tabs>
        <w:numPr>
          <w:ilvl w:val="1"/>
          <w:numId w:val="30"/>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 xml:space="preserve">Retiree Welfare Benefits. </w:t>
      </w:r>
      <w:r>
        <w:rPr>
          <w:rFonts w:ascii="Times New Roman" w:cs="Times New Roman" w:eastAsia="Times New Roman" w:hAnsi="Times New Roman"/>
          <w:sz w:val="22"/>
          <w:szCs w:val="22"/>
          <w:color w:val="auto"/>
        </w:rPr>
        <w:t>Upon his retirement at the end of the Term, Executive will be eligible to elect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coverage subject to the terms of the Company’s applicable retiree medical plans (i.e, the Company’s U.S. Retiree Medical Access Plan and the international Deferred Medical Plan) as such plan(s) may be amended from time to time. The Executives choice to participate in one or both programs shall be subject to the timely notification of the intent to participate in the plans and other terms and conditions of each plan in effect at the time of the election, which may include the payment of co-payments and other charges.</w:t>
      </w:r>
    </w:p>
    <w:p>
      <w:pPr>
        <w:spacing w:after="0" w:line="179" w:lineRule="exact"/>
        <w:rPr>
          <w:rFonts w:ascii="Times New Roman" w:cs="Times New Roman" w:eastAsia="Times New Roman" w:hAnsi="Times New Roman"/>
          <w:sz w:val="22"/>
          <w:szCs w:val="22"/>
          <w:i w:val="1"/>
          <w:iCs w:val="1"/>
          <w:color w:val="010000"/>
        </w:rPr>
      </w:pPr>
    </w:p>
    <w:p>
      <w:pPr>
        <w:ind w:left="1720"/>
        <w:spacing w:after="0"/>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Executive will not participate in any other Company Welfare Plans after the Term expires.</w:t>
      </w:r>
    </w:p>
    <w:p>
      <w:pPr>
        <w:spacing w:after="0" w:line="200" w:lineRule="exact"/>
        <w:rPr>
          <w:rFonts w:ascii="Times New Roman" w:cs="Times New Roman" w:eastAsia="Times New Roman" w:hAnsi="Times New Roman"/>
          <w:sz w:val="22"/>
          <w:szCs w:val="22"/>
          <w:i w:val="1"/>
          <w:iCs w:val="1"/>
          <w:color w:val="010000"/>
        </w:rPr>
      </w:pPr>
    </w:p>
    <w:p>
      <w:pPr>
        <w:spacing w:after="0" w:line="245" w:lineRule="exact"/>
        <w:rPr>
          <w:rFonts w:ascii="Times New Roman" w:cs="Times New Roman" w:eastAsia="Times New Roman" w:hAnsi="Times New Roman"/>
          <w:sz w:val="22"/>
          <w:szCs w:val="22"/>
          <w:i w:val="1"/>
          <w:iCs w:val="1"/>
          <w:color w:val="010000"/>
        </w:rPr>
      </w:pPr>
    </w:p>
    <w:p>
      <w:pPr>
        <w:jc w:val="both"/>
        <w:ind w:left="1060" w:hanging="743"/>
        <w:spacing w:after="0" w:line="238" w:lineRule="auto"/>
        <w:tabs>
          <w:tab w:leader="none" w:pos="1060" w:val="left"/>
        </w:tabs>
        <w:numPr>
          <w:ilvl w:val="0"/>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Pension and Savings Plan. </w:t>
      </w:r>
      <w:r>
        <w:rPr>
          <w:rFonts w:ascii="Times New Roman" w:cs="Times New Roman" w:eastAsia="Times New Roman" w:hAnsi="Times New Roman"/>
          <w:sz w:val="22"/>
          <w:szCs w:val="22"/>
          <w:color w:val="auto"/>
        </w:rPr>
        <w:t>During the Term, Executive will eligible to participate in the Company’s qualified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non-qualified pension and savings plans and will be eligible to receive additional benefits under the Company’s qualified and non-qualified pension and savings plans, subject to the Employee’s election and contributions, in the case of the savings plans. Payments under the Company’s non-qualified pension will be made in accordance with the terms of the relevant plan upon separation from service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1" w:name="page32"/>
    <w:bookmarkEnd w:id="31"/>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ind w:left="1060" w:hanging="743"/>
        <w:spacing w:after="0"/>
        <w:tabs>
          <w:tab w:leader="none" w:pos="1060" w:val="left"/>
        </w:tabs>
        <w:numPr>
          <w:ilvl w:val="0"/>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Incentive Plans.</w:t>
      </w:r>
    </w:p>
    <w:p>
      <w:pPr>
        <w:spacing w:after="0" w:line="206" w:lineRule="exact"/>
        <w:rPr>
          <w:rFonts w:ascii="Times New Roman" w:cs="Times New Roman" w:eastAsia="Times New Roman" w:hAnsi="Times New Roman"/>
          <w:sz w:val="22"/>
          <w:szCs w:val="22"/>
          <w:color w:val="010000"/>
        </w:rPr>
      </w:pPr>
    </w:p>
    <w:p>
      <w:pPr>
        <w:jc w:val="both"/>
        <w:ind w:left="1720" w:hanging="744"/>
        <w:spacing w:after="0" w:line="247" w:lineRule="auto"/>
        <w:tabs>
          <w:tab w:leader="none" w:pos="1720" w:val="left"/>
        </w:tabs>
        <w:numPr>
          <w:ilvl w:val="1"/>
          <w:numId w:val="32"/>
        </w:numPr>
        <w:rPr>
          <w:rFonts w:ascii="Times New Roman" w:cs="Times New Roman" w:eastAsia="Times New Roman" w:hAnsi="Times New Roman"/>
          <w:sz w:val="21"/>
          <w:szCs w:val="21"/>
          <w:i w:val="1"/>
          <w:iCs w:val="1"/>
          <w:color w:val="010000"/>
        </w:rPr>
      </w:pPr>
      <w:r>
        <w:rPr>
          <w:rFonts w:ascii="Times New Roman" w:cs="Times New Roman" w:eastAsia="Times New Roman" w:hAnsi="Times New Roman"/>
          <w:sz w:val="21"/>
          <w:szCs w:val="21"/>
          <w:i w:val="1"/>
          <w:iCs w:val="1"/>
          <w:color w:val="auto"/>
        </w:rPr>
        <w:t xml:space="preserve">Stock Incentives. </w:t>
      </w:r>
      <w:r>
        <w:rPr>
          <w:rFonts w:ascii="Times New Roman" w:cs="Times New Roman" w:eastAsia="Times New Roman" w:hAnsi="Times New Roman"/>
          <w:sz w:val="21"/>
          <w:szCs w:val="21"/>
          <w:color w:val="auto"/>
        </w:rPr>
        <w:t>Except for termination of Executive’s employment for Cause pursuant to Section 4(c)</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(including, for the avoidance of doubt, termination due to breach of the covenant not to compete), the Compensation Committee has determined that Executive shall, pursuant to the terms of Executive’s stock option, RSU and PSU award agreements, be deemed to have terminated his employment with the Company at the end of the Term (or if Executive’s employment is terminated sooner pursuant to Section</w:t>
      </w:r>
    </w:p>
    <w:p>
      <w:pPr>
        <w:ind w:left="1720"/>
        <w:spacing w:after="0"/>
        <w:rPr>
          <w:rFonts w:ascii="Times New Roman" w:cs="Times New Roman" w:eastAsia="Times New Roman" w:hAnsi="Times New Roman"/>
          <w:sz w:val="21"/>
          <w:szCs w:val="21"/>
          <w:i w:val="1"/>
          <w:iCs w:val="1"/>
          <w:color w:val="010000"/>
        </w:rPr>
      </w:pPr>
      <w:r>
        <w:rPr>
          <w:rFonts w:ascii="Times New Roman" w:cs="Times New Roman" w:eastAsia="Times New Roman" w:hAnsi="Times New Roman"/>
          <w:sz w:val="22"/>
          <w:szCs w:val="22"/>
          <w:color w:val="auto"/>
        </w:rPr>
        <w:t>4 due to “Early Retirement.” Accordingly, the Stock Incentives, as reflected in Exhibit B, shall:</w:t>
      </w:r>
    </w:p>
    <w:p>
      <w:pPr>
        <w:spacing w:after="0" w:line="178" w:lineRule="exact"/>
        <w:rPr>
          <w:rFonts w:ascii="Times New Roman" w:cs="Times New Roman" w:eastAsia="Times New Roman" w:hAnsi="Times New Roman"/>
          <w:sz w:val="21"/>
          <w:szCs w:val="21"/>
          <w:i w:val="1"/>
          <w:iCs w:val="1"/>
          <w:color w:val="010000"/>
        </w:rPr>
      </w:pPr>
    </w:p>
    <w:p>
      <w:pPr>
        <w:ind w:left="2560" w:right="180" w:hanging="371"/>
        <w:spacing w:after="0" w:line="246" w:lineRule="auto"/>
        <w:tabs>
          <w:tab w:leader="none" w:pos="256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Options</w:t>
      </w:r>
      <w:r>
        <w:rPr>
          <w:rFonts w:ascii="Times New Roman" w:cs="Times New Roman" w:eastAsia="Times New Roman" w:hAnsi="Times New Roman"/>
          <w:sz w:val="22"/>
          <w:szCs w:val="22"/>
          <w:color w:val="auto"/>
        </w:rPr>
        <w:t>. Provided that the Executive’s employment is not terminated due to a violation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Section 4(c), Stock options previously issued to Executive and outstanding as of the Effective Date will remain exercisable until the original option expiration date.</w:t>
      </w: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ind w:left="2560" w:right="200" w:hanging="371"/>
        <w:spacing w:after="0" w:line="238" w:lineRule="auto"/>
        <w:tabs>
          <w:tab w:leader="none" w:pos="2560"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Performance Share Units (“PSUs”). </w:t>
      </w:r>
      <w:r>
        <w:rPr>
          <w:rFonts w:ascii="Times New Roman" w:cs="Times New Roman" w:eastAsia="Times New Roman" w:hAnsi="Times New Roman"/>
          <w:sz w:val="22"/>
          <w:szCs w:val="22"/>
          <w:color w:val="auto"/>
        </w:rPr>
        <w:t>Provided that the Executive’s employment is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terminated due to a violation of Section 4(c), PSUs previously issued to Executive and outstanding as of the Effective Date will continue to vest, subject to the terms and conditions of the applicable agreement, including the applicable performance conditions, with vesting based on actual results rather than at target.</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2560" w:right="100" w:hanging="371"/>
        <w:spacing w:after="0" w:line="241" w:lineRule="auto"/>
        <w:tabs>
          <w:tab w:leader="none" w:pos="2560" w:val="left"/>
        </w:tabs>
        <w:numPr>
          <w:ilvl w:val="2"/>
          <w:numId w:val="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Restricted Share Unites (“RSU”) </w:t>
      </w:r>
      <w:r>
        <w:rPr>
          <w:rFonts w:ascii="Times New Roman" w:cs="Times New Roman" w:eastAsia="Times New Roman" w:hAnsi="Times New Roman"/>
          <w:sz w:val="22"/>
          <w:szCs w:val="22"/>
          <w:color w:val="auto"/>
        </w:rPr>
        <w:t>Provided that the Executive’s employment is not terminated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due to a violation of Section 4(c), any RSUs that have vested as of the end of the Term will convert (to the extent not already converted) into common stock of the Company in accordance with, and subject to, the applicable agreements and Plan rules;</w:t>
      </w:r>
    </w:p>
    <w:p>
      <w:pPr>
        <w:spacing w:after="0" w:line="387" w:lineRule="exact"/>
        <w:rPr>
          <w:rFonts w:ascii="Times New Roman" w:cs="Times New Roman" w:eastAsia="Times New Roman" w:hAnsi="Times New Roman"/>
          <w:sz w:val="22"/>
          <w:szCs w:val="22"/>
          <w:color w:val="010000"/>
        </w:rPr>
      </w:pPr>
    </w:p>
    <w:p>
      <w:pPr>
        <w:jc w:val="both"/>
        <w:ind w:left="1720" w:hanging="744"/>
        <w:spacing w:after="0" w:line="238" w:lineRule="auto"/>
        <w:tabs>
          <w:tab w:leader="none" w:pos="1720" w:val="left"/>
        </w:tabs>
        <w:numPr>
          <w:ilvl w:val="1"/>
          <w:numId w:val="3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 xml:space="preserve">Cash Incentives. </w:t>
      </w:r>
      <w:r>
        <w:rPr>
          <w:rFonts w:ascii="Times New Roman" w:cs="Times New Roman" w:eastAsia="Times New Roman" w:hAnsi="Times New Roman"/>
          <w:sz w:val="22"/>
          <w:szCs w:val="22"/>
          <w:color w:val="auto"/>
        </w:rPr>
        <w:t>Company will pay Executive a cash short-term incentive bonus, less lawful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deductions, based on achievement of 100% of Executive’s target annual cash incentive payout opportunity, prorated to the Effective Date (i.e., 4/12 of the 2025 short term incentive). Company will make such payment to Executive, upon receipt of the fully executed Agreement, on the next regularly scheduled payroll run that is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ind w:left="2160" w:hanging="744"/>
        <w:spacing w:after="0" w:line="258" w:lineRule="auto"/>
        <w:tabs>
          <w:tab w:leader="none" w:pos="2160" w:val="left"/>
        </w:tabs>
        <w:numPr>
          <w:ilvl w:val="2"/>
          <w:numId w:val="33"/>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From and after the Effective Date, Executive will not be eligible to participate in, or receive any, short-term or long-term incentive or bonus program or payout of any kind.</w:t>
      </w:r>
    </w:p>
    <w:p>
      <w:pPr>
        <w:spacing w:after="0" w:line="154" w:lineRule="exact"/>
        <w:rPr>
          <w:rFonts w:ascii="Times New Roman" w:cs="Times New Roman" w:eastAsia="Times New Roman" w:hAnsi="Times New Roman"/>
          <w:sz w:val="22"/>
          <w:szCs w:val="22"/>
          <w:i w:val="1"/>
          <w:iCs w:val="1"/>
          <w:color w:val="010000"/>
        </w:rPr>
      </w:pPr>
    </w:p>
    <w:p>
      <w:pPr>
        <w:jc w:val="both"/>
        <w:ind w:left="1500" w:hanging="743"/>
        <w:spacing w:after="0" w:line="263" w:lineRule="auto"/>
        <w:tabs>
          <w:tab w:leader="none" w:pos="1500" w:val="left"/>
        </w:tabs>
        <w:numPr>
          <w:ilvl w:val="1"/>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Vacation</w:t>
      </w:r>
      <w:r>
        <w:rPr>
          <w:rFonts w:ascii="Times New Roman" w:cs="Times New Roman" w:eastAsia="Times New Roman" w:hAnsi="Times New Roman"/>
          <w:sz w:val="21"/>
          <w:szCs w:val="21"/>
          <w:color w:val="auto"/>
        </w:rPr>
        <w:t>. As soon as administratively practicable following the Effective Date, the Company shall pay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a cash amount representing his accrued and unused vacation accumulated as of the date immediately prior to the Effective Date. During the Term, Executive will not be eligible to accrue vacation pay.</w:t>
      </w:r>
    </w:p>
    <w:p>
      <w:pPr>
        <w:spacing w:after="0" w:line="151" w:lineRule="exact"/>
        <w:rPr>
          <w:rFonts w:ascii="Times New Roman" w:cs="Times New Roman" w:eastAsia="Times New Roman" w:hAnsi="Times New Roman"/>
          <w:sz w:val="21"/>
          <w:szCs w:val="21"/>
          <w:color w:val="010000"/>
        </w:rPr>
      </w:pPr>
    </w:p>
    <w:p>
      <w:pPr>
        <w:jc w:val="both"/>
        <w:ind w:left="1500" w:hanging="743"/>
        <w:spacing w:after="0" w:line="238" w:lineRule="auto"/>
        <w:tabs>
          <w:tab w:leader="none" w:pos="1500"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Expense Reimbursement</w:t>
      </w:r>
      <w:r>
        <w:rPr>
          <w:rFonts w:ascii="Times New Roman" w:cs="Times New Roman" w:eastAsia="Times New Roman" w:hAnsi="Times New Roman"/>
          <w:sz w:val="22"/>
          <w:szCs w:val="22"/>
          <w:color w:val="auto"/>
        </w:rPr>
        <w:t>. The Company shall reimburse Executive for actual and reasonable business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incurred in the normal course of performing his Advisor duties, following delivery of supporting documentation therefor. Executive shall submit all invoices for such incurred costs within 6 weeks from the date the expense was incurred. The Company shall reimburse Executive for any undisputed costs within 30 days of receipt of such invoices and supporting documentation as requested.</w:t>
      </w:r>
    </w:p>
    <w:p>
      <w:pPr>
        <w:spacing w:after="0" w:line="176" w:lineRule="exact"/>
        <w:rPr>
          <w:rFonts w:ascii="Times New Roman" w:cs="Times New Roman" w:eastAsia="Times New Roman" w:hAnsi="Times New Roman"/>
          <w:sz w:val="22"/>
          <w:szCs w:val="22"/>
          <w:color w:val="010000"/>
        </w:rPr>
      </w:pPr>
    </w:p>
    <w:p>
      <w:pPr>
        <w:jc w:val="both"/>
        <w:ind w:left="1500" w:hanging="743"/>
        <w:spacing w:after="0" w:line="237" w:lineRule="auto"/>
        <w:tabs>
          <w:tab w:leader="none" w:pos="1500"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 Other Compensation or Benefits</w:t>
      </w:r>
      <w:r>
        <w:rPr>
          <w:rFonts w:ascii="Times New Roman" w:cs="Times New Roman" w:eastAsia="Times New Roman" w:hAnsi="Times New Roman"/>
          <w:sz w:val="22"/>
          <w:szCs w:val="22"/>
          <w:color w:val="auto"/>
        </w:rPr>
        <w:t>. Executive acknowledges and agrees that, except as expressly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he will not be entitled to participate in any employee benefit plan or arrangement, or to receive any other compensation associated or in connection with his employment during the Term. Nothing in this Agreement, including Section 3, will obligate the Company to institute, maintain or refrain from changing, amending or discontinuing, any incentive compensation, employee benefit or stock incentive program or plan, so long as such actions are similarly applicable to covered employees generally.</w:t>
      </w:r>
    </w:p>
    <w:p>
      <w:pPr>
        <w:spacing w:after="0" w:line="179" w:lineRule="exact"/>
        <w:rPr>
          <w:rFonts w:ascii="Times New Roman" w:cs="Times New Roman" w:eastAsia="Times New Roman" w:hAnsi="Times New Roman"/>
          <w:sz w:val="22"/>
          <w:szCs w:val="22"/>
          <w:color w:val="010000"/>
        </w:rPr>
      </w:pPr>
    </w:p>
    <w:p>
      <w:pPr>
        <w:jc w:val="both"/>
        <w:ind w:firstLine="8"/>
        <w:spacing w:after="0" w:line="238" w:lineRule="auto"/>
        <w:tabs>
          <w:tab w:leader="none" w:pos="509" w:val="left"/>
        </w:tabs>
        <w:numPr>
          <w:ilvl w:val="0"/>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Executive’s employment with Employer will be considered “at will” and be terminated (i) upon Executive’s death; (ii) upon Executive’s Disability (as defined in Section 4(b)); (iii) for Cause (as defined in Section 4(c)); (iv) upon mutual agreement, as set forth in Section 4(d); or (v) upon Executive’s retirement (as described in Section 4(e)). Should Executive’s employment terminate prior to the end of the Term, the following provisions of this Section 4 will govern the rights of Executive under this Agreement:</w:t>
      </w:r>
    </w:p>
    <w:p>
      <w:pPr>
        <w:spacing w:after="0" w:line="172" w:lineRule="exact"/>
        <w:rPr>
          <w:rFonts w:ascii="Times New Roman" w:cs="Times New Roman" w:eastAsia="Times New Roman" w:hAnsi="Times New Roman"/>
          <w:sz w:val="22"/>
          <w:szCs w:val="22"/>
          <w:color w:val="010000"/>
        </w:rPr>
      </w:pPr>
    </w:p>
    <w:p>
      <w:pPr>
        <w:jc w:val="both"/>
        <w:ind w:left="1500" w:hanging="743"/>
        <w:spacing w:after="0" w:line="238" w:lineRule="auto"/>
        <w:tabs>
          <w:tab w:leader="none" w:pos="1500" w:val="left"/>
        </w:tabs>
        <w:numPr>
          <w:ilvl w:val="1"/>
          <w:numId w:val="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Death</w:t>
      </w:r>
      <w:r>
        <w:rPr>
          <w:rFonts w:ascii="Times New Roman" w:cs="Times New Roman" w:eastAsia="Times New Roman" w:hAnsi="Times New Roman"/>
          <w:sz w:val="22"/>
          <w:szCs w:val="22"/>
          <w:color w:val="auto"/>
        </w:rPr>
        <w:t>. In the event Executive’s employment terminates during the Term as a result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death, Executive’s beneficiary or beneficiaries shall receive any benefits accrued but unpaid as of his death, plus any amounts payable on account of Executive’s death, pursuant to any other plan or program of the Company. For avoidance of doubt, upon the Executive’s death, any outstanding PSUs and RSUs will immediately vest. Any outstanding PSUs will vest based on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both"/>
        <w:ind w:left="1060" w:hanging="743"/>
        <w:spacing w:after="0" w:line="235" w:lineRule="auto"/>
        <w:tabs>
          <w:tab w:leader="none" w:pos="106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Due to Disability</w:t>
      </w:r>
      <w:r>
        <w:rPr>
          <w:rFonts w:ascii="Times New Roman" w:cs="Times New Roman" w:eastAsia="Times New Roman" w:hAnsi="Times New Roman"/>
          <w:sz w:val="22"/>
          <w:szCs w:val="22"/>
          <w:color w:val="auto"/>
        </w:rPr>
        <w:t>. Executive’s employment during the Term will terminate upon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Disability, which for purposes of this Agreement means that Executive is unable to perform the normal duties of her job due to an illness or injury (as determined pursuant to the terms of the Company’s long-term disability plan covering Executives), Executive shall receive any benefits accrued but unpaid as of the date of her termination due to Disability, plus any amounts payable on account of Executive’s Disability, pursuant to any other plan or program of the Company. For the avoidance of doubt, the Executive will continue to be entitled to the benefits accrued as contemplated in Section 3(c) and in the relevant plan documents subsequent to a termination due to Disability. For avoidance of doubt, upon the Executive’s disabilities, any outstanding PSUs and RSUs will immediately vest. Any outstanding PSUs will vest based on target.</w:t>
      </w:r>
    </w:p>
    <w:p>
      <w:pPr>
        <w:spacing w:after="0" w:line="173" w:lineRule="exact"/>
        <w:rPr>
          <w:rFonts w:ascii="Times New Roman" w:cs="Times New Roman" w:eastAsia="Times New Roman" w:hAnsi="Times New Roman"/>
          <w:sz w:val="22"/>
          <w:szCs w:val="22"/>
          <w:color w:val="010000"/>
        </w:rPr>
      </w:pPr>
    </w:p>
    <w:p>
      <w:pPr>
        <w:jc w:val="both"/>
        <w:ind w:left="1060" w:hanging="743"/>
        <w:spacing w:after="0" w:line="235" w:lineRule="auto"/>
        <w:tabs>
          <w:tab w:leader="none" w:pos="106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Termination by the Company for Cause</w:t>
      </w:r>
      <w:r>
        <w:rPr>
          <w:rFonts w:ascii="Times New Roman" w:cs="Times New Roman" w:eastAsia="Times New Roman" w:hAnsi="Times New Roman"/>
          <w:sz w:val="22"/>
          <w:szCs w:val="22"/>
          <w:color w:val="auto"/>
        </w:rPr>
        <w:t>. In the event the Company terminates Executive’s employment during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 for Cause, as defined below, he shall, subject to Section 5(d), be entitled to any other amounts earned, accrued or owing as of the date of termination of employment under the applicable employee benefit plans or programs of the Company. “Cause” means Executive’s dishonesty relating to her employment with the Company, conviction of a felony with resulting harm to the Company, willful or grossly negligent unauthorized disclosure of Confidential Information of the Company, or breach of any of Executive’s obligations and restrictive covenants set forth in Section 5, including acceptance of other employment that violates the non-compete covenants or the consent prerequisites of this Agreement.</w:t>
      </w:r>
    </w:p>
    <w:p>
      <w:pPr>
        <w:spacing w:after="0" w:line="178" w:lineRule="exact"/>
        <w:rPr>
          <w:rFonts w:ascii="Times New Roman" w:cs="Times New Roman" w:eastAsia="Times New Roman" w:hAnsi="Times New Roman"/>
          <w:sz w:val="22"/>
          <w:szCs w:val="22"/>
          <w:color w:val="010000"/>
        </w:rPr>
      </w:pPr>
    </w:p>
    <w:p>
      <w:pPr>
        <w:jc w:val="both"/>
        <w:ind w:left="1060" w:hanging="743"/>
        <w:spacing w:after="0" w:line="238" w:lineRule="auto"/>
        <w:tabs>
          <w:tab w:leader="none" w:pos="106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Voluntary Termination and Termination Due to Mutual Agreement</w:t>
      </w:r>
      <w:r>
        <w:rPr>
          <w:rFonts w:ascii="Times New Roman" w:cs="Times New Roman" w:eastAsia="Times New Roman" w:hAnsi="Times New Roman"/>
          <w:sz w:val="22"/>
          <w:szCs w:val="22"/>
          <w:color w:val="auto"/>
        </w:rPr>
        <w:t>. Upon 15 days’ prior written notice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(unless otherwise waived by the Company in writing), Executive may voluntarily terminate his employment with the Company. A voluntary termination pursuant to this Section 4(d) shall not include a termination under Section 4(a), 4(b) or 4(c) above, and shall not be deemed a breach of this Agreement by Executive except if Executive is otherwise in breach of Section 5(b).</w:t>
      </w:r>
    </w:p>
    <w:p>
      <w:pPr>
        <w:spacing w:after="0" w:line="180" w:lineRule="exact"/>
        <w:rPr>
          <w:rFonts w:ascii="Times New Roman" w:cs="Times New Roman" w:eastAsia="Times New Roman" w:hAnsi="Times New Roman"/>
          <w:sz w:val="22"/>
          <w:szCs w:val="22"/>
          <w:color w:val="010000"/>
        </w:rPr>
      </w:pPr>
    </w:p>
    <w:p>
      <w:pPr>
        <w:jc w:val="both"/>
        <w:ind w:left="1060" w:hanging="743"/>
        <w:spacing w:after="0" w:line="244" w:lineRule="auto"/>
        <w:tabs>
          <w:tab w:leader="none" w:pos="1060" w:val="left"/>
        </w:tabs>
        <w:numPr>
          <w:ilvl w:val="0"/>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Executive voluntarily terminates his employment with the Company during the Term or retires at the end of the Term, and does not become employed by an Unauthorized Competitor or otherwise breach Section 5(b), he shall be entitled to:</w:t>
      </w:r>
    </w:p>
    <w:p>
      <w:pPr>
        <w:spacing w:after="0" w:line="173" w:lineRule="exact"/>
        <w:rPr>
          <w:rFonts w:ascii="Times New Roman" w:cs="Times New Roman" w:eastAsia="Times New Roman" w:hAnsi="Times New Roman"/>
          <w:sz w:val="22"/>
          <w:szCs w:val="22"/>
          <w:color w:val="010000"/>
        </w:rPr>
      </w:pPr>
    </w:p>
    <w:p>
      <w:pPr>
        <w:ind w:left="1820" w:hanging="755"/>
        <w:spacing w:after="0" w:line="258" w:lineRule="auto"/>
        <w:tabs>
          <w:tab w:leader="none" w:pos="1820" w:val="left"/>
        </w:tabs>
        <w:numPr>
          <w:ilvl w:val="1"/>
          <w:numId w:val="36"/>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the benefits contemplated in Section 3 and any other benefits for which he is eligible in accordance with applicable plans or programs of the Company; and</w:t>
      </w:r>
    </w:p>
    <w:p>
      <w:pPr>
        <w:spacing w:after="0" w:line="158" w:lineRule="exact"/>
        <w:rPr>
          <w:rFonts w:ascii="Times New Roman" w:cs="Times New Roman" w:eastAsia="Times New Roman" w:hAnsi="Times New Roman"/>
          <w:sz w:val="22"/>
          <w:szCs w:val="22"/>
          <w:i w:val="1"/>
          <w:iCs w:val="1"/>
          <w:color w:val="010000"/>
        </w:rPr>
      </w:pPr>
    </w:p>
    <w:p>
      <w:pPr>
        <w:ind w:left="1820" w:hanging="755"/>
        <w:spacing w:after="0" w:line="258" w:lineRule="auto"/>
        <w:tabs>
          <w:tab w:leader="none" w:pos="1820" w:val="left"/>
        </w:tabs>
        <w:numPr>
          <w:ilvl w:val="1"/>
          <w:numId w:val="36"/>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exercise any stock options granted under a plan of the Company that vested during the Term (and prior to her termination date) as per the Plan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both"/>
        <w:ind w:left="1500" w:hanging="743"/>
        <w:spacing w:after="0" w:line="241" w:lineRule="auto"/>
        <w:tabs>
          <w:tab w:leader="none" w:pos="1500"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Retirement at the End of the Term. </w:t>
      </w:r>
      <w:r>
        <w:rPr>
          <w:rFonts w:ascii="Times New Roman" w:cs="Times New Roman" w:eastAsia="Times New Roman" w:hAnsi="Times New Roman"/>
          <w:sz w:val="22"/>
          <w:szCs w:val="22"/>
          <w:color w:val="auto"/>
        </w:rPr>
        <w:t>In the event the Executive remains employed until the end of the Term,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parties agree he shall retire as of such date. Executive acknowledges and agrees that he shall not be entitled to any severance or termination indemnity payment of any kind other than as specifically provided above and under the terms of this Agreement.</w:t>
      </w:r>
    </w:p>
    <w:p>
      <w:pPr>
        <w:spacing w:after="0" w:line="175" w:lineRule="exact"/>
        <w:rPr>
          <w:rFonts w:ascii="Times New Roman" w:cs="Times New Roman" w:eastAsia="Times New Roman" w:hAnsi="Times New Roman"/>
          <w:sz w:val="22"/>
          <w:szCs w:val="22"/>
          <w:color w:val="010000"/>
        </w:rPr>
      </w:pPr>
    </w:p>
    <w:p>
      <w:pPr>
        <w:ind w:left="760" w:hanging="752"/>
        <w:spacing w:after="0"/>
        <w:tabs>
          <w:tab w:leader="none" w:pos="760" w:val="left"/>
        </w:tabs>
        <w:numPr>
          <w:ilvl w:val="0"/>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 Covenant Not to Compete and Other Restrictive Covenants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010000"/>
        </w:rPr>
      </w:pPr>
    </w:p>
    <w:p>
      <w:pPr>
        <w:jc w:val="both"/>
        <w:ind w:left="1500" w:hanging="743"/>
        <w:spacing w:after="0" w:line="238" w:lineRule="auto"/>
        <w:tabs>
          <w:tab w:leader="none" w:pos="1500"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Executive acknowledges that the Company has provided and will provide Executive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Confidential Information (as defined below). Executive agrees that in return for this and other consideration provided under this Agreement he will not disclose or make available to any other person or entity, or use for his own personal gain, monetary or otherwise, any Confidential Information, except for such disclosures as required in the performance of her duties hereunder.</w:t>
      </w:r>
    </w:p>
    <w:p>
      <w:pPr>
        <w:spacing w:after="0" w:line="180" w:lineRule="exact"/>
        <w:rPr>
          <w:rFonts w:ascii="Times New Roman" w:cs="Times New Roman" w:eastAsia="Times New Roman" w:hAnsi="Times New Roman"/>
          <w:sz w:val="22"/>
          <w:szCs w:val="22"/>
          <w:color w:val="010000"/>
        </w:rPr>
      </w:pPr>
    </w:p>
    <w:p>
      <w:pPr>
        <w:jc w:val="both"/>
        <w:ind w:left="1500"/>
        <w:spacing w:after="0" w:line="233"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“Confidential Information” means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83" w:lineRule="exact"/>
        <w:rPr>
          <w:rFonts w:ascii="Times New Roman" w:cs="Times New Roman" w:eastAsia="Times New Roman" w:hAnsi="Times New Roman"/>
          <w:sz w:val="22"/>
          <w:szCs w:val="22"/>
          <w:color w:val="010000"/>
        </w:rPr>
      </w:pPr>
    </w:p>
    <w:p>
      <w:pPr>
        <w:jc w:val="both"/>
        <w:ind w:left="1500" w:hanging="743"/>
        <w:spacing w:after="0" w:line="235" w:lineRule="auto"/>
        <w:tabs>
          <w:tab w:leader="none" w:pos="1500"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Restrictive Covenants</w:t>
      </w:r>
      <w:r>
        <w:rPr>
          <w:rFonts w:ascii="Times New Roman" w:cs="Times New Roman" w:eastAsia="Times New Roman" w:hAnsi="Times New Roman"/>
          <w:sz w:val="22"/>
          <w:szCs w:val="22"/>
          <w:color w:val="auto"/>
        </w:rPr>
        <w:t>. Executive acknowledges that the skills, processes and information developed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78" w:lineRule="exact"/>
        <w:rPr>
          <w:rFonts w:ascii="Times New Roman" w:cs="Times New Roman" w:eastAsia="Times New Roman" w:hAnsi="Times New Roman"/>
          <w:sz w:val="22"/>
          <w:szCs w:val="22"/>
          <w:color w:val="010000"/>
        </w:rPr>
      </w:pPr>
    </w:p>
    <w:p>
      <w:pPr>
        <w:ind w:left="2560" w:hanging="306"/>
        <w:spacing w:after="0"/>
        <w:tabs>
          <w:tab w:leader="none" w:pos="2560" w:val="left"/>
        </w:tabs>
        <w:numPr>
          <w:ilvl w:val="2"/>
          <w:numId w:val="38"/>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Covenant Not to Compete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ind w:left="1420" w:hanging="355"/>
        <w:spacing w:after="0"/>
        <w:tabs>
          <w:tab w:leader="none" w:pos="14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not:</w:t>
      </w:r>
    </w:p>
    <w:p>
      <w:pPr>
        <w:spacing w:after="0" w:line="206" w:lineRule="exact"/>
        <w:rPr>
          <w:rFonts w:ascii="Times New Roman" w:cs="Times New Roman" w:eastAsia="Times New Roman" w:hAnsi="Times New Roman"/>
          <w:sz w:val="22"/>
          <w:szCs w:val="22"/>
          <w:color w:val="auto"/>
        </w:rPr>
      </w:pPr>
    </w:p>
    <w:p>
      <w:pPr>
        <w:jc w:val="both"/>
        <w:ind w:left="1060" w:firstLine="754"/>
        <w:spacing w:after="0" w:line="244" w:lineRule="auto"/>
        <w:tabs>
          <w:tab w:leader="none" w:pos="200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employment with or otherwise render services, directly or indirectly, anywhere in the world, to any Unauthorized Competitor, whether as a director, officer, agent, employee, independent contractor or consultant,</w:t>
      </w:r>
    </w:p>
    <w:p>
      <w:pPr>
        <w:spacing w:after="0" w:line="173" w:lineRule="exact"/>
        <w:rPr>
          <w:rFonts w:ascii="Times New Roman" w:cs="Times New Roman" w:eastAsia="Times New Roman" w:hAnsi="Times New Roman"/>
          <w:sz w:val="22"/>
          <w:szCs w:val="22"/>
          <w:color w:val="auto"/>
        </w:rPr>
      </w:pPr>
    </w:p>
    <w:p>
      <w:pPr>
        <w:ind w:left="2060" w:hanging="246"/>
        <w:spacing w:after="0"/>
        <w:tabs>
          <w:tab w:leader="none" w:pos="20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 10% or greater partner or owner of any Unauthorized Competitor, or</w:t>
      </w:r>
    </w:p>
    <w:p>
      <w:pPr>
        <w:spacing w:after="0" w:line="206" w:lineRule="exact"/>
        <w:rPr>
          <w:rFonts w:ascii="Times New Roman" w:cs="Times New Roman" w:eastAsia="Times New Roman" w:hAnsi="Times New Roman"/>
          <w:sz w:val="22"/>
          <w:szCs w:val="22"/>
          <w:color w:val="auto"/>
        </w:rPr>
      </w:pPr>
    </w:p>
    <w:p>
      <w:pPr>
        <w:ind w:left="2120" w:hanging="306"/>
        <w:spacing w:after="0"/>
        <w:tabs>
          <w:tab w:leader="none" w:pos="212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action inconsistent with any fiduciary relationship that Executive may continue to owe the</w:t>
      </w:r>
    </w:p>
    <w:p>
      <w:pPr>
        <w:spacing w:after="0" w:line="25" w:lineRule="exact"/>
        <w:rPr>
          <w:rFonts w:ascii="Times New Roman" w:cs="Times New Roman" w:eastAsia="Times New Roman" w:hAnsi="Times New Roman"/>
          <w:sz w:val="21"/>
          <w:szCs w:val="21"/>
          <w:color w:val="auto"/>
        </w:rPr>
      </w:pPr>
    </w:p>
    <w:p>
      <w:pPr>
        <w:ind w:left="10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jc w:val="both"/>
        <w:ind w:left="1060"/>
        <w:spacing w:after="0" w:line="238" w:lineRule="auto"/>
        <w:rPr>
          <w:sz w:val="20"/>
          <w:szCs w:val="20"/>
          <w:color w:val="auto"/>
        </w:rPr>
      </w:pPr>
      <w:r>
        <w:rPr>
          <w:rFonts w:ascii="Times New Roman" w:cs="Times New Roman" w:eastAsia="Times New Roman" w:hAnsi="Times New Roman"/>
          <w:sz w:val="22"/>
          <w:szCs w:val="22"/>
          <w:color w:val="auto"/>
        </w:rPr>
        <w:t>In order to protect the Company’s goodwill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or otherwise rendering any services, anywhere in the world with any company or other enterprise except an Unauthorized Competitor.</w:t>
      </w:r>
    </w:p>
    <w:p>
      <w:pPr>
        <w:spacing w:after="0" w:line="173" w:lineRule="exact"/>
        <w:rPr>
          <w:sz w:val="20"/>
          <w:szCs w:val="20"/>
          <w:color w:val="auto"/>
        </w:rPr>
      </w:pPr>
    </w:p>
    <w:p>
      <w:pPr>
        <w:jc w:val="both"/>
        <w:ind w:left="980"/>
        <w:spacing w:after="0" w:line="241" w:lineRule="auto"/>
        <w:rPr>
          <w:sz w:val="20"/>
          <w:szCs w:val="20"/>
          <w:color w:val="auto"/>
        </w:rPr>
      </w:pPr>
      <w:r>
        <w:rPr>
          <w:rFonts w:ascii="Times New Roman" w:cs="Times New Roman" w:eastAsia="Times New Roman" w:hAnsi="Times New Roman"/>
          <w:sz w:val="22"/>
          <w:szCs w:val="22"/>
          <w:color w:val="auto"/>
        </w:rPr>
        <w:t xml:space="preserve">However, before Executive may accept employment or otherwise become engaged with any </w:t>
      </w:r>
      <w:r>
        <w:rPr>
          <w:rFonts w:ascii="Times New Roman" w:cs="Times New Roman" w:eastAsia="Times New Roman" w:hAnsi="Times New Roman"/>
          <w:sz w:val="22"/>
          <w:szCs w:val="22"/>
          <w:b w:val="1"/>
          <w:bCs w:val="1"/>
          <w:color w:val="auto"/>
        </w:rPr>
        <w:t>oilfield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that is not an Unauthorized Competitor, Executive must have received written preapproval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CEO, which will not be unreasonably withheld. The parties agree that the withholding of pre-approval regarding employment with a competitor in the OFS sector will not be considered unreasonable..</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Unauthorized Competitor</w:t>
      </w:r>
      <w:r>
        <w:rPr>
          <w:rFonts w:ascii="Times New Roman" w:cs="Times New Roman" w:eastAsia="Times New Roman" w:hAnsi="Times New Roman"/>
          <w:sz w:val="22"/>
          <w:szCs w:val="22"/>
          <w:color w:val="auto"/>
        </w:rPr>
        <w:t>” means the following entities:</w:t>
      </w:r>
    </w:p>
    <w:p>
      <w:pPr>
        <w:spacing w:after="0" w:line="212" w:lineRule="exact"/>
        <w:rPr>
          <w:sz w:val="20"/>
          <w:szCs w:val="20"/>
          <w:color w:val="auto"/>
        </w:rPr>
      </w:pPr>
    </w:p>
    <w:p>
      <w:pPr>
        <w:ind w:left="2560" w:hanging="746"/>
        <w:spacing w:after="0"/>
        <w:tabs>
          <w:tab w:leader="none" w:pos="25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Halliburton Company;</w:t>
      </w:r>
    </w:p>
    <w:p>
      <w:pPr>
        <w:spacing w:after="0" w:line="14" w:lineRule="exact"/>
        <w:rPr>
          <w:rFonts w:ascii="Times New Roman" w:cs="Times New Roman" w:eastAsia="Times New Roman" w:hAnsi="Times New Roman"/>
          <w:sz w:val="22"/>
          <w:szCs w:val="22"/>
          <w:color w:val="010000"/>
        </w:rPr>
      </w:pPr>
    </w:p>
    <w:p>
      <w:pPr>
        <w:ind w:left="2560" w:hanging="746"/>
        <w:spacing w:after="0" w:line="230" w:lineRule="auto"/>
        <w:tabs>
          <w:tab w:leader="none" w:pos="25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Baker Hughes Company;</w:t>
      </w:r>
    </w:p>
    <w:p>
      <w:pPr>
        <w:ind w:left="2560" w:hanging="746"/>
        <w:spacing w:after="0" w:line="230" w:lineRule="auto"/>
        <w:tabs>
          <w:tab w:leader="none" w:pos="25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Weatherford International Limited plc;</w:t>
      </w:r>
    </w:p>
    <w:p>
      <w:pPr>
        <w:ind w:left="2560" w:hanging="746"/>
        <w:spacing w:after="0" w:line="230" w:lineRule="auto"/>
        <w:tabs>
          <w:tab w:leader="none" w:pos="25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TechnipFMC plc;</w:t>
      </w:r>
    </w:p>
    <w:p>
      <w:pPr>
        <w:ind w:left="2560" w:hanging="746"/>
        <w:spacing w:after="0"/>
        <w:tabs>
          <w:tab w:leader="none" w:pos="25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National Oilwell Varco, Inc.;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60"/>
        <w:spacing w:after="0" w:line="258" w:lineRule="auto"/>
        <w:rPr>
          <w:sz w:val="20"/>
          <w:szCs w:val="20"/>
          <w:color w:val="auto"/>
        </w:rPr>
      </w:pPr>
      <w:r>
        <w:rPr>
          <w:rFonts w:ascii="Times New Roman" w:cs="Times New Roman" w:eastAsia="Times New Roman" w:hAnsi="Times New Roman"/>
          <w:sz w:val="22"/>
          <w:szCs w:val="22"/>
          <w:color w:val="auto"/>
        </w:rPr>
        <w:t>and includes any and all of their parents, subsidiaries, affiliates, joint ventures or divisions, as of the date of this Agreement as well as any of their successors or assigns.</w:t>
      </w:r>
    </w:p>
    <w:p>
      <w:pPr>
        <w:spacing w:after="0" w:line="158" w:lineRule="exact"/>
        <w:rPr>
          <w:sz w:val="20"/>
          <w:szCs w:val="20"/>
          <w:color w:val="auto"/>
        </w:rPr>
      </w:pPr>
    </w:p>
    <w:p>
      <w:pPr>
        <w:jc w:val="both"/>
        <w:ind w:left="1060" w:firstLine="5"/>
        <w:spacing w:after="0" w:line="244" w:lineRule="auto"/>
        <w:tabs>
          <w:tab w:leader="none" w:pos="14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during the Term, Executive becomes engaged or employed (in any form described above in Section 2) by an organization or business that is neither an Unauthorized Competitor nor a company otherwise requiring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6" w:name="page37"/>
    <w:bookmarkEnd w:id="36"/>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ind w:left="1060"/>
        <w:spacing w:after="0" w:line="239" w:lineRule="auto"/>
        <w:rPr>
          <w:sz w:val="20"/>
          <w:szCs w:val="20"/>
          <w:color w:val="auto"/>
        </w:rPr>
      </w:pPr>
      <w:r>
        <w:rPr>
          <w:rFonts w:ascii="Times New Roman" w:cs="Times New Roman" w:eastAsia="Times New Roman" w:hAnsi="Times New Roman"/>
          <w:sz w:val="22"/>
          <w:szCs w:val="22"/>
          <w:color w:val="auto"/>
        </w:rPr>
        <w:t>preapproval by the Company’s CEO, Executive shall give the Company advance notice of his accepting employment in any capacity. Employee must provide notice of his intent to accept subsequent employment at least fifteen (15) calendar days before the proposed start date of the subsequent employment. Notice is to be provided to:</w:t>
      </w:r>
    </w:p>
    <w:p>
      <w:pPr>
        <w:spacing w:after="0" w:line="18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Chief People Officer and Chief Legal Officer,</w:t>
      </w:r>
    </w:p>
    <w:p>
      <w:pPr>
        <w:spacing w:after="0" w:line="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5599 San Felipe, Ste. 1709,</w:t>
      </w:r>
    </w:p>
    <w:p>
      <w:pPr>
        <w:ind w:left="1820"/>
        <w:spacing w:after="0"/>
        <w:rPr>
          <w:sz w:val="20"/>
          <w:szCs w:val="20"/>
          <w:color w:val="auto"/>
        </w:rPr>
      </w:pPr>
      <w:r>
        <w:rPr>
          <w:rFonts w:ascii="Times New Roman" w:cs="Times New Roman" w:eastAsia="Times New Roman" w:hAnsi="Times New Roman"/>
          <w:sz w:val="22"/>
          <w:szCs w:val="22"/>
          <w:color w:val="auto"/>
        </w:rPr>
        <w:t>Houston, TX 77056</w:t>
      </w:r>
    </w:p>
    <w:p>
      <w:pPr>
        <w:spacing w:after="0" w:line="209" w:lineRule="exact"/>
        <w:rPr>
          <w:sz w:val="20"/>
          <w:szCs w:val="20"/>
          <w:color w:val="auto"/>
        </w:rPr>
      </w:pPr>
    </w:p>
    <w:p>
      <w:pPr>
        <w:jc w:val="both"/>
        <w:ind w:left="1060"/>
        <w:spacing w:after="0" w:line="238" w:lineRule="auto"/>
        <w:rPr>
          <w:sz w:val="20"/>
          <w:szCs w:val="20"/>
          <w:color w:val="auto"/>
        </w:rPr>
      </w:pPr>
      <w:r>
        <w:rPr>
          <w:rFonts w:ascii="Times New Roman" w:cs="Times New Roman" w:eastAsia="Times New Roman" w:hAnsi="Times New Roman"/>
          <w:sz w:val="22"/>
          <w:szCs w:val="22"/>
          <w:color w:val="auto"/>
        </w:rPr>
        <w:t>Such notice shall comply in all other respects with the requirements set forth in Section 7 below. The Notice must include the full name and address of the organization with which the Executive is seeking employment, the department or area in which Executive proposes to work, the position or job title to be held by Executive, and a sufficient description of the duties Executive expects to perform for such employer for the Company to understand the scope of the employment.</w:t>
      </w:r>
    </w:p>
    <w:p>
      <w:pPr>
        <w:spacing w:after="0" w:line="177" w:lineRule="exact"/>
        <w:rPr>
          <w:sz w:val="20"/>
          <w:szCs w:val="20"/>
          <w:color w:val="auto"/>
        </w:rPr>
      </w:pPr>
    </w:p>
    <w:p>
      <w:pPr>
        <w:jc w:val="both"/>
        <w:ind w:left="1060" w:firstLine="5"/>
        <w:spacing w:after="0" w:line="239" w:lineRule="auto"/>
        <w:tabs>
          <w:tab w:leader="none" w:pos="14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business with which the Executive is affiliated (in any capacity) during the Term is to become an Unauthorized Competitor through acquisition or otherwise, the Executive must provide Notice as soon as legally permitted (and no later than the day the transaction becomes public). Notice should be sent to the Chief People Officer and the Chief Legal Officer as set forth above.</w:t>
      </w:r>
    </w:p>
    <w:p>
      <w:pPr>
        <w:spacing w:after="0" w:line="176" w:lineRule="exact"/>
        <w:rPr>
          <w:rFonts w:ascii="Times New Roman" w:cs="Times New Roman" w:eastAsia="Times New Roman" w:hAnsi="Times New Roman"/>
          <w:sz w:val="22"/>
          <w:szCs w:val="22"/>
          <w:color w:val="auto"/>
        </w:rPr>
      </w:pPr>
    </w:p>
    <w:p>
      <w:pPr>
        <w:jc w:val="both"/>
        <w:ind w:left="1060" w:firstLine="754"/>
        <w:spacing w:after="0" w:line="246" w:lineRule="auto"/>
        <w:tabs>
          <w:tab w:leader="none" w:pos="2108" w:val="left"/>
        </w:tabs>
        <w:numPr>
          <w:ilvl w:val="1"/>
          <w:numId w:val="42"/>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Nonsolicitation</w:t>
      </w:r>
      <w:r>
        <w:rPr>
          <w:rFonts w:ascii="Times New Roman" w:cs="Times New Roman" w:eastAsia="Times New Roman" w:hAnsi="Times New Roman"/>
          <w:sz w:val="22"/>
          <w:szCs w:val="22"/>
          <w:color w:val="auto"/>
        </w:rPr>
        <w:t>. Executive further agrees that during the Term, he shall not at any time,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induce, entice or solicit (or attempt to induce, entice or solicit) any employee of the Company or any of its affiliates or ventures to leave the employment of the Company or any of its affiliates or ventures.</w:t>
      </w:r>
    </w:p>
    <w:p>
      <w:pPr>
        <w:spacing w:after="0" w:line="167" w:lineRule="exact"/>
        <w:rPr>
          <w:sz w:val="20"/>
          <w:szCs w:val="20"/>
          <w:color w:val="auto"/>
        </w:rPr>
      </w:pPr>
    </w:p>
    <w:p>
      <w:pPr>
        <w:jc w:val="both"/>
        <w:ind w:left="1060" w:firstLine="749"/>
        <w:spacing w:after="0" w:line="238" w:lineRule="auto"/>
        <w:rPr>
          <w:sz w:val="20"/>
          <w:szCs w:val="20"/>
          <w:color w:val="auto"/>
        </w:rPr>
      </w:pPr>
      <w:r>
        <w:rPr>
          <w:rFonts w:ascii="Times New Roman" w:cs="Times New Roman" w:eastAsia="Times New Roman" w:hAnsi="Times New Roman"/>
          <w:sz w:val="22"/>
          <w:szCs w:val="22"/>
          <w:i w:val="1"/>
          <w:iCs w:val="1"/>
          <w:color w:val="010000"/>
        </w:rPr>
        <w:t>(iii)</w:t>
      </w:r>
      <w:r>
        <w:rPr>
          <w:rFonts w:ascii="Times New Roman" w:cs="Times New Roman" w:eastAsia="Times New Roman" w:hAnsi="Times New Roman"/>
          <w:sz w:val="22"/>
          <w:szCs w:val="22"/>
          <w:i w:val="1"/>
          <w:iCs w:val="1"/>
          <w:color w:val="000000"/>
        </w:rPr>
        <w:t>Nondisparagement</w:t>
      </w:r>
      <w:r>
        <w:rPr>
          <w:rFonts w:ascii="Times New Roman" w:cs="Times New Roman" w:eastAsia="Times New Roman" w:hAnsi="Times New Roman"/>
          <w:sz w:val="22"/>
          <w:szCs w:val="22"/>
          <w:color w:val="000000"/>
        </w:rPr>
        <w:t>. Executive agrees that he shall not, directly or indirectly, whether in writing,</w:t>
      </w:r>
      <w:r>
        <w:rPr>
          <w:rFonts w:ascii="Times New Roman" w:cs="Times New Roman" w:eastAsia="Times New Roman" w:hAnsi="Times New Roman"/>
          <w:sz w:val="22"/>
          <w:szCs w:val="22"/>
          <w:i w:val="1"/>
          <w:iCs w:val="1"/>
          <w:color w:val="010000"/>
        </w:rPr>
        <w:t xml:space="preserve"> </w:t>
      </w:r>
      <w:r>
        <w:rPr>
          <w:rFonts w:ascii="Times New Roman" w:cs="Times New Roman" w:eastAsia="Times New Roman" w:hAnsi="Times New Roman"/>
          <w:sz w:val="22"/>
          <w:szCs w:val="22"/>
          <w:color w:val="000000"/>
        </w:rPr>
        <w:t>orally or electronically, make any negative, derogatory or other comment that could reasonably be expected to be detrimental to the Company or any of its affiliates, their business or operations, or to any of its or their current employees, officers or directors. Nothing in this Agreement shall preclude Executive from making truthful statements that are required by applicable law, regulation, legal process.</w:t>
      </w:r>
    </w:p>
    <w:p>
      <w:pPr>
        <w:spacing w:after="0" w:line="177" w:lineRule="exact"/>
        <w:rPr>
          <w:sz w:val="20"/>
          <w:szCs w:val="20"/>
          <w:color w:val="auto"/>
        </w:rPr>
      </w:pPr>
    </w:p>
    <w:p>
      <w:pPr>
        <w:jc w:val="both"/>
        <w:ind w:left="1060" w:firstLine="749"/>
        <w:spacing w:after="0" w:line="246" w:lineRule="auto"/>
        <w:rPr>
          <w:sz w:val="20"/>
          <w:szCs w:val="20"/>
          <w:color w:val="auto"/>
        </w:rPr>
      </w:pPr>
      <w:r>
        <w:rPr>
          <w:rFonts w:ascii="Times New Roman" w:cs="Times New Roman" w:eastAsia="Times New Roman" w:hAnsi="Times New Roman"/>
          <w:sz w:val="22"/>
          <w:szCs w:val="22"/>
          <w:i w:val="1"/>
          <w:iCs w:val="1"/>
          <w:color w:val="010000"/>
        </w:rPr>
        <w:t>(iv)</w:t>
      </w:r>
      <w:r>
        <w:rPr>
          <w:rFonts w:ascii="Times New Roman" w:cs="Times New Roman" w:eastAsia="Times New Roman" w:hAnsi="Times New Roman"/>
          <w:sz w:val="22"/>
          <w:szCs w:val="22"/>
          <w:i w:val="1"/>
          <w:iCs w:val="1"/>
          <w:color w:val="000000"/>
        </w:rPr>
        <w:t>Disclosure of Agreement</w:t>
      </w:r>
      <w:r>
        <w:rPr>
          <w:rFonts w:ascii="Times New Roman" w:cs="Times New Roman" w:eastAsia="Times New Roman" w:hAnsi="Times New Roman"/>
          <w:sz w:val="22"/>
          <w:szCs w:val="22"/>
          <w:color w:val="000000"/>
        </w:rPr>
        <w:t>. Executive agrees to provide this Agreement to any prospective or actual</w:t>
      </w:r>
      <w:r>
        <w:rPr>
          <w:rFonts w:ascii="Times New Roman" w:cs="Times New Roman" w:eastAsia="Times New Roman" w:hAnsi="Times New Roman"/>
          <w:sz w:val="22"/>
          <w:szCs w:val="22"/>
          <w:i w:val="1"/>
          <w:iCs w:val="1"/>
          <w:color w:val="010000"/>
        </w:rPr>
        <w:t xml:space="preserve"> </w:t>
      </w:r>
      <w:r>
        <w:rPr>
          <w:rFonts w:ascii="Times New Roman" w:cs="Times New Roman" w:eastAsia="Times New Roman" w:hAnsi="Times New Roman"/>
          <w:sz w:val="22"/>
          <w:szCs w:val="22"/>
          <w:color w:val="000000"/>
        </w:rPr>
        <w:t>employer of Executive, and the Company may in its discretion provide this Agreement directly to any such prospective or actual employer.</w:t>
      </w:r>
    </w:p>
    <w:p>
      <w:pPr>
        <w:spacing w:after="0" w:line="167" w:lineRule="exact"/>
        <w:rPr>
          <w:sz w:val="20"/>
          <w:szCs w:val="20"/>
          <w:color w:val="auto"/>
        </w:rPr>
      </w:pPr>
    </w:p>
    <w:p>
      <w:pPr>
        <w:ind w:left="1060" w:right="20" w:firstLine="754"/>
        <w:spacing w:after="0" w:line="262" w:lineRule="auto"/>
        <w:tabs>
          <w:tab w:leader="none" w:pos="2108" w:val="left"/>
        </w:tabs>
        <w:numPr>
          <w:ilvl w:val="0"/>
          <w:numId w:val="43"/>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i w:val="1"/>
          <w:iCs w:val="1"/>
          <w:color w:val="auto"/>
        </w:rPr>
        <w:t>Protected Disclosures</w:t>
      </w:r>
      <w:r>
        <w:rPr>
          <w:rFonts w:ascii="Times New Roman" w:cs="Times New Roman" w:eastAsia="Times New Roman" w:hAnsi="Times New Roman"/>
          <w:sz w:val="22"/>
          <w:szCs w:val="22"/>
          <w:color w:val="auto"/>
        </w:rPr>
        <w:t>. Notwithstanding the foregoing, nothing in this Agreement,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confidentiality provisions above, limits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7" w:name="page38"/>
    <w:bookmarkEnd w:id="37"/>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ind w:left="1060"/>
        <w:spacing w:after="0" w:line="239" w:lineRule="auto"/>
        <w:rPr>
          <w:sz w:val="20"/>
          <w:szCs w:val="20"/>
          <w:color w:val="auto"/>
        </w:rPr>
      </w:pPr>
      <w:r>
        <w:rPr>
          <w:rFonts w:ascii="Times New Roman" w:cs="Times New Roman" w:eastAsia="Times New Roman" w:hAnsi="Times New Roman"/>
          <w:sz w:val="22"/>
          <w:szCs w:val="22"/>
          <w:color w:val="auto"/>
        </w:rPr>
        <w:t>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176" w:lineRule="exact"/>
        <w:rPr>
          <w:sz w:val="20"/>
          <w:szCs w:val="20"/>
          <w:color w:val="auto"/>
        </w:rPr>
      </w:pPr>
    </w:p>
    <w:p>
      <w:pPr>
        <w:jc w:val="both"/>
        <w:ind w:left="1060" w:firstLine="749"/>
        <w:spacing w:after="0" w:line="235" w:lineRule="auto"/>
        <w:rPr>
          <w:sz w:val="20"/>
          <w:szCs w:val="20"/>
          <w:color w:val="auto"/>
        </w:rPr>
      </w:pPr>
      <w:r>
        <w:rPr>
          <w:rFonts w:ascii="Times New Roman" w:cs="Times New Roman" w:eastAsia="Times New Roman" w:hAnsi="Times New Roman"/>
          <w:sz w:val="22"/>
          <w:szCs w:val="22"/>
          <w:i w:val="1"/>
          <w:iCs w:val="1"/>
          <w:color w:val="010000"/>
        </w:rPr>
        <w:t>(vi)</w:t>
      </w:r>
      <w:r>
        <w:rPr>
          <w:rFonts w:ascii="Times New Roman" w:cs="Times New Roman" w:eastAsia="Times New Roman" w:hAnsi="Times New Roman"/>
          <w:sz w:val="22"/>
          <w:szCs w:val="22"/>
          <w:i w:val="1"/>
          <w:iCs w:val="1"/>
          <w:color w:val="000000"/>
        </w:rPr>
        <w:t>Acknowledgement; Covenants Ancillary to Other Agreements</w:t>
      </w:r>
      <w:r>
        <w:rPr>
          <w:rFonts w:ascii="Times New Roman" w:cs="Times New Roman" w:eastAsia="Times New Roman" w:hAnsi="Times New Roman"/>
          <w:sz w:val="22"/>
          <w:szCs w:val="22"/>
          <w:color w:val="000000"/>
        </w:rPr>
        <w:t>. Executive expressly recognizes that</w:t>
      </w:r>
      <w:r>
        <w:rPr>
          <w:rFonts w:ascii="Times New Roman" w:cs="Times New Roman" w:eastAsia="Times New Roman" w:hAnsi="Times New Roman"/>
          <w:sz w:val="22"/>
          <w:szCs w:val="22"/>
          <w:i w:val="1"/>
          <w:iCs w:val="1"/>
          <w:color w:val="010000"/>
        </w:rPr>
        <w:t xml:space="preserve"> </w:t>
      </w:r>
      <w:r>
        <w:rPr>
          <w:rFonts w:ascii="Times New Roman" w:cs="Times New Roman" w:eastAsia="Times New Roman" w:hAnsi="Times New Roman"/>
          <w:sz w:val="22"/>
          <w:szCs w:val="22"/>
          <w:color w:val="000000"/>
        </w:rPr>
        <w:t>Executive was a high-level, executive employee who was provided with access to Confidential Information of the Company as part of Executive’s employment. Executive acknowledges that the restrictive covenants contained in Section 5(b), for which he received consideration from the Company as provided in Section 3, are ancillary to otherwise enforceable provisions of this Agreement with respect to the protection of Confidential Information, and that the restrictive covenants contain limitations, as applicable,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74" w:lineRule="exact"/>
        <w:rPr>
          <w:sz w:val="20"/>
          <w:szCs w:val="20"/>
          <w:color w:val="auto"/>
        </w:rPr>
      </w:pPr>
    </w:p>
    <w:p>
      <w:pPr>
        <w:jc w:val="both"/>
        <w:ind w:left="1060" w:firstLine="749"/>
        <w:spacing w:after="0" w:line="244" w:lineRule="auto"/>
        <w:rPr>
          <w:sz w:val="20"/>
          <w:szCs w:val="20"/>
          <w:color w:val="auto"/>
        </w:rPr>
      </w:pPr>
      <w:r>
        <w:rPr>
          <w:rFonts w:ascii="Times New Roman" w:cs="Times New Roman" w:eastAsia="Times New Roman" w:hAnsi="Times New Roman"/>
          <w:sz w:val="21"/>
          <w:szCs w:val="21"/>
          <w:i w:val="1"/>
          <w:iCs w:val="1"/>
          <w:color w:val="010000"/>
        </w:rPr>
        <w:t>(vii)</w:t>
      </w:r>
      <w:r>
        <w:rPr>
          <w:rFonts w:ascii="Times New Roman" w:cs="Times New Roman" w:eastAsia="Times New Roman" w:hAnsi="Times New Roman"/>
          <w:sz w:val="21"/>
          <w:szCs w:val="21"/>
          <w:i w:val="1"/>
          <w:iCs w:val="1"/>
          <w:color w:val="000000"/>
        </w:rPr>
        <w:t>Return of Property</w:t>
      </w:r>
      <w:r>
        <w:rPr>
          <w:rFonts w:ascii="Times New Roman" w:cs="Times New Roman" w:eastAsia="Times New Roman" w:hAnsi="Times New Roman"/>
          <w:sz w:val="21"/>
          <w:szCs w:val="21"/>
          <w:color w:val="000000"/>
        </w:rPr>
        <w:t>. Executive agrees that at the time of leaving the Company’s employ, if not</w:t>
      </w:r>
      <w:r>
        <w:rPr>
          <w:rFonts w:ascii="Times New Roman" w:cs="Times New Roman" w:eastAsia="Times New Roman" w:hAnsi="Times New Roman"/>
          <w:sz w:val="21"/>
          <w:szCs w:val="21"/>
          <w:i w:val="1"/>
          <w:iCs w:val="1"/>
          <w:color w:val="010000"/>
        </w:rPr>
        <w:t xml:space="preserve"> </w:t>
      </w:r>
      <w:r>
        <w:rPr>
          <w:rFonts w:ascii="Times New Roman" w:cs="Times New Roman" w:eastAsia="Times New Roman" w:hAnsi="Times New Roman"/>
          <w:sz w:val="21"/>
          <w:szCs w:val="21"/>
          <w:color w:val="000000"/>
        </w:rPr>
        <w:t>sooner, he will: (A) deliver to the Company all (and will not keep in his possession, recreate or deliver to anyone else, any)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 and (B) return to a Company representative all computers and electronic storage devices including thumb drives, back-up devices, etc. that 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to taken to remove Company information from Executive’s personal computers and devices.</w:t>
      </w:r>
    </w:p>
    <w:p>
      <w:pPr>
        <w:spacing w:after="0" w:line="181" w:lineRule="exact"/>
        <w:rPr>
          <w:sz w:val="20"/>
          <w:szCs w:val="20"/>
          <w:color w:val="auto"/>
        </w:rPr>
      </w:pPr>
    </w:p>
    <w:p>
      <w:pPr>
        <w:jc w:val="both"/>
        <w:ind w:left="1060" w:firstLine="749"/>
        <w:spacing w:after="0" w:line="246" w:lineRule="auto"/>
        <w:rPr>
          <w:sz w:val="20"/>
          <w:szCs w:val="20"/>
          <w:color w:val="auto"/>
        </w:rPr>
      </w:pPr>
      <w:r>
        <w:rPr>
          <w:rFonts w:ascii="Times New Roman" w:cs="Times New Roman" w:eastAsia="Times New Roman" w:hAnsi="Times New Roman"/>
          <w:sz w:val="22"/>
          <w:szCs w:val="22"/>
          <w:i w:val="1"/>
          <w:iCs w:val="1"/>
          <w:color w:val="010000"/>
        </w:rPr>
        <w:t>(viii)</w:t>
      </w:r>
      <w:r>
        <w:rPr>
          <w:rFonts w:ascii="Times New Roman" w:cs="Times New Roman" w:eastAsia="Times New Roman" w:hAnsi="Times New Roman"/>
          <w:sz w:val="22"/>
          <w:szCs w:val="22"/>
          <w:i w:val="1"/>
          <w:iCs w:val="1"/>
          <w:color w:val="000000"/>
        </w:rPr>
        <w:t>Survival.</w:t>
      </w:r>
      <w:r>
        <w:rPr>
          <w:rFonts w:ascii="Times New Roman" w:cs="Times New Roman" w:eastAsia="Times New Roman" w:hAnsi="Times New Roman"/>
          <w:sz w:val="22"/>
          <w:szCs w:val="22"/>
          <w:i w:val="1"/>
          <w:iCs w:val="1"/>
          <w:color w:val="010000"/>
        </w:rPr>
        <w:t xml:space="preserve"> </w:t>
      </w:r>
      <w:r>
        <w:rPr>
          <w:rFonts w:ascii="Times New Roman" w:cs="Times New Roman" w:eastAsia="Times New Roman" w:hAnsi="Times New Roman"/>
          <w:sz w:val="22"/>
          <w:szCs w:val="22"/>
          <w:color w:val="000000"/>
        </w:rPr>
        <w:t>Executive further acknowledges that if his employment terminates prior to the end of the</w:t>
      </w:r>
      <w:r>
        <w:rPr>
          <w:rFonts w:ascii="Times New Roman" w:cs="Times New Roman" w:eastAsia="Times New Roman" w:hAnsi="Times New Roman"/>
          <w:sz w:val="22"/>
          <w:szCs w:val="22"/>
          <w:i w:val="1"/>
          <w:iCs w:val="1"/>
          <w:color w:val="010000"/>
        </w:rPr>
        <w:t xml:space="preserve"> </w:t>
      </w:r>
      <w:r>
        <w:rPr>
          <w:rFonts w:ascii="Times New Roman" w:cs="Times New Roman" w:eastAsia="Times New Roman" w:hAnsi="Times New Roman"/>
          <w:sz w:val="22"/>
          <w:szCs w:val="22"/>
          <w:color w:val="000000"/>
        </w:rPr>
        <w:t>Term pursuant to Section 4 of this Agreement, the restrictive covenant provisions of this Agreement will remain in effect until May 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00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both"/>
        <w:ind w:left="1500" w:hanging="743"/>
        <w:spacing w:after="0" w:line="235" w:lineRule="auto"/>
        <w:tabs>
          <w:tab w:leader="none" w:pos="1500"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Employment by Affiliates</w:t>
      </w:r>
      <w:r>
        <w:rPr>
          <w:rFonts w:ascii="Times New Roman" w:cs="Times New Roman" w:eastAsia="Times New Roman" w:hAnsi="Times New Roman"/>
          <w:sz w:val="22"/>
          <w:szCs w:val="22"/>
          <w:color w:val="auto"/>
        </w:rPr>
        <w:t>. Notwithstanding any provision of this Agreement to the contrary,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determining whether Executive has terminated employment hereunder, “employment” means employment as an employee with the Company or any affiliate. For purposes of this Agreement, the term “affiliate” means (i) Schlumberger Limited, a Curaçao company, (ii) any entity in which the equity interests owned or controlled directly or indirectly by Schlumberger Limited represent 40% or more of the voting power of the issued and outstanding equity interest of such entity, and (iii) any other company controlled by, controlling or under common control with the Company within the meaning of Section 414 of the Internal Revenue Code of 1986, as amended (the “Code”).</w:t>
      </w:r>
    </w:p>
    <w:p>
      <w:pPr>
        <w:spacing w:after="0" w:line="178" w:lineRule="exact"/>
        <w:rPr>
          <w:rFonts w:ascii="Times New Roman" w:cs="Times New Roman" w:eastAsia="Times New Roman" w:hAnsi="Times New Roman"/>
          <w:sz w:val="22"/>
          <w:szCs w:val="22"/>
          <w:color w:val="010000"/>
        </w:rPr>
      </w:pPr>
    </w:p>
    <w:p>
      <w:pPr>
        <w:jc w:val="both"/>
        <w:ind w:left="1500" w:hanging="743"/>
        <w:spacing w:after="0" w:line="237" w:lineRule="auto"/>
        <w:tabs>
          <w:tab w:leader="none" w:pos="1500"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Remedies</w:t>
      </w:r>
      <w:r>
        <w:rPr>
          <w:rFonts w:ascii="Times New Roman" w:cs="Times New Roman" w:eastAsia="Times New Roman" w:hAnsi="Times New Roman"/>
          <w:sz w:val="22"/>
          <w:szCs w:val="22"/>
          <w:color w:val="auto"/>
        </w:rPr>
        <w:t>. Executive acknowledges that in the event of a breach by Executive of any of restrictive covenants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in this Section 5, the covenants may be enforced by temporary restraining order, preliminary or temporary injunction and permanent injunction, in addition to any other remedies that may be available by law. In that connection, Executive acknowledges that in the event of any such breach, the Company will suffer irreparable injury for which there is no adequate legal remedy, in part because damages caused by the breach may be difficult to prove with any reasonable degree of certainty.</w:t>
      </w:r>
    </w:p>
    <w:p>
      <w:pPr>
        <w:spacing w:after="0" w:line="175" w:lineRule="exact"/>
        <w:rPr>
          <w:rFonts w:ascii="Times New Roman" w:cs="Times New Roman" w:eastAsia="Times New Roman" w:hAnsi="Times New Roman"/>
          <w:sz w:val="22"/>
          <w:szCs w:val="22"/>
          <w:color w:val="010000"/>
        </w:rPr>
      </w:pPr>
    </w:p>
    <w:p>
      <w:pPr>
        <w:ind w:left="15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Executive further agrees that in the event that:</w:t>
      </w:r>
    </w:p>
    <w:p>
      <w:pPr>
        <w:spacing w:after="0" w:line="210" w:lineRule="exact"/>
        <w:rPr>
          <w:rFonts w:ascii="Times New Roman" w:cs="Times New Roman" w:eastAsia="Times New Roman" w:hAnsi="Times New Roman"/>
          <w:sz w:val="22"/>
          <w:szCs w:val="22"/>
          <w:color w:val="010000"/>
        </w:rPr>
      </w:pPr>
    </w:p>
    <w:p>
      <w:pPr>
        <w:ind w:left="2320" w:hanging="380"/>
        <w:spacing w:after="0"/>
        <w:tabs>
          <w:tab w:leader="none" w:pos="23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determines that Executive has breached any term of this Section 5; or</w:t>
      </w:r>
    </w:p>
    <w:p>
      <w:pPr>
        <w:spacing w:after="0" w:line="206" w:lineRule="exact"/>
        <w:rPr>
          <w:rFonts w:ascii="Times New Roman" w:cs="Times New Roman" w:eastAsia="Times New Roman" w:hAnsi="Times New Roman"/>
          <w:sz w:val="22"/>
          <w:szCs w:val="22"/>
          <w:color w:val="auto"/>
        </w:rPr>
      </w:pPr>
    </w:p>
    <w:p>
      <w:pPr>
        <w:jc w:val="both"/>
        <w:ind w:left="2320" w:hanging="380"/>
        <w:spacing w:after="0" w:line="244" w:lineRule="auto"/>
        <w:tabs>
          <w:tab w:leader="none" w:pos="23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this Section 5 is held or found invalid or unenforceable for any reason whatsoever by a court of competent jurisdiction in an action between Executive and the Company, in addition to any other remedies at law or in equity the Company may have available to it,</w:t>
      </w:r>
    </w:p>
    <w:p>
      <w:pPr>
        <w:spacing w:after="0" w:line="169" w:lineRule="exact"/>
        <w:rPr>
          <w:sz w:val="20"/>
          <w:szCs w:val="20"/>
          <w:color w:val="auto"/>
        </w:rPr>
      </w:pPr>
    </w:p>
    <w:p>
      <w:pPr>
        <w:jc w:val="both"/>
        <w:ind w:left="1560"/>
        <w:spacing w:after="0" w:line="237" w:lineRule="auto"/>
        <w:rPr>
          <w:sz w:val="20"/>
          <w:szCs w:val="20"/>
          <w:color w:val="auto"/>
        </w:rPr>
      </w:pPr>
      <w:r>
        <w:rPr>
          <w:rFonts w:ascii="Times New Roman" w:cs="Times New Roman" w:eastAsia="Times New Roman" w:hAnsi="Times New Roman"/>
          <w:sz w:val="22"/>
          <w:szCs w:val="22"/>
          <w:b w:val="1"/>
          <w:bCs w:val="1"/>
          <w:color w:val="auto"/>
        </w:rPr>
        <w:t>the Company may immediately stop payment or issuance of any future amounts, including shares of Company common stock under otherwise vested equity incentive awards,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179" w:lineRule="exact"/>
        <w:rPr>
          <w:sz w:val="20"/>
          <w:szCs w:val="20"/>
          <w:color w:val="auto"/>
        </w:rPr>
      </w:pPr>
    </w:p>
    <w:p>
      <w:pPr>
        <w:jc w:val="both"/>
        <w:ind w:firstLine="8"/>
        <w:spacing w:after="0" w:line="244" w:lineRule="auto"/>
        <w:tabs>
          <w:tab w:leader="none" w:pos="509"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 Expenses</w:t>
      </w:r>
      <w:r>
        <w:rPr>
          <w:rFonts w:ascii="Times New Roman" w:cs="Times New Roman" w:eastAsia="Times New Roman" w:hAnsi="Times New Roman"/>
          <w:sz w:val="22"/>
          <w:szCs w:val="22"/>
          <w:color w:val="auto"/>
        </w:rPr>
        <w:t>. The Company and Executive shall each be responsible for their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ind w:firstLine="8"/>
        <w:spacing w:after="0" w:line="261" w:lineRule="auto"/>
        <w:tabs>
          <w:tab w:leader="none" w:pos="509"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and (unless specified otherwise herein for communications to the CEO) addressed as follows:</w:t>
      </w:r>
    </w:p>
    <w:p>
      <w:pPr>
        <w:sectPr>
          <w:pgSz w:w="11900" w:h="16838" w:orient="portrait"/>
          <w:cols w:equalWidth="0" w:num="1">
            <w:col w:w="11240"/>
          </w:cols>
          <w:pgMar w:left="320" w:top="1008" w:right="339" w:bottom="1440" w:gutter="0" w:footer="0" w:header="0"/>
        </w:sectPr>
      </w:pP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5599 San Felipe, 17th Floor</w:t>
      </w:r>
    </w:p>
    <w:p>
      <w:pPr>
        <w:ind w:left="840"/>
        <w:spacing w:after="0" w:line="230" w:lineRule="auto"/>
        <w:rPr>
          <w:sz w:val="20"/>
          <w:szCs w:val="20"/>
          <w:color w:val="auto"/>
        </w:rPr>
      </w:pPr>
      <w:r>
        <w:rPr>
          <w:rFonts w:ascii="Times New Roman" w:cs="Times New Roman" w:eastAsia="Times New Roman" w:hAnsi="Times New Roman"/>
          <w:sz w:val="22"/>
          <w:szCs w:val="22"/>
          <w:color w:val="auto"/>
        </w:rPr>
        <w:t>Houston, TX 77056</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ATTENTION: Chief People Officer</w:t>
      </w:r>
    </w:p>
    <w:p>
      <w:pPr>
        <w:spacing w:after="0" w:line="194" w:lineRule="exact"/>
        <w:rPr>
          <w:sz w:val="20"/>
          <w:szCs w:val="20"/>
          <w:color w:val="auto"/>
        </w:rPr>
      </w:pPr>
    </w:p>
    <w:p>
      <w:pPr>
        <w:sectPr>
          <w:pgSz w:w="11900" w:h="16838" w:orient="portrait"/>
          <w:cols w:equalWidth="0" w:num="2">
            <w:col w:w="3140" w:space="520"/>
            <w:col w:w="7580"/>
          </w:cols>
          <w:pgMar w:left="320" w:top="1008"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Khaled Al Mogharbel</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[REDACTED]</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[REDACTED]</w:t>
      </w:r>
    </w:p>
    <w:p>
      <w:pPr>
        <w:spacing w:after="0" w:line="200" w:lineRule="exact"/>
        <w:rPr>
          <w:sz w:val="20"/>
          <w:szCs w:val="20"/>
          <w:color w:val="auto"/>
        </w:rPr>
      </w:pPr>
    </w:p>
    <w:p>
      <w:pPr>
        <w:sectPr>
          <w:pgSz w:w="11900" w:h="16838" w:orient="portrait"/>
          <w:cols w:equalWidth="0" w:num="2">
            <w:col w:w="2940" w:space="720"/>
            <w:col w:w="7580"/>
          </w:cols>
          <w:pgMar w:left="320" w:top="1008" w:right="339" w:bottom="1440" w:gutter="0" w:footer="0" w:header="0"/>
          <w:type w:val="continuous"/>
        </w:sectPr>
      </w:pPr>
    </w:p>
    <w:p>
      <w:pPr>
        <w:spacing w:after="0" w:line="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may furnish to the other in writing in accordance herewith, except that notices of changes of address shall be effective only upon receipt.</w:t>
      </w:r>
    </w:p>
    <w:p>
      <w:pPr>
        <w:spacing w:after="0" w:line="158" w:lineRule="exact"/>
        <w:rPr>
          <w:sz w:val="20"/>
          <w:szCs w:val="20"/>
          <w:color w:val="auto"/>
        </w:rPr>
      </w:pPr>
    </w:p>
    <w:p>
      <w:pPr>
        <w:jc w:val="both"/>
        <w:ind w:firstLine="8"/>
        <w:spacing w:after="0" w:line="235" w:lineRule="auto"/>
        <w:tabs>
          <w:tab w:leader="none" w:pos="509"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Applicable Law; Venue</w:t>
      </w:r>
      <w:r>
        <w:rPr>
          <w:rFonts w:ascii="Times New Roman" w:cs="Times New Roman" w:eastAsia="Times New Roman" w:hAnsi="Times New Roman"/>
          <w:sz w:val="22"/>
          <w:szCs w:val="22"/>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83"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73"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The Company may withhold from any benefits payable under this Agreement all federal, state, city or other taxes as may be required pursuant to any law or governmental regulation or ruling.</w:t>
      </w:r>
    </w:p>
    <w:p>
      <w:pPr>
        <w:spacing w:after="0" w:line="158" w:lineRule="exact"/>
        <w:rPr>
          <w:rFonts w:ascii="Times New Roman" w:cs="Times New Roman" w:eastAsia="Times New Roman" w:hAnsi="Times New Roman"/>
          <w:sz w:val="22"/>
          <w:szCs w:val="22"/>
          <w:color w:val="010000"/>
        </w:rPr>
      </w:pPr>
    </w:p>
    <w:p>
      <w:pPr>
        <w:jc w:val="both"/>
        <w:ind w:firstLine="8"/>
        <w:spacing w:after="0" w:line="236" w:lineRule="auto"/>
        <w:tabs>
          <w:tab w:leader="none" w:pos="509"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Assignment; Successors</w:t>
      </w:r>
      <w:r>
        <w:rPr>
          <w:rFonts w:ascii="Times New Roman" w:cs="Times New Roman" w:eastAsia="Times New Roman" w:hAnsi="Times New Roman"/>
          <w:sz w:val="22"/>
          <w:szCs w:val="22"/>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Company, its successors and assigns (including, without limitation, any entity into or with which the Company may merge or consolidate).</w:t>
      </w:r>
    </w:p>
    <w:p>
      <w:pPr>
        <w:spacing w:after="0" w:line="158" w:lineRule="exact"/>
        <w:rPr>
          <w:sz w:val="20"/>
          <w:szCs w:val="20"/>
          <w:color w:val="auto"/>
        </w:rPr>
      </w:pPr>
    </w:p>
    <w:p>
      <w:pPr>
        <w:jc w:val="both"/>
        <w:ind w:firstLine="8"/>
        <w:spacing w:after="0" w:line="236" w:lineRule="auto"/>
        <w:tabs>
          <w:tab w:leader="none" w:pos="509"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Effect of Prior Agreements</w:t>
      </w:r>
      <w:r>
        <w:rPr>
          <w:rFonts w:ascii="Times New Roman" w:cs="Times New Roman" w:eastAsia="Times New Roman" w:hAnsi="Times New Roman"/>
          <w:sz w:val="22"/>
          <w:szCs w:val="22"/>
          <w:color w:val="auto"/>
        </w:rPr>
        <w:t>. This Agreement, together with Exhibit A attached hereto, contains the entire understanding between the parties hereto and supersedes any prior employment, non-competition or severance or other agreement between the Company or any predecessor of the Company and Executive. Each party to this Agreement agrees that (a) no other party to this Agreement (including its agents and representatives) has made any representation, warranty, covenant or agreement to or with such party relating to the subject matter hereof, and (b) such party has not relied upon any representation, warranty, covenant or agreement relating to the subject matter hereof.</w:t>
      </w:r>
    </w:p>
    <w:p>
      <w:pPr>
        <w:spacing w:after="0" w:line="181"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April 7, 2025 and was given at least 21 days to consider whether to sign the Agreement and the Waiver and Release. The Company’s obligations under this Agreement are expressly conditioned on Executive’s execution and delivery of the Waiver and Release within the time period set forth therein, as well as Executive’s non-revocation of the Waiver and Release by the time provided therein. Executive’s failure to timely execute and deliver such Waiver and Release, or Executive’s revocation of the Waiver and Release within the seven-day period provided in the Waiver and Release, will void the Company’s obligations hereunder.</w:t>
      </w:r>
    </w:p>
    <w:p>
      <w:pPr>
        <w:spacing w:after="0" w:line="178"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Notwithstanding the foregoing provisions of this Agreement, if the payment of any severance compensation or severance benefits under Section 3 would be subject to additional taxes and interest under Section 409A because the timing of such payment is not delayed as provided in Section 409A(a)(2)(B)(i) of the Code, and Executive constitutes a specified employee within the meaning of Section 409A(a)(2)(B)(i)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earlier date upon which such amount can be paid under Section 409A without being subject to such additional taxes and interest.</w:t>
      </w:r>
    </w:p>
    <w:p>
      <w:pPr>
        <w:spacing w:after="0" w:line="154" w:lineRule="exact"/>
        <w:rPr>
          <w:sz w:val="20"/>
          <w:szCs w:val="20"/>
          <w:color w:val="auto"/>
        </w:rPr>
      </w:pPr>
    </w:p>
    <w:p>
      <w:pPr>
        <w:jc w:val="both"/>
        <w:ind w:firstLine="8"/>
        <w:spacing w:after="0" w:line="244" w:lineRule="auto"/>
        <w:tabs>
          <w:tab w:leader="none" w:pos="50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73"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 Delivery of an executed counterpart of a signature page of this Agreement by fax copy or scan/email or other electronic transmission (e.g., PDF) shall be effective as delivery of a manually-executed counterpart of this Agreement.</w:t>
      </w:r>
    </w:p>
    <w:p>
      <w:pPr>
        <w:spacing w:after="0" w:line="180"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have been inserted for purposes of convenience and shall not be used for interpretive purposes.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on the dates set forth below their respective signatures, but effective as of the date and year first above written.</w:t>
      </w:r>
    </w:p>
    <w:p>
      <w:pPr>
        <w:spacing w:after="0" w:line="200" w:lineRule="exact"/>
        <w:rPr>
          <w:sz w:val="20"/>
          <w:szCs w:val="20"/>
          <w:color w:val="auto"/>
        </w:rPr>
      </w:pPr>
    </w:p>
    <w:p>
      <w:pPr>
        <w:spacing w:after="0" w:line="20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By: /s/ Carmen Rando Bejar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-13970</wp:posOffset>
            </wp:positionV>
            <wp:extent cx="25450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Carmen Rando Bejar</w:t>
      </w:r>
    </w:p>
    <w:p>
      <w:pPr>
        <w:ind w:left="3940"/>
        <w:spacing w:after="0" w:line="230" w:lineRule="auto"/>
        <w:rPr>
          <w:sz w:val="20"/>
          <w:szCs w:val="20"/>
          <w:color w:val="auto"/>
        </w:rPr>
      </w:pPr>
      <w:r>
        <w:rPr>
          <w:rFonts w:ascii="Times New Roman" w:cs="Times New Roman" w:eastAsia="Times New Roman" w:hAnsi="Times New Roman"/>
          <w:sz w:val="22"/>
          <w:szCs w:val="22"/>
          <w:color w:val="auto"/>
        </w:rPr>
        <w:t>Title: Chief People Officer</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 Khaled Al Mogharbel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-13970</wp:posOffset>
            </wp:positionV>
            <wp:extent cx="24688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 Khaled Al Mogharbel</w:t>
      </w:r>
    </w:p>
    <w:p>
      <w:pPr>
        <w:ind w:left="3760"/>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SCHLUMBERGER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WAIVER AND RELEASE</w:t>
      </w:r>
    </w:p>
    <w:p>
      <w:pPr>
        <w:spacing w:after="0" w:line="178" w:lineRule="exact"/>
        <w:rPr>
          <w:sz w:val="20"/>
          <w:szCs w:val="20"/>
          <w:color w:val="auto"/>
        </w:rPr>
      </w:pPr>
    </w:p>
    <w:p>
      <w:pPr>
        <w:ind w:left="1140" w:hanging="758"/>
        <w:spacing w:after="0"/>
        <w:tabs>
          <w:tab w:leader="none" w:pos="114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Schlumberger Limited (the “Company”) has offered to pay or confer to me, as applicable, certain remuneration and benefits (collectively, the “Consideration”) pursuant to, and subject to the limitations set forth in, my Employment Agreement with Schlumberger Limited effective as of April 7, 2025 (the “Agreement”), which is in addition to any remuneration or benefits to which I am already entitled.</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have read this Waiver and Release and the Agreement (which, together, are referred to herein as the “Agreement Materials”) and the Agreement is incorporated herein by reference. The payment and delivery, as applicable, of the Consideration is voluntary on the part of the Company and is not required by any legal obligation other than the Agreement. I choose to accept this offer.</w:t>
      </w:r>
    </w:p>
    <w:p>
      <w:pPr>
        <w:spacing w:after="0" w:line="176" w:lineRule="exact"/>
        <w:rPr>
          <w:sz w:val="20"/>
          <w:szCs w:val="20"/>
          <w:color w:val="auto"/>
        </w:rPr>
      </w:pPr>
    </w:p>
    <w:p>
      <w:pPr>
        <w:ind w:left="1140" w:hanging="758"/>
        <w:spacing w:after="0"/>
        <w:tabs>
          <w:tab w:leader="none" w:pos="11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Consideration was offered to me in exchange for my agreement, among other things, to waive all of my claims against and release the Company and its predecessors, successors and assigns, all of the affiliates (including parents and subsidiaries) of the and the Company’s and Affiliates’ directors and officers, employees and agents, employee benefit plans and the fiduciaries and agents of such plans (collectively,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understand that signing this Waiver and Release is an important legal act. I acknowledge that the Company has advised me in writing to consult an attorney before signing this Waiver and Release. I understand that, in order to be eligible for the Consideration, I must sign and return this Waiver and Release by 5:00 p.m. on April 7, 2025 to: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Carmen Rando Bejar,</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People Officer,</w:t>
      </w:r>
    </w:p>
    <w:p>
      <w:pPr>
        <w:ind w:left="760"/>
        <w:spacing w:after="0" w:line="230" w:lineRule="auto"/>
        <w:rPr>
          <w:sz w:val="20"/>
          <w:szCs w:val="20"/>
          <w:color w:val="auto"/>
        </w:rPr>
      </w:pPr>
      <w:r>
        <w:rPr>
          <w:rFonts w:ascii="Times New Roman" w:cs="Times New Roman" w:eastAsia="Times New Roman" w:hAnsi="Times New Roman"/>
          <w:sz w:val="22"/>
          <w:szCs w:val="22"/>
          <w:color w:val="auto"/>
        </w:rPr>
        <w:t>Schlumberger Limited,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5599 San Felipe, 17th Floor, Houston, TX 77056.</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 acknowledge that I have been given at least 21 days to consider whether to sign the Agreement and whether to execute this Waiver and Release.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exchange for the payment and, as applicable, the delivery to me of the Consideration, which is in addition to any remuneration or benefits to which I am already entitled, I,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ind w:left="760" w:hanging="3"/>
        <w:spacing w:after="0" w:line="244" w:lineRule="auto"/>
        <w:tabs>
          <w:tab w:leader="none" w:pos="107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w:t>
      </w:r>
    </w:p>
    <w:p>
      <w:pPr>
        <w:spacing w:after="0" w:line="173" w:lineRule="exact"/>
        <w:rPr>
          <w:rFonts w:ascii="Times New Roman" w:cs="Times New Roman" w:eastAsia="Times New Roman" w:hAnsi="Times New Roman"/>
          <w:sz w:val="22"/>
          <w:szCs w:val="22"/>
          <w:color w:val="auto"/>
        </w:rPr>
      </w:pPr>
    </w:p>
    <w:p>
      <w:pPr>
        <w:jc w:val="both"/>
        <w:ind w:left="760" w:hanging="3"/>
        <w:spacing w:after="0" w:line="238" w:lineRule="auto"/>
        <w:tabs>
          <w:tab w:leader="none" w:pos="109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Waiver and Release includes, but is not limited to, claims and causes of action under:</w:t>
      </w:r>
    </w:p>
    <w:p>
      <w:pPr>
        <w:spacing w:after="0" w:line="206"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VII of the Civil Rights Act of 1964, as amended (“Title VII”);</w:t>
      </w:r>
    </w:p>
    <w:p>
      <w:pPr>
        <w:spacing w:after="0" w:line="14" w:lineRule="exact"/>
        <w:rPr>
          <w:rFonts w:ascii="Times New Roman" w:cs="Times New Roman" w:eastAsia="Times New Roman" w:hAnsi="Times New Roman"/>
          <w:sz w:val="22"/>
          <w:szCs w:val="22"/>
          <w:color w:val="auto"/>
        </w:rPr>
      </w:pPr>
    </w:p>
    <w:p>
      <w:pPr>
        <w:ind w:left="760" w:right="2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Discrimination in Employment Act of 1967, as amended, including the Older Workers Benefit Protection Act of 1990 (“ADEA”);</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Civil Rights Act of 1866, as amended; the Civil Rights Act of 1991;</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Americans with Disabilities Act of 1990 (“ADA”);</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Energy Reorganization Act, as amended, 42 U.S.C. § 5851;</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Workers Adjustment and Retraining Notification Act of 1988;</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Retirement Income Security Act of 1974, as amended;</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Family and Medical Leave Act of 1993;</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Occupational Safety and Health Act (“OSHA”);</w:t>
      </w:r>
    </w:p>
    <w:p>
      <w:pPr>
        <w:ind w:left="760" w:hanging="378"/>
        <w:spacing w:after="0" w:line="230"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in connection with workers’ compensation; and/or</w:t>
      </w:r>
    </w:p>
    <w:p>
      <w:pPr>
        <w:ind w:left="760" w:right="20" w:hanging="378"/>
        <w:spacing w:after="0" w:line="237" w:lineRule="auto"/>
        <w:tabs>
          <w:tab w:leader="none" w:pos="7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 tort, defamation, slander, wrongful termination or any other state or federal regulatory, statutory or common law.</w:t>
      </w:r>
    </w:p>
    <w:p>
      <w:pPr>
        <w:spacing w:after="0" w:line="201" w:lineRule="exact"/>
        <w:rPr>
          <w:sz w:val="20"/>
          <w:szCs w:val="20"/>
          <w:color w:val="auto"/>
        </w:rPr>
      </w:pPr>
    </w:p>
    <w:p>
      <w:pPr>
        <w:ind w:left="1140" w:hanging="758"/>
        <w:spacing w:after="0"/>
        <w:tabs>
          <w:tab w:leader="none" w:pos="11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Validity of Agreement Materials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 agree that this Waiver and Release is valid, fair, adequate and reasonable, is with my full knowledge and consent, was not procured through fraud, duress or mistake and has not had the effect of misleading, misinforming or failing to inform me.</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Limitation of Waiver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above, nothing in this Waiver and Release is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ind w:left="1600" w:hanging="5"/>
        <w:spacing w:after="0" w:line="244" w:lineRule="auto"/>
        <w:tabs>
          <w:tab w:leader="none" w:pos="2050" w:val="left"/>
        </w:tabs>
        <w:numPr>
          <w:ilvl w:val="0"/>
          <w:numId w:val="55"/>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w:t>
      </w:r>
    </w:p>
    <w:p>
      <w:pPr>
        <w:spacing w:after="0" w:line="173" w:lineRule="exact"/>
        <w:rPr>
          <w:rFonts w:ascii="Times New Roman" w:cs="Times New Roman" w:eastAsia="Times New Roman" w:hAnsi="Times New Roman"/>
          <w:sz w:val="22"/>
          <w:szCs w:val="22"/>
          <w:i w:val="1"/>
          <w:iCs w:val="1"/>
          <w:color w:val="010000"/>
        </w:rPr>
      </w:pPr>
    </w:p>
    <w:p>
      <w:pPr>
        <w:ind w:left="2040" w:hanging="445"/>
        <w:spacing w:after="0"/>
        <w:tabs>
          <w:tab w:leader="none" w:pos="2040" w:val="left"/>
        </w:tabs>
        <w:numPr>
          <w:ilvl w:val="0"/>
          <w:numId w:val="55"/>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release or affect in any way any claims arising under the Agreement;</w:t>
      </w:r>
    </w:p>
    <w:p>
      <w:pPr>
        <w:spacing w:after="0" w:line="206" w:lineRule="exact"/>
        <w:rPr>
          <w:rFonts w:ascii="Times New Roman" w:cs="Times New Roman" w:eastAsia="Times New Roman" w:hAnsi="Times New Roman"/>
          <w:sz w:val="22"/>
          <w:szCs w:val="22"/>
          <w:i w:val="1"/>
          <w:iCs w:val="1"/>
          <w:color w:val="010000"/>
        </w:rPr>
      </w:pPr>
    </w:p>
    <w:p>
      <w:pPr>
        <w:jc w:val="both"/>
        <w:ind w:left="1600" w:hanging="5"/>
        <w:spacing w:after="0" w:line="244" w:lineRule="auto"/>
        <w:tabs>
          <w:tab w:leader="none" w:pos="2050" w:val="left"/>
        </w:tabs>
        <w:numPr>
          <w:ilvl w:val="0"/>
          <w:numId w:val="55"/>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prevent me from filing a complaint with, providing information to, or testifying or otherwise assisting in any investigation or proceeding brought by any state, federal or local regulatory or law enforcement agency or legislative body; or</w:t>
      </w:r>
    </w:p>
    <w:p>
      <w:pPr>
        <w:spacing w:after="0" w:line="173" w:lineRule="exact"/>
        <w:rPr>
          <w:rFonts w:ascii="Times New Roman" w:cs="Times New Roman" w:eastAsia="Times New Roman" w:hAnsi="Times New Roman"/>
          <w:sz w:val="22"/>
          <w:szCs w:val="22"/>
          <w:i w:val="1"/>
          <w:iCs w:val="1"/>
          <w:color w:val="010000"/>
        </w:rPr>
      </w:pPr>
    </w:p>
    <w:p>
      <w:pPr>
        <w:ind w:left="2040" w:hanging="445"/>
        <w:spacing w:after="0"/>
        <w:tabs>
          <w:tab w:leader="none" w:pos="2040" w:val="left"/>
        </w:tabs>
        <w:numPr>
          <w:ilvl w:val="0"/>
          <w:numId w:val="55"/>
        </w:numPr>
        <w:rPr>
          <w:rFonts w:ascii="Times New Roman" w:cs="Times New Roman" w:eastAsia="Times New Roman" w:hAnsi="Times New Roman"/>
          <w:sz w:val="22"/>
          <w:szCs w:val="22"/>
          <w:i w:val="1"/>
          <w:iCs w:val="1"/>
          <w:color w:val="010000"/>
        </w:rPr>
      </w:pPr>
      <w:r>
        <w:rPr>
          <w:rFonts w:ascii="Times New Roman" w:cs="Times New Roman" w:eastAsia="Times New Roman" w:hAnsi="Times New Roman"/>
          <w:sz w:val="22"/>
          <w:szCs w:val="22"/>
          <w:color w:val="auto"/>
        </w:rPr>
        <w:t>prevent me from filing any claims that are not permitted to be waived or released under applicable law.</w:t>
      </w:r>
    </w:p>
    <w:p>
      <w:pPr>
        <w:spacing w:after="0" w:line="202" w:lineRule="exact"/>
        <w:rPr>
          <w:sz w:val="20"/>
          <w:szCs w:val="20"/>
          <w:color w:val="auto"/>
        </w:rPr>
      </w:pPr>
    </w:p>
    <w:p>
      <w:pPr>
        <w:ind w:left="1140" w:hanging="758"/>
        <w:spacing w:after="0"/>
        <w:tabs>
          <w:tab w:leader="none" w:pos="11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Forbearance of Suit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further agree and covenant that I will not seek or accept any personal, equitable or monetary relief from the Corporate Group in any action, suit, proceeding or administrative charge filed on my behalf by any person, organization or other entity against the Corporate Group.</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w:t>
      </w:r>
    </w:p>
    <w:p>
      <w:pPr>
        <w:spacing w:after="0" w:line="16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Permitted Release of Confidential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Pursuant to the Defend Trade Secrets Act of 2016, I understand that I will not be held criminally or civilly liable under any federal or state trade secret law for the disclosure of any secret or Confidential Information that:</w:t>
      </w:r>
    </w:p>
    <w:p>
      <w:pPr>
        <w:spacing w:after="0" w:line="158"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w:t>
      </w:r>
    </w:p>
    <w:p>
      <w:pPr>
        <w:spacing w:after="0" w:line="206"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1840" w:hanging="335"/>
        <w:spacing w:after="0"/>
        <w:tabs>
          <w:tab w:leader="none" w:pos="18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reporting or investigating a suspected violation of law or</w:t>
      </w:r>
    </w:p>
    <w:p>
      <w:pPr>
        <w:spacing w:after="0" w:line="206" w:lineRule="exact"/>
        <w:rPr>
          <w:rFonts w:ascii="Times New Roman" w:cs="Times New Roman" w:eastAsia="Times New Roman" w:hAnsi="Times New Roman"/>
          <w:sz w:val="22"/>
          <w:szCs w:val="22"/>
          <w:color w:val="auto"/>
        </w:rPr>
      </w:pPr>
    </w:p>
    <w:p>
      <w:pPr>
        <w:ind w:left="1080" w:hanging="323"/>
        <w:spacing w:after="0"/>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color w:val="auto"/>
        </w:rPr>
        <w:t>Non-admission of Wrongdoing; Employment Relationship</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acknowledge that payment and, as applicable, the delivery of the Consideration to me by the Company is not an admission by the Company or any other member of the Corporate Group that they engaged in any wrongful or unlawful act or that the Company or any member of the Corporate Group violated any federal or state law or regulation.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or if my employment is terminated sooner pursuant to Section 4 of the Agreement, upon such termination. I acknowledge that this Waiver and Release does not create any right on my part to be rehired by the Company or the Affiliates and I hereby waive any right to future employment by the Company or any other member of the Corporate Group.</w:t>
      </w:r>
    </w:p>
    <w:p>
      <w:pPr>
        <w:spacing w:after="0" w:line="167"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VIII.</w:t>
        <w:tab/>
        <w:t>Non-Disparagement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above is not intended to restrict me from seeking or engaging in other employment (subject to my noncompetition covenant contained in the Agreement) and, in that connection, from disclosing to prospective employers the restrictive covenants in the Agreement to which I am bound (including as to non-competition, non-solicitation and non-disparagement).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above is not intended to restrict the Company from making confidential internal communications as may be necessary to manage this resignation in a businesslike way.</w:t>
      </w:r>
    </w:p>
    <w:p>
      <w:pPr>
        <w:spacing w:after="0" w:line="154"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color w:val="auto"/>
        </w:rPr>
        <w:t>Enforceability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or the Agreement.</w:t>
      </w:r>
    </w:p>
    <w:p>
      <w:pPr>
        <w:spacing w:after="0" w:line="169" w:lineRule="exact"/>
        <w:rPr>
          <w:sz w:val="20"/>
          <w:szCs w:val="20"/>
          <w:color w:val="auto"/>
        </w:rPr>
      </w:pPr>
    </w:p>
    <w:p>
      <w:pPr>
        <w:ind w:left="1140" w:hanging="758"/>
        <w:spacing w:after="0"/>
        <w:tabs>
          <w:tab w:leader="none" w:pos="11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Completeness and Revocation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 written agreements or representations, if any, between me and the Company or any other member of the Corporate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understand that for a period of 7 calendar days following the date that I sign this Waiver and Release, I may revoke my acceptance of the offer, provided that my written statement of revocation is received on or before that seventh day by the Vice President, Human Resources, of Schlumberger Limited – Houston, in which case the Waiver and Release will not become effective.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I revoke my acceptance of this offer, the Company shall have no obligation to pay, or otherwise deliver to me, any part of the Consideration. I understand that failure to revoke my acceptance of the offer within seven (7) calendar days from the date I sign this Waiver and Release will result in this Waiver and Release being permanent and irrevocable.</w:t>
      </w:r>
    </w:p>
    <w:p>
      <w:pPr>
        <w:spacing w:after="0" w:line="16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color w:val="auto"/>
        </w:rPr>
        <w:t>Summary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Khaled Al Mogharbel</w:t>
            </w:r>
          </w:p>
        </w:tc>
        <w:tc>
          <w:tcPr>
            <w:tcW w:w="346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 Carmen Rando Bejar</w:t>
            </w:r>
          </w:p>
        </w:tc>
        <w:tc>
          <w:tcPr>
            <w:tcW w:w="4300" w:type="dxa"/>
            <w:vAlign w:val="bottom"/>
            <w:vMerge w:val="restart"/>
          </w:tcPr>
          <w:p>
            <w:pPr>
              <w:ind w:left="3460"/>
              <w:spacing w:after="0"/>
              <w:rPr>
                <w:sz w:val="20"/>
                <w:szCs w:val="20"/>
                <w:color w:val="auto"/>
              </w:rPr>
            </w:pPr>
            <w:r>
              <w:rPr>
                <w:rFonts w:ascii="Times New Roman" w:cs="Times New Roman" w:eastAsia="Times New Roman" w:hAnsi="Times New Roman"/>
                <w:sz w:val="22"/>
                <w:szCs w:val="22"/>
                <w:color w:val="auto"/>
                <w:w w:val="95"/>
              </w:rPr>
              <w:t>Company</w:t>
            </w:r>
          </w:p>
        </w:tc>
        <w:tc>
          <w:tcPr>
            <w:tcW w:w="0" w:type="dxa"/>
            <w:vAlign w:val="bottom"/>
          </w:tcPr>
          <w:p>
            <w:pPr>
              <w:spacing w:after="0"/>
              <w:rPr>
                <w:sz w:val="1"/>
                <w:szCs w:val="1"/>
                <w:color w:val="auto"/>
              </w:rPr>
            </w:pPr>
          </w:p>
        </w:tc>
      </w:tr>
      <w:tr>
        <w:trPr>
          <w:trHeight w:val="236"/>
        </w:trPr>
        <w:tc>
          <w:tcPr>
            <w:tcW w:w="34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Khaled Al Mogharbel</w:t>
            </w:r>
          </w:p>
        </w:tc>
        <w:tc>
          <w:tcPr>
            <w:tcW w:w="500" w:type="dxa"/>
            <w:vAlign w:val="bottom"/>
          </w:tcPr>
          <w:p>
            <w:pPr>
              <w:spacing w:after="0"/>
              <w:rPr>
                <w:sz w:val="20"/>
                <w:szCs w:val="20"/>
                <w:color w:val="auto"/>
              </w:rPr>
            </w:pPr>
          </w:p>
        </w:tc>
        <w:tc>
          <w:tcPr>
            <w:tcW w:w="29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Carmen Rando Bejar</w:t>
            </w:r>
          </w:p>
        </w:tc>
        <w:tc>
          <w:tcPr>
            <w:tcW w:w="4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Representative</w:t>
            </w: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9"/>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April 7, 2025</w:t>
            </w:r>
          </w:p>
        </w:tc>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April 7, 2025</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Executive’s Signature Date:</w:t>
            </w:r>
          </w:p>
        </w:tc>
        <w:tc>
          <w:tcPr>
            <w:tcW w:w="420" w:type="dxa"/>
            <w:vAlign w:val="bottom"/>
          </w:tcPr>
          <w:p>
            <w:pPr>
              <w:spacing w:after="0"/>
              <w:rPr>
                <w:sz w:val="23"/>
                <w:szCs w:val="23"/>
                <w:color w:val="auto"/>
              </w:rPr>
            </w:pPr>
          </w:p>
        </w:tc>
        <w:tc>
          <w:tcPr>
            <w:tcW w:w="30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22"/>
                <w:szCs w:val="22"/>
                <w:color w:val="auto"/>
              </w:rPr>
              <w:t>Company Signature Date:</w:t>
            </w:r>
          </w:p>
        </w:tc>
        <w:tc>
          <w:tcPr>
            <w:tcW w:w="4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008"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June 30, 2025, (i) SISA was the issuer of its 4.500% Senior Notes due 2028, 2.650% Senior Notes due 2030, 4.850% Senior Notes due 2033, and 5.000% Senior Notes due 2034 (together, the “SISA Notes”), and (ii) SFCL was the issuer of its 1.400% Senior Notes due 2025 (the “SFCL Notes”). The Guarantor fully and unconditionally guarantees the SISA Notes and the SFCL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1270635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1" w:name="page52"/>
    <w:bookmarkEnd w:id="51"/>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Schlumberger N.V. (Schlumberger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2" w:name="page53"/>
    <w:bookmarkEnd w:id="52"/>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2025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hanging="479"/>
        <w:spacing w:after="0" w:line="286" w:lineRule="auto"/>
        <w:tabs>
          <w:tab w:leader="none" w:pos="8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53" w:name="page54"/>
    <w:bookmarkEnd w:id="53"/>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2025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July 24,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Stephane Biguet</w:t>
      </w:r>
    </w:p>
    <w:p>
      <w:pPr>
        <w:spacing w:after="0" w:line="3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June 30, 2025.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960" w:type="dxa"/>
            <w:vAlign w:val="bottom"/>
            <w:gridSpan w:val="2"/>
          </w:tcPr>
          <w:p>
            <w:pPr>
              <w:spacing w:after="0" w:line="145" w:lineRule="exact"/>
              <w:rPr>
                <w:sz w:val="20"/>
                <w:szCs w:val="20"/>
                <w:color w:val="auto"/>
              </w:rPr>
            </w:pPr>
            <w:r>
              <w:rPr>
                <w:rFonts w:ascii="Arial" w:cs="Arial" w:eastAsia="Arial" w:hAnsi="Arial"/>
                <w:sz w:val="14"/>
                <w:szCs w:val="14"/>
                <w:color w:val="auto"/>
              </w:rPr>
              <w:t>Mine or Operating Name/ MSHA 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120" w:type="dxa"/>
            <w:vAlign w:val="bottom"/>
          </w:tcPr>
          <w:p>
            <w:pPr>
              <w:ind w:left="380"/>
              <w:spacing w:after="0"/>
              <w:rPr>
                <w:sz w:val="20"/>
                <w:szCs w:val="20"/>
                <w:color w:val="auto"/>
              </w:rPr>
            </w:pPr>
            <w:r>
              <w:rPr>
                <w:rFonts w:ascii="Arial" w:cs="Arial" w:eastAsia="Arial" w:hAnsi="Arial"/>
                <w:sz w:val="14"/>
                <w:szCs w:val="14"/>
                <w:color w:val="auto"/>
              </w:rPr>
              <w:t>Identification Number</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71"/>
        </w:trPr>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Amelia Barite Plant/1600825</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Battle Mountain Grinding</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ind w:left="400"/>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Plant/2600828</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Greystone Mine/2600411</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96"/>
        </w:trPr>
        <w:tc>
          <w:tcPr>
            <w:tcW w:w="2120" w:type="dxa"/>
            <w:vAlign w:val="bottom"/>
          </w:tcPr>
          <w:p>
            <w:pPr>
              <w:spacing w:after="0"/>
              <w:rPr>
                <w:sz w:val="20"/>
                <w:szCs w:val="20"/>
                <w:color w:val="auto"/>
              </w:rPr>
            </w:pPr>
            <w:r>
              <w:rPr>
                <w:rFonts w:ascii="Arial" w:cs="Arial" w:eastAsia="Arial" w:hAnsi="Arial"/>
                <w:sz w:val="14"/>
                <w:szCs w:val="14"/>
                <w:color w:val="auto"/>
              </w:rPr>
              <w:t>Mountain Springs Beneficiation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Plant/2601390</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69" w:lineRule="exact"/>
        <w:rPr>
          <w:sz w:val="20"/>
          <w:szCs w:val="20"/>
          <w:color w:val="auto"/>
        </w:rPr>
      </w:pPr>
    </w:p>
    <w:p>
      <w:pPr>
        <w:jc w:val="both"/>
        <w:ind w:left="1020" w:hanging="503"/>
        <w:spacing w:after="0" w:line="256" w:lineRule="auto"/>
        <w:tabs>
          <w:tab w:leader="none" w:pos="10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2025, regardless of whether the assessment has been challenged or appealed, for citations and orders occurring during the quarter ended June 30, 2025.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decimal"/>
      <w:start w:val="4"/>
    </w:lvl>
  </w:abstractNum>
  <w:abstractNum w:abstractNumId="7">
    <w:nsid w:val="440BADFC"/>
    <w:multiLevelType w:val="hybridMultilevel"/>
    <w:lvl w:ilvl="0">
      <w:lvlJc w:val="left"/>
      <w:lvlText w:val="%1."/>
      <w:numFmt w:val="decimal"/>
      <w:start w:val="7"/>
    </w:lvl>
  </w:abstractNum>
  <w:abstractNum w:abstractNumId="8">
    <w:nsid w:val="5072367"/>
    <w:multiLevelType w:val="hybridMultilevel"/>
    <w:lvl w:ilvl="0">
      <w:lvlJc w:val="left"/>
      <w:lvlText w:val="%1."/>
      <w:numFmt w:val="decimal"/>
      <w:start w:val="8"/>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9"/>
    </w:lvl>
  </w:abstractNum>
  <w:abstractNum w:abstractNumId="11">
    <w:nsid w:val="7724C67E"/>
    <w:multiLevelType w:val="hybridMultilevel"/>
    <w:lvl w:ilvl="0">
      <w:lvlJc w:val="left"/>
      <w:lvlText w:val="%1."/>
      <w:numFmt w:val="decimal"/>
      <w:start w:val="10"/>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lvl w:ilvl="1">
      <w:lvlJc w:val="left"/>
      <w:lvlText w:val="*"/>
      <w:numFmt w:val="bullet"/>
      <w:start w:val="1"/>
    </w:lvl>
  </w:abstractNum>
  <w:abstractNum w:abstractNumId="24">
    <w:nsid w:val="725A06FB"/>
    <w:multiLevelType w:val="hybridMultilevel"/>
    <w:lvl w:ilvl="0">
      <w:lvlJc w:val="left"/>
      <w:lvlText w:val="**"/>
      <w:numFmt w:val="bullet"/>
      <w:start w:val="1"/>
    </w:lvl>
    <w:lvl w:ilvl="1">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3"/>
    </w:lvl>
    <w:lvl w:ilvl="1">
      <w:lvlJc w:val="left"/>
      <w:lvlText w:val="(%2)"/>
      <w:numFmt w:val="lowerLetter"/>
      <w:start w:val="1"/>
    </w:lvl>
  </w:abstractNum>
  <w:abstractNum w:abstractNumId="27">
    <w:nsid w:val="7A6D8D3C"/>
    <w:multiLevelType w:val="hybridMultilevel"/>
    <w:lvl w:ilvl="0">
      <w:lvlJc w:val="left"/>
      <w:lvlText w:val="(%1)"/>
      <w:numFmt w:val="lowerRoman"/>
      <w:start w:val="1"/>
    </w:lvl>
  </w:abstractNum>
  <w:abstractNum w:abstractNumId="28">
    <w:nsid w:val="4B588F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542289EC"/>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0">
    <w:nsid w:val="6DE91B18"/>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1">
    <w:nsid w:val="38437FD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2">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3">
    <w:nsid w:val="32FFF90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4">
    <w:nsid w:val="684A481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5">
    <w:nsid w:val="579478FE"/>
    <w:multiLevelType w:val="hybridMultilevel"/>
    <w:lvl w:ilvl="0">
      <w:lvlJc w:val="left"/>
      <w:lvlText w:val="(%1)"/>
      <w:numFmt w:val="lowerLetter"/>
      <w:start w:val="2"/>
    </w:lvl>
    <w:lvl w:ilvl="1">
      <w:lvlJc w:val="left"/>
      <w:lvlText w:val="(%2)"/>
      <w:numFmt w:val="lowerRoman"/>
      <w:start w:val="1"/>
    </w:lvl>
  </w:abstractNum>
  <w:abstractNum w:abstractNumId="36">
    <w:nsid w:val="749ABB4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37">
    <w:nsid w:val="3DC240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8">
    <w:nsid w:val="1BA026FA"/>
    <w:multiLevelType w:val="hybridMultilevel"/>
    <w:lvl w:ilvl="0">
      <w:lvlJc w:val="left"/>
      <w:lvlText w:val="(%1)"/>
      <w:numFmt w:val="upperLetter"/>
      <w:start w:val="1"/>
    </w:lvl>
    <w:lvl w:ilvl="1">
      <w:lvlJc w:val="left"/>
      <w:lvlText w:val="%2)"/>
      <w:numFmt w:val="lowerRoman"/>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upperLetter"/>
      <w:start w:val="2"/>
    </w:lvl>
  </w:abstractNum>
  <w:abstractNum w:abstractNumId="41">
    <w:nsid w:val="12E685FB"/>
    <w:multiLevelType w:val="hybridMultilevel"/>
    <w:lvl w:ilvl="0">
      <w:lvlJc w:val="left"/>
      <w:lvlText w:val="(%1)"/>
      <w:numFmt w:val="upperLetter"/>
      <w:start w:val="3"/>
    </w:lvl>
    <w:lvl w:ilvl="1">
      <w:lvlJc w:val="left"/>
      <w:lvlText w:val="(%2)"/>
      <w:numFmt w:val="lowerRoman"/>
      <w:start w:val="2"/>
    </w:lvl>
  </w:abstractNum>
  <w:abstractNum w:abstractNumId="42">
    <w:nsid w:val="70C6A529"/>
    <w:multiLevelType w:val="hybridMultilevel"/>
    <w:lvl w:ilvl="0">
      <w:lvlJc w:val="left"/>
      <w:lvlText w:val="(%1)"/>
      <w:numFmt w:val="lowerRoman"/>
      <w:start w:val="5"/>
    </w:lvl>
  </w:abstractNum>
  <w:abstractNum w:abstractNumId="43">
    <w:nsid w:val="520EEDD1"/>
    <w:multiLevelType w:val="hybridMultilevel"/>
    <w:lvl w:ilvl="0">
      <w:lvlJc w:val="left"/>
      <w:lvlText w:val="(%1)"/>
      <w:numFmt w:val="lowerLetter"/>
      <w:start w:val="3"/>
    </w:lvl>
    <w:lvl w:ilvl="1">
      <w:lvlJc w:val="left"/>
      <w:lvlText w:val="•"/>
      <w:numFmt w:val="bullet"/>
      <w:start w:val="1"/>
    </w:lvl>
  </w:abstractNum>
  <w:abstractNum w:abstractNumId="44">
    <w:nsid w:val="374A3FE6"/>
    <w:multiLevelType w:val="hybridMultilevel"/>
    <w:lvl w:ilvl="0">
      <w:lvlJc w:val="left"/>
      <w:lvlText w:val="%1."/>
      <w:numFmt w:val="decimal"/>
      <w:start w:val="5"/>
    </w:lvl>
  </w:abstractNum>
  <w:abstractNum w:abstractNumId="45">
    <w:nsid w:val="4F4EF005"/>
    <w:multiLevelType w:val="hybridMultilevel"/>
    <w:lvl w:ilvl="0">
      <w:lvlJc w:val="left"/>
      <w:lvlText w:val="%1."/>
      <w:numFmt w:val="decimal"/>
      <w:start w:val="6"/>
    </w:lvl>
  </w:abstractNum>
  <w:abstractNum w:abstractNumId="46">
    <w:nsid w:val="23F9C13C"/>
    <w:multiLevelType w:val="hybridMultilevel"/>
    <w:lvl w:ilvl="0">
      <w:lvlJc w:val="left"/>
      <w:lvlText w:val="%1."/>
      <w:numFmt w:val="decimal"/>
      <w:start w:val="7"/>
    </w:lvl>
  </w:abstractNum>
  <w:abstractNum w:abstractNumId="47">
    <w:nsid w:val="649BB77C"/>
    <w:multiLevelType w:val="hybridMultilevel"/>
    <w:lvl w:ilvl="0">
      <w:lvlJc w:val="left"/>
      <w:lvlText w:val="%1."/>
      <w:numFmt w:val="decimal"/>
      <w:start w:val="11"/>
    </w:lvl>
  </w:abstractNum>
  <w:abstractNum w:abstractNumId="48">
    <w:nsid w:val="275AC794"/>
    <w:multiLevelType w:val="hybridMultilevel"/>
    <w:lvl w:ilvl="0">
      <w:lvlJc w:val="left"/>
      <w:lvlText w:val="%1."/>
      <w:numFmt w:val="decimal"/>
      <w:start w:val="14"/>
    </w:lvl>
  </w:abstractNum>
  <w:abstractNum w:abstractNumId="49">
    <w:nsid w:val="39386575"/>
    <w:multiLevelType w:val="hybridMultilevel"/>
    <w:lvl w:ilvl="0">
      <w:lvlJc w:val="left"/>
      <w:lvlText w:val="%1."/>
      <w:numFmt w:val="upperLetter"/>
      <w:start w:val="9"/>
    </w:lvl>
  </w:abstractNum>
  <w:abstractNum w:abstractNumId="50">
    <w:nsid w:val="1CF10FD8"/>
    <w:multiLevelType w:val="hybridMultilevel"/>
    <w:lvl w:ilvl="0">
      <w:lvlJc w:val="left"/>
      <w:lvlText w:val="%1."/>
      <w:numFmt w:val="upperLetter"/>
      <w:start w:val="35"/>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upperLetter"/>
      <w:start w:val="61"/>
    </w:lvl>
  </w:abstractNum>
  <w:abstractNum w:abstractNumId="54">
    <w:nsid w:val="354FE9F9"/>
    <w:multiLevelType w:val="hybridMultilevel"/>
    <w:lvl w:ilvl="0">
      <w:lvlJc w:val="left"/>
      <w:lvlText w:val="(%1)"/>
      <w:numFmt w:val="lowerRoman"/>
      <w:start w:val="1"/>
    </w:lvl>
  </w:abstractNum>
  <w:abstractNum w:abstractNumId="55">
    <w:nsid w:val="15B5AF5C"/>
    <w:multiLevelType w:val="hybridMultilevel"/>
    <w:lvl w:ilvl="0">
      <w:lvlJc w:val="left"/>
      <w:lvlText w:val="%1."/>
      <w:numFmt w:val="upperLetter"/>
      <w:start w:val="22"/>
    </w:lvl>
  </w:abstractNum>
  <w:abstractNum w:abstractNumId="56">
    <w:nsid w:val="741226BB"/>
    <w:multiLevelType w:val="hybridMultilevel"/>
    <w:lvl w:ilvl="0">
      <w:lvlJc w:val="left"/>
      <w:lvlText w:val="(%1)"/>
      <w:numFmt w:val="lowerRoman"/>
      <w:start w:val="1"/>
    </w:lvl>
    <w:lvl w:ilvl="1">
      <w:lvlJc w:val="left"/>
      <w:lvlText w:val="(%2)"/>
      <w:numFmt w:val="upperLetter"/>
      <w:start w:val="1"/>
    </w:lvl>
  </w:abstractNum>
  <w:abstractNum w:abstractNumId="57">
    <w:nsid w:val="D34B6A8"/>
    <w:multiLevelType w:val="hybridMultilevel"/>
    <w:lvl w:ilvl="0">
      <w:lvlJc w:val="left"/>
      <w:lvlText w:val="%1."/>
      <w:numFmt w:val="upperLetter"/>
      <w:start w:val="24"/>
    </w:lvl>
  </w:abstractNum>
  <w:abstractNum w:abstractNumId="58">
    <w:nsid w:val="10233C99"/>
    <w:multiLevelType w:val="hybridMultilevel"/>
    <w:lvl w:ilvl="0">
      <w:lvlJc w:val="left"/>
      <w:lvlText w:val="%1."/>
      <w:numFmt w:val="decimal"/>
      <w:start w:val="1"/>
    </w:lvl>
    <w:lvl w:ilvl="1">
      <w:lvlJc w:val="left"/>
      <w:lvlText w:val="%2)"/>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15" Type="http://schemas.openxmlformats.org/officeDocument/2006/relationships/hyperlink" Target="https://www.sec.gov/Archives/edgar/data/87347/000119312516532046/d176097dex31.htm" TargetMode="External"/><Relationship Id="rId318" Type="http://schemas.openxmlformats.org/officeDocument/2006/relationships/hyperlink" Target="https://www.sec.gov/Archives/edgar/data/87347/000119312523110532/d470769dex3.htm" TargetMode="External"/><Relationship Id="rId323" Type="http://schemas.openxmlformats.org/officeDocument/2006/relationships/hyperlink" Target="https://www.sec.gov/Archives/edgar/data/87347/000130817925000029/slb012574-def14a.htm#lslba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2025-07-24T10:46:14Z</dcterms:created>
  <dcterms:modified xsi:type="dcterms:W3CDTF">2025-07-24T10:46:14Z</dcterms:modified>
</cp:coreProperties>
</file>