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8"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As Filed with the Securities and Exchange Commission on November 20, 1997.</w:t>
      </w:r>
    </w:p>
    <w:p>
      <w:pPr>
        <w:ind w:left="4380"/>
        <w:spacing w:after="0" w:line="237" w:lineRule="auto"/>
        <w:rPr>
          <w:sz w:val="20"/>
          <w:szCs w:val="20"/>
          <w:color w:val="auto"/>
        </w:rPr>
      </w:pPr>
      <w:r>
        <w:rPr>
          <w:rFonts w:ascii="Courier New" w:cs="Courier New" w:eastAsia="Courier New" w:hAnsi="Courier New"/>
          <w:sz w:val="15"/>
          <w:szCs w:val="15"/>
          <w:color w:val="auto"/>
        </w:rPr>
        <w:t>Registration No. 333-</w:t>
      </w:r>
    </w:p>
    <w:p>
      <w:pPr>
        <w:ind w:left="180" w:hanging="170"/>
        <w:spacing w:after="0" w:line="238"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80" w:hanging="170"/>
        <w:spacing w:after="0" w:line="237" w:lineRule="auto"/>
        <w:tabs>
          <w:tab w:leader="none" w:pos="1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0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ind w:left="25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ind w:left="23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31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FORM S-3</w:t>
      </w:r>
    </w:p>
    <w:p>
      <w:pPr>
        <w:jc w:val="center"/>
        <w:ind w:right="4360"/>
        <w:spacing w:after="0" w:line="238" w:lineRule="auto"/>
        <w:rPr>
          <w:sz w:val="20"/>
          <w:szCs w:val="20"/>
          <w:color w:val="auto"/>
        </w:rPr>
      </w:pPr>
      <w:r>
        <w:rPr>
          <w:rFonts w:ascii="Courier New" w:cs="Courier New" w:eastAsia="Courier New" w:hAnsi="Courier New"/>
          <w:sz w:val="15"/>
          <w:szCs w:val="15"/>
          <w:color w:val="auto"/>
        </w:rPr>
        <w:t>REGISTRATION STATEMENT</w:t>
      </w:r>
    </w:p>
    <w:p>
      <w:pPr>
        <w:jc w:val="center"/>
        <w:ind w:right="4280"/>
        <w:spacing w:after="0" w:line="237" w:lineRule="auto"/>
        <w:rPr>
          <w:sz w:val="20"/>
          <w:szCs w:val="20"/>
          <w:color w:val="auto"/>
        </w:rPr>
      </w:pPr>
      <w:r>
        <w:rPr>
          <w:rFonts w:ascii="Courier New" w:cs="Courier New" w:eastAsia="Courier New" w:hAnsi="Courier New"/>
          <w:sz w:val="15"/>
          <w:szCs w:val="15"/>
          <w:color w:val="auto"/>
        </w:rPr>
        <w:t>Under</w:t>
      </w:r>
    </w:p>
    <w:p>
      <w:pPr>
        <w:jc w:val="center"/>
        <w:ind w:right="4360"/>
        <w:spacing w:after="0" w:line="238" w:lineRule="auto"/>
        <w:rPr>
          <w:sz w:val="20"/>
          <w:szCs w:val="20"/>
          <w:color w:val="auto"/>
        </w:rPr>
      </w:pPr>
      <w:r>
        <w:rPr>
          <w:rFonts w:ascii="Courier New" w:cs="Courier New" w:eastAsia="Courier New" w:hAnsi="Courier New"/>
          <w:sz w:val="15"/>
          <w:szCs w:val="15"/>
          <w:color w:val="auto"/>
        </w:rPr>
        <w:t>THE SECURITIES ACT OF 1933</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ind w:left="2800"/>
        <w:spacing w:after="0" w:line="238" w:lineRule="auto"/>
        <w:rPr>
          <w:sz w:val="20"/>
          <w:szCs w:val="20"/>
          <w:color w:val="auto"/>
        </w:rPr>
      </w:pPr>
      <w:r>
        <w:rPr>
          <w:rFonts w:ascii="Courier New" w:cs="Courier New" w:eastAsia="Courier New" w:hAnsi="Courier New"/>
          <w:sz w:val="15"/>
          <w:szCs w:val="15"/>
          <w:color w:val="auto"/>
        </w:rPr>
        <w:t>SCHLUMBERGER N.V.</w:t>
      </w:r>
    </w:p>
    <w:p>
      <w:pPr>
        <w:ind w:left="2540"/>
        <w:spacing w:after="0" w:line="237" w:lineRule="auto"/>
        <w:rPr>
          <w:sz w:val="20"/>
          <w:szCs w:val="20"/>
          <w:color w:val="auto"/>
        </w:rPr>
      </w:pPr>
      <w:r>
        <w:rPr>
          <w:rFonts w:ascii="Courier New" w:cs="Courier New" w:eastAsia="Courier New" w:hAnsi="Courier New"/>
          <w:sz w:val="15"/>
          <w:szCs w:val="15"/>
          <w:color w:val="auto"/>
        </w:rPr>
        <w:t>(SCHLUMBERGER LIMITED)</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tbl>
      <w:tblPr>
        <w:tblLayout w:type="fixed"/>
        <w:tblInd w:w="0" w:type="dxa"/>
        <w:tblCellMar>
          <w:top w:w="0" w:type="dxa"/>
          <w:left w:w="0" w:type="dxa"/>
          <w:bottom w:w="0" w:type="dxa"/>
          <w:right w:w="0" w:type="dxa"/>
        </w:tblCellMar>
      </w:tblPr>
      <w:tr>
        <w:trPr>
          <w:trHeight w:val="169"/>
        </w:trPr>
        <w:tc>
          <w:tcPr>
            <w:tcW w:w="4900" w:type="dxa"/>
            <w:vAlign w:val="bottom"/>
          </w:tcPr>
          <w:p>
            <w:pPr>
              <w:ind w:left="540"/>
              <w:spacing w:after="0" w:line="169" w:lineRule="exact"/>
              <w:rPr>
                <w:sz w:val="20"/>
                <w:szCs w:val="20"/>
                <w:color w:val="auto"/>
              </w:rPr>
            </w:pPr>
            <w:r>
              <w:rPr>
                <w:rFonts w:ascii="Courier New" w:cs="Courier New" w:eastAsia="Courier New" w:hAnsi="Courier New"/>
                <w:sz w:val="15"/>
                <w:szCs w:val="15"/>
                <w:color w:val="auto"/>
              </w:rPr>
              <w:t>NETHERLANDS ANTILLES</w:t>
            </w:r>
          </w:p>
        </w:tc>
        <w:tc>
          <w:tcPr>
            <w:tcW w:w="2020" w:type="dxa"/>
            <w:vAlign w:val="bottom"/>
          </w:tcPr>
          <w:p>
            <w:pPr>
              <w:jc w:val="right"/>
              <w:ind w:right="547"/>
              <w:spacing w:after="0" w:line="169" w:lineRule="exact"/>
              <w:rPr>
                <w:sz w:val="20"/>
                <w:szCs w:val="20"/>
                <w:color w:val="auto"/>
              </w:rPr>
            </w:pPr>
            <w:r>
              <w:rPr>
                <w:rFonts w:ascii="Courier New" w:cs="Courier New" w:eastAsia="Courier New" w:hAnsi="Courier New"/>
                <w:sz w:val="15"/>
                <w:szCs w:val="15"/>
                <w:color w:val="auto"/>
              </w:rPr>
              <w:t>52-0684746</w:t>
            </w: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 or other jurisdiction</w:t>
            </w:r>
          </w:p>
        </w:tc>
        <w:tc>
          <w:tcPr>
            <w:tcW w:w="20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(I.R.S. Employer</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of incorporation or organization)</w:t>
            </w:r>
          </w:p>
        </w:tc>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Identification No.)</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rPr>
              <w:t>277 Park Avenue</w:t>
            </w:r>
          </w:p>
        </w:tc>
        <w:tc>
          <w:tcPr>
            <w:tcW w:w="202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42 rue Saint Dominique</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New York,</w:t>
            </w:r>
          </w:p>
        </w:tc>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Paris, France 75007</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U.S.A. 10172</w:t>
            </w:r>
          </w:p>
        </w:tc>
        <w:tc>
          <w:tcPr>
            <w:tcW w:w="2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(33-1) 4062-1000</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(212) 350-9400</w:t>
            </w:r>
          </w:p>
        </w:tc>
        <w:tc>
          <w:tcPr>
            <w:tcW w:w="2020" w:type="dxa"/>
            <w:vAlign w:val="bottom"/>
          </w:tcPr>
          <w:p>
            <w:pPr>
              <w:spacing w:after="0"/>
              <w:rPr>
                <w:sz w:val="14"/>
                <w:szCs w:val="14"/>
                <w:color w:val="auto"/>
              </w:rPr>
            </w:pPr>
          </w:p>
        </w:tc>
      </w:tr>
      <w:tr>
        <w:trPr>
          <w:trHeight w:val="168"/>
        </w:trPr>
        <w:tc>
          <w:tcPr>
            <w:tcW w:w="4900" w:type="dxa"/>
            <w:vAlign w:val="bottom"/>
          </w:tcPr>
          <w:p>
            <w:pPr>
              <w:jc w:val="center"/>
              <w:ind w:left="2047"/>
              <w:spacing w:after="0" w:line="168" w:lineRule="exact"/>
              <w:rPr>
                <w:sz w:val="20"/>
                <w:szCs w:val="20"/>
                <w:color w:val="auto"/>
              </w:rPr>
            </w:pPr>
            <w:r>
              <w:rPr>
                <w:rFonts w:ascii="Courier New" w:cs="Courier New" w:eastAsia="Courier New" w:hAnsi="Courier New"/>
                <w:sz w:val="15"/>
                <w:szCs w:val="15"/>
                <w:color w:val="auto"/>
                <w:w w:val="96"/>
              </w:rPr>
              <w:t>Parkstraat 83 2514JG</w:t>
            </w:r>
          </w:p>
        </w:tc>
        <w:tc>
          <w:tcPr>
            <w:tcW w:w="2020" w:type="dxa"/>
            <w:vAlign w:val="bottom"/>
          </w:tcPr>
          <w:p>
            <w:pPr>
              <w:spacing w:after="0"/>
              <w:rPr>
                <w:sz w:val="14"/>
                <w:szCs w:val="14"/>
                <w:color w:val="auto"/>
              </w:rPr>
            </w:pPr>
          </w:p>
        </w:tc>
      </w:tr>
      <w:tr>
        <w:trPr>
          <w:trHeight w:val="168"/>
        </w:trPr>
        <w:tc>
          <w:tcPr>
            <w:tcW w:w="4900" w:type="dxa"/>
            <w:vAlign w:val="bottom"/>
          </w:tcPr>
          <w:p>
            <w:pPr>
              <w:jc w:val="center"/>
              <w:ind w:left="2047"/>
              <w:spacing w:after="0" w:line="168" w:lineRule="exact"/>
              <w:rPr>
                <w:sz w:val="20"/>
                <w:szCs w:val="20"/>
                <w:color w:val="auto"/>
              </w:rPr>
            </w:pPr>
            <w:r>
              <w:rPr>
                <w:rFonts w:ascii="Courier New" w:cs="Courier New" w:eastAsia="Courier New" w:hAnsi="Courier New"/>
                <w:sz w:val="15"/>
                <w:szCs w:val="15"/>
                <w:color w:val="auto"/>
                <w:w w:val="95"/>
              </w:rPr>
              <w:t>The Hague,</w:t>
            </w:r>
          </w:p>
        </w:tc>
        <w:tc>
          <w:tcPr>
            <w:tcW w:w="2020" w:type="dxa"/>
            <w:vAlign w:val="bottom"/>
          </w:tcPr>
          <w:p>
            <w:pPr>
              <w:spacing w:after="0"/>
              <w:rPr>
                <w:sz w:val="14"/>
                <w:szCs w:val="14"/>
                <w:color w:val="auto"/>
              </w:rPr>
            </w:pPr>
          </w:p>
        </w:tc>
      </w:tr>
      <w:tr>
        <w:trPr>
          <w:trHeight w:val="168"/>
        </w:trPr>
        <w:tc>
          <w:tcPr>
            <w:tcW w:w="4900" w:type="dxa"/>
            <w:vAlign w:val="bottom"/>
          </w:tcPr>
          <w:p>
            <w:pPr>
              <w:jc w:val="center"/>
              <w:ind w:left="2127"/>
              <w:spacing w:after="0" w:line="168" w:lineRule="exact"/>
              <w:rPr>
                <w:sz w:val="20"/>
                <w:szCs w:val="20"/>
                <w:color w:val="auto"/>
              </w:rPr>
            </w:pPr>
            <w:r>
              <w:rPr>
                <w:rFonts w:ascii="Courier New" w:cs="Courier New" w:eastAsia="Courier New" w:hAnsi="Courier New"/>
                <w:sz w:val="15"/>
                <w:szCs w:val="15"/>
                <w:color w:val="auto"/>
                <w:w w:val="96"/>
              </w:rPr>
              <w:t>The Netherlands</w:t>
            </w:r>
          </w:p>
        </w:tc>
        <w:tc>
          <w:tcPr>
            <w:tcW w:w="2020" w:type="dxa"/>
            <w:vAlign w:val="bottom"/>
          </w:tcPr>
          <w:p>
            <w:pPr>
              <w:spacing w:after="0"/>
              <w:rPr>
                <w:sz w:val="14"/>
                <w:szCs w:val="14"/>
                <w:color w:val="auto"/>
              </w:rPr>
            </w:pPr>
          </w:p>
        </w:tc>
      </w:tr>
      <w:tr>
        <w:trPr>
          <w:trHeight w:val="168"/>
        </w:trPr>
        <w:tc>
          <w:tcPr>
            <w:tcW w:w="49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(31-70) 310-5447</w:t>
            </w:r>
          </w:p>
        </w:tc>
        <w:tc>
          <w:tcPr>
            <w:tcW w:w="2020" w:type="dxa"/>
            <w:vAlign w:val="bottom"/>
          </w:tcPr>
          <w:p>
            <w:pPr>
              <w:spacing w:after="0"/>
              <w:rPr>
                <w:sz w:val="14"/>
                <w:szCs w:val="14"/>
                <w:color w:val="auto"/>
              </w:rPr>
            </w:pPr>
          </w:p>
        </w:tc>
      </w:tr>
      <w:tr>
        <w:trPr>
          <w:trHeight w:val="168"/>
        </w:trPr>
        <w:tc>
          <w:tcPr>
            <w:tcW w:w="69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(Address, including Zip Code, and telephone number, including area code, of</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Registrant's principal executive offices)</w:t>
            </w:r>
          </w:p>
        </w:tc>
        <w:tc>
          <w:tcPr>
            <w:tcW w:w="2020" w:type="dxa"/>
            <w:vAlign w:val="bottom"/>
          </w:tcPr>
          <w:p>
            <w:pPr>
              <w:spacing w:after="0"/>
              <w:rPr>
                <w:sz w:val="14"/>
                <w:szCs w:val="14"/>
                <w:color w:val="auto"/>
              </w:rPr>
            </w:pPr>
          </w:p>
        </w:tc>
      </w:tr>
      <w:tr>
        <w:trPr>
          <w:trHeight w:val="168"/>
        </w:trPr>
        <w:tc>
          <w:tcPr>
            <w:tcW w:w="4900" w:type="dxa"/>
            <w:vAlign w:val="bottom"/>
          </w:tcPr>
          <w:p>
            <w:pPr>
              <w:jc w:val="center"/>
              <w:ind w:left="2147"/>
              <w:spacing w:after="0" w:line="168" w:lineRule="exact"/>
              <w:rPr>
                <w:sz w:val="20"/>
                <w:szCs w:val="20"/>
                <w:color w:val="auto"/>
              </w:rPr>
            </w:pPr>
            <w:r>
              <w:rPr>
                <w:rFonts w:ascii="Courier New" w:cs="Courier New" w:eastAsia="Courier New" w:hAnsi="Courier New"/>
                <w:sz w:val="15"/>
                <w:szCs w:val="15"/>
                <w:color w:val="auto"/>
                <w:w w:val="97"/>
              </w:rPr>
              <w:t>---------------------------</w:t>
            </w:r>
          </w:p>
        </w:tc>
        <w:tc>
          <w:tcPr>
            <w:tcW w:w="2020" w:type="dxa"/>
            <w:vAlign w:val="bottom"/>
          </w:tcPr>
          <w:p>
            <w:pPr>
              <w:spacing w:after="0"/>
              <w:rPr>
                <w:sz w:val="14"/>
                <w:szCs w:val="14"/>
                <w:color w:val="auto"/>
              </w:rPr>
            </w:pPr>
          </w:p>
        </w:tc>
      </w:tr>
      <w:tr>
        <w:trPr>
          <w:trHeight w:val="168"/>
        </w:trPr>
        <w:tc>
          <w:tcPr>
            <w:tcW w:w="4900" w:type="dxa"/>
            <w:vAlign w:val="bottom"/>
          </w:tcPr>
          <w:p>
            <w:pPr>
              <w:jc w:val="center"/>
              <w:ind w:left="2127"/>
              <w:spacing w:after="0" w:line="168" w:lineRule="exact"/>
              <w:rPr>
                <w:sz w:val="20"/>
                <w:szCs w:val="20"/>
                <w:color w:val="auto"/>
              </w:rPr>
            </w:pPr>
            <w:r>
              <w:rPr>
                <w:rFonts w:ascii="Courier New" w:cs="Courier New" w:eastAsia="Courier New" w:hAnsi="Courier New"/>
                <w:sz w:val="15"/>
                <w:szCs w:val="15"/>
                <w:color w:val="auto"/>
                <w:w w:val="97"/>
              </w:rPr>
              <w:t>David S. Browning, Esq.</w:t>
            </w:r>
          </w:p>
        </w:tc>
        <w:tc>
          <w:tcPr>
            <w:tcW w:w="2020" w:type="dxa"/>
            <w:vAlign w:val="bottom"/>
          </w:tcPr>
          <w:p>
            <w:pPr>
              <w:spacing w:after="0"/>
              <w:rPr>
                <w:sz w:val="14"/>
                <w:szCs w:val="14"/>
                <w:color w:val="auto"/>
              </w:rPr>
            </w:pPr>
          </w:p>
        </w:tc>
      </w:tr>
      <w:tr>
        <w:trPr>
          <w:trHeight w:val="168"/>
        </w:trPr>
        <w:tc>
          <w:tcPr>
            <w:tcW w:w="4900" w:type="dxa"/>
            <w:vAlign w:val="bottom"/>
          </w:tcPr>
          <w:p>
            <w:pPr>
              <w:jc w:val="center"/>
              <w:ind w:left="2127"/>
              <w:spacing w:after="0" w:line="168" w:lineRule="exact"/>
              <w:rPr>
                <w:sz w:val="20"/>
                <w:szCs w:val="20"/>
                <w:color w:val="auto"/>
              </w:rPr>
            </w:pPr>
            <w:r>
              <w:rPr>
                <w:rFonts w:ascii="Courier New" w:cs="Courier New" w:eastAsia="Courier New" w:hAnsi="Courier New"/>
                <w:sz w:val="15"/>
                <w:szCs w:val="15"/>
                <w:color w:val="auto"/>
                <w:w w:val="97"/>
              </w:rPr>
              <w:t>General Counsel and Secretary</w:t>
            </w:r>
          </w:p>
        </w:tc>
        <w:tc>
          <w:tcPr>
            <w:tcW w:w="2020" w:type="dxa"/>
            <w:vAlign w:val="bottom"/>
          </w:tcPr>
          <w:p>
            <w:pPr>
              <w:spacing w:after="0"/>
              <w:rPr>
                <w:sz w:val="14"/>
                <w:szCs w:val="14"/>
                <w:color w:val="auto"/>
              </w:rPr>
            </w:pPr>
          </w:p>
        </w:tc>
      </w:tr>
      <w:tr>
        <w:trPr>
          <w:trHeight w:val="168"/>
        </w:trPr>
        <w:tc>
          <w:tcPr>
            <w:tcW w:w="4900" w:type="dxa"/>
            <w:vAlign w:val="bottom"/>
          </w:tcPr>
          <w:p>
            <w:pPr>
              <w:jc w:val="center"/>
              <w:ind w:left="2047"/>
              <w:spacing w:after="0" w:line="168" w:lineRule="exact"/>
              <w:rPr>
                <w:sz w:val="20"/>
                <w:szCs w:val="20"/>
                <w:color w:val="auto"/>
              </w:rPr>
            </w:pPr>
            <w:r>
              <w:rPr>
                <w:rFonts w:ascii="Courier New" w:cs="Courier New" w:eastAsia="Courier New" w:hAnsi="Courier New"/>
                <w:sz w:val="15"/>
                <w:szCs w:val="15"/>
                <w:color w:val="auto"/>
                <w:w w:val="96"/>
              </w:rPr>
              <w:t>Schlumberger Limited</w:t>
            </w:r>
          </w:p>
        </w:tc>
        <w:tc>
          <w:tcPr>
            <w:tcW w:w="2020" w:type="dxa"/>
            <w:vAlign w:val="bottom"/>
          </w:tcPr>
          <w:p>
            <w:pPr>
              <w:spacing w:after="0"/>
              <w:rPr>
                <w:sz w:val="14"/>
                <w:szCs w:val="14"/>
                <w:color w:val="auto"/>
              </w:rPr>
            </w:pPr>
          </w:p>
        </w:tc>
      </w:tr>
      <w:tr>
        <w:trPr>
          <w:trHeight w:val="168"/>
        </w:trPr>
        <w:tc>
          <w:tcPr>
            <w:tcW w:w="4900" w:type="dxa"/>
            <w:vAlign w:val="bottom"/>
          </w:tcPr>
          <w:p>
            <w:pPr>
              <w:jc w:val="center"/>
              <w:ind w:left="2127"/>
              <w:spacing w:after="0" w:line="168" w:lineRule="exact"/>
              <w:rPr>
                <w:sz w:val="20"/>
                <w:szCs w:val="20"/>
                <w:color w:val="auto"/>
              </w:rPr>
            </w:pPr>
            <w:r>
              <w:rPr>
                <w:rFonts w:ascii="Courier New" w:cs="Courier New" w:eastAsia="Courier New" w:hAnsi="Courier New"/>
                <w:sz w:val="15"/>
                <w:szCs w:val="15"/>
                <w:color w:val="auto"/>
                <w:w w:val="96"/>
              </w:rPr>
              <w:t>277 Park Avenue</w:t>
            </w:r>
          </w:p>
        </w:tc>
        <w:tc>
          <w:tcPr>
            <w:tcW w:w="2020" w:type="dxa"/>
            <w:vAlign w:val="bottom"/>
          </w:tcPr>
          <w:p>
            <w:pPr>
              <w:spacing w:after="0"/>
              <w:rPr>
                <w:sz w:val="14"/>
                <w:szCs w:val="14"/>
                <w:color w:val="auto"/>
              </w:rPr>
            </w:pPr>
          </w:p>
        </w:tc>
      </w:tr>
      <w:tr>
        <w:trPr>
          <w:trHeight w:val="168"/>
        </w:trPr>
        <w:tc>
          <w:tcPr>
            <w:tcW w:w="4900" w:type="dxa"/>
            <w:vAlign w:val="bottom"/>
          </w:tcPr>
          <w:p>
            <w:pPr>
              <w:jc w:val="center"/>
              <w:ind w:left="2127"/>
              <w:spacing w:after="0" w:line="168" w:lineRule="exact"/>
              <w:rPr>
                <w:sz w:val="20"/>
                <w:szCs w:val="20"/>
                <w:color w:val="auto"/>
              </w:rPr>
            </w:pPr>
            <w:r>
              <w:rPr>
                <w:rFonts w:ascii="Courier New" w:cs="Courier New" w:eastAsia="Courier New" w:hAnsi="Courier New"/>
                <w:sz w:val="15"/>
                <w:szCs w:val="15"/>
                <w:color w:val="auto"/>
                <w:w w:val="97"/>
              </w:rPr>
              <w:t>New York, New York 10172-2066</w:t>
            </w:r>
          </w:p>
        </w:tc>
        <w:tc>
          <w:tcPr>
            <w:tcW w:w="2020" w:type="dxa"/>
            <w:vAlign w:val="bottom"/>
          </w:tcPr>
          <w:p>
            <w:pPr>
              <w:spacing w:after="0"/>
              <w:rPr>
                <w:sz w:val="14"/>
                <w:szCs w:val="14"/>
                <w:color w:val="auto"/>
              </w:rPr>
            </w:pPr>
          </w:p>
        </w:tc>
      </w:tr>
      <w:tr>
        <w:trPr>
          <w:trHeight w:val="168"/>
        </w:trPr>
        <w:tc>
          <w:tcPr>
            <w:tcW w:w="49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(212) 350-9400</w:t>
            </w:r>
          </w:p>
        </w:tc>
        <w:tc>
          <w:tcPr>
            <w:tcW w:w="2020" w:type="dxa"/>
            <w:vAlign w:val="bottom"/>
          </w:tcPr>
          <w:p>
            <w:pPr>
              <w:spacing w:after="0"/>
              <w:rPr>
                <w:sz w:val="14"/>
                <w:szCs w:val="14"/>
                <w:color w:val="auto"/>
              </w:rPr>
            </w:pPr>
          </w:p>
        </w:tc>
      </w:tr>
    </w:tbl>
    <w:p>
      <w:pPr>
        <w:spacing w:after="0" w:line="5" w:lineRule="exact"/>
        <w:rPr>
          <w:sz w:val="24"/>
          <w:szCs w:val="24"/>
          <w:color w:val="auto"/>
        </w:rPr>
      </w:pPr>
    </w:p>
    <w:p>
      <w:pPr>
        <w:ind w:right="4540"/>
        <w:spacing w:after="0" w:line="234" w:lineRule="auto"/>
        <w:rPr>
          <w:sz w:val="20"/>
          <w:szCs w:val="20"/>
          <w:color w:val="auto"/>
        </w:rPr>
      </w:pPr>
      <w:r>
        <w:rPr>
          <w:rFonts w:ascii="Courier New" w:cs="Courier New" w:eastAsia="Courier New" w:hAnsi="Courier New"/>
          <w:sz w:val="15"/>
          <w:szCs w:val="15"/>
          <w:color w:val="auto"/>
        </w:rPr>
        <w:t>(Name, address, including Zip Code, and telephone number, including area code, of agent for service)</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ind w:left="3160"/>
        <w:spacing w:after="0" w:line="238" w:lineRule="auto"/>
        <w:rPr>
          <w:sz w:val="20"/>
          <w:szCs w:val="20"/>
          <w:color w:val="auto"/>
        </w:rPr>
      </w:pPr>
      <w:r>
        <w:rPr>
          <w:rFonts w:ascii="Courier New" w:cs="Courier New" w:eastAsia="Courier New" w:hAnsi="Courier New"/>
          <w:sz w:val="15"/>
          <w:szCs w:val="15"/>
          <w:color w:val="auto"/>
        </w:rPr>
        <w:t>Copy to:</w:t>
      </w:r>
    </w:p>
    <w:p>
      <w:pPr>
        <w:ind w:left="2800"/>
        <w:spacing w:after="0" w:line="238" w:lineRule="auto"/>
        <w:rPr>
          <w:sz w:val="20"/>
          <w:szCs w:val="20"/>
          <w:color w:val="auto"/>
        </w:rPr>
      </w:pPr>
      <w:r>
        <w:rPr>
          <w:rFonts w:ascii="Courier New" w:cs="Courier New" w:eastAsia="Courier New" w:hAnsi="Courier New"/>
          <w:sz w:val="15"/>
          <w:szCs w:val="15"/>
          <w:color w:val="auto"/>
        </w:rPr>
        <w:t>Mark Kessel, Esq.</w:t>
      </w:r>
    </w:p>
    <w:p>
      <w:pPr>
        <w:ind w:left="2720"/>
        <w:spacing w:after="0" w:line="237" w:lineRule="auto"/>
        <w:rPr>
          <w:sz w:val="20"/>
          <w:szCs w:val="20"/>
          <w:color w:val="auto"/>
        </w:rPr>
      </w:pPr>
      <w:r>
        <w:rPr>
          <w:rFonts w:ascii="Courier New" w:cs="Courier New" w:eastAsia="Courier New" w:hAnsi="Courier New"/>
          <w:sz w:val="15"/>
          <w:szCs w:val="15"/>
          <w:color w:val="auto"/>
        </w:rPr>
        <w:t>Shearman &amp; Sterling</w:t>
      </w:r>
    </w:p>
    <w:p>
      <w:pPr>
        <w:ind w:left="2640"/>
        <w:spacing w:after="0" w:line="238" w:lineRule="auto"/>
        <w:rPr>
          <w:sz w:val="20"/>
          <w:szCs w:val="20"/>
          <w:color w:val="auto"/>
        </w:rPr>
      </w:pPr>
      <w:r>
        <w:rPr>
          <w:rFonts w:ascii="Courier New" w:cs="Courier New" w:eastAsia="Courier New" w:hAnsi="Courier New"/>
          <w:sz w:val="15"/>
          <w:szCs w:val="15"/>
          <w:color w:val="auto"/>
        </w:rPr>
        <w:t>599 Lexington Avenue</w:t>
      </w:r>
    </w:p>
    <w:p>
      <w:pPr>
        <w:jc w:val="center"/>
        <w:ind w:right="4360"/>
        <w:spacing w:after="0" w:line="237" w:lineRule="auto"/>
        <w:rPr>
          <w:sz w:val="20"/>
          <w:szCs w:val="20"/>
          <w:color w:val="auto"/>
        </w:rPr>
      </w:pPr>
      <w:r>
        <w:rPr>
          <w:rFonts w:ascii="Courier New" w:cs="Courier New" w:eastAsia="Courier New" w:hAnsi="Courier New"/>
          <w:sz w:val="15"/>
          <w:szCs w:val="15"/>
          <w:color w:val="auto"/>
        </w:rPr>
        <w:t>New York, New York 10022</w:t>
      </w:r>
    </w:p>
    <w:p>
      <w:pPr>
        <w:jc w:val="center"/>
        <w:ind w:right="4360"/>
        <w:spacing w:after="0" w:line="238" w:lineRule="auto"/>
        <w:rPr>
          <w:sz w:val="20"/>
          <w:szCs w:val="20"/>
          <w:color w:val="auto"/>
        </w:rPr>
      </w:pPr>
      <w:r>
        <w:rPr>
          <w:rFonts w:ascii="Courier New" w:cs="Courier New" w:eastAsia="Courier New" w:hAnsi="Courier New"/>
          <w:sz w:val="15"/>
          <w:szCs w:val="15"/>
          <w:color w:val="auto"/>
        </w:rPr>
        <w:t>(212) 848-4000</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right="4460" w:firstLine="787"/>
        <w:spacing w:after="0" w:line="235" w:lineRule="auto"/>
        <w:rPr>
          <w:sz w:val="20"/>
          <w:szCs w:val="20"/>
          <w:color w:val="auto"/>
        </w:rPr>
      </w:pPr>
      <w:r>
        <w:rPr>
          <w:rFonts w:ascii="Courier New" w:cs="Courier New" w:eastAsia="Courier New" w:hAnsi="Courier New"/>
          <w:sz w:val="15"/>
          <w:szCs w:val="15"/>
          <w:color w:val="auto"/>
        </w:rPr>
        <w:t>Approximate date of commencement of proposed sale of the securities to the public: From time to time after the effective date of this Registration Statement.</w:t>
      </w:r>
    </w:p>
    <w:p>
      <w:pPr>
        <w:spacing w:after="0" w:line="5" w:lineRule="exact"/>
        <w:rPr>
          <w:sz w:val="24"/>
          <w:szCs w:val="24"/>
          <w:color w:val="auto"/>
        </w:rPr>
      </w:pPr>
    </w:p>
    <w:p>
      <w:pPr>
        <w:jc w:val="both"/>
        <w:ind w:right="4460" w:firstLine="787"/>
        <w:spacing w:after="0" w:line="235"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|_|</w:t>
      </w:r>
    </w:p>
    <w:p>
      <w:pPr>
        <w:spacing w:after="0" w:line="5" w:lineRule="exact"/>
        <w:rPr>
          <w:sz w:val="24"/>
          <w:szCs w:val="24"/>
          <w:color w:val="auto"/>
        </w:rPr>
      </w:pPr>
    </w:p>
    <w:p>
      <w:pPr>
        <w:ind w:right="4640" w:firstLine="787"/>
        <w:spacing w:after="0" w:line="235"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7" w:lineRule="exact"/>
        <w:rPr>
          <w:sz w:val="24"/>
          <w:szCs w:val="24"/>
          <w:color w:val="auto"/>
        </w:rPr>
      </w:pPr>
    </w:p>
    <w:p>
      <w:pPr>
        <w:ind w:right="4380" w:firstLine="787"/>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7" w:lineRule="exact"/>
        <w:rPr>
          <w:sz w:val="24"/>
          <w:szCs w:val="24"/>
          <w:color w:val="auto"/>
        </w:rPr>
      </w:pPr>
    </w:p>
    <w:p>
      <w:pPr>
        <w:ind w:right="4380" w:firstLine="787"/>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7" w:lineRule="exact"/>
        <w:rPr>
          <w:sz w:val="24"/>
          <w:szCs w:val="24"/>
          <w:color w:val="auto"/>
        </w:rPr>
      </w:pPr>
    </w:p>
    <w:p>
      <w:pPr>
        <w:ind w:right="4540" w:firstLine="787"/>
        <w:spacing w:after="0" w:line="234"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335" w:lineRule="exact"/>
        <w:rPr>
          <w:sz w:val="24"/>
          <w:szCs w:val="24"/>
          <w:color w:val="auto"/>
        </w:rPr>
      </w:pPr>
    </w:p>
    <w:p>
      <w:pPr>
        <w:jc w:val="center"/>
        <w:ind w:right="420"/>
        <w:spacing w:after="0"/>
        <w:rPr>
          <w:sz w:val="20"/>
          <w:szCs w:val="20"/>
          <w:color w:val="auto"/>
        </w:rPr>
      </w:pPr>
      <w:r>
        <w:rPr>
          <w:rFonts w:ascii="Courier New" w:cs="Courier New" w:eastAsia="Courier New" w:hAnsi="Courier New"/>
          <w:sz w:val="15"/>
          <w:szCs w:val="15"/>
          <w:color w:val="auto"/>
        </w:rPr>
        <w:t>CALCULATION OF REGISTRATION FEE</w:t>
      </w:r>
    </w:p>
    <w:p>
      <w:pPr>
        <w:spacing w:after="0" w:line="5" w:lineRule="exact"/>
        <w:rPr>
          <w:sz w:val="24"/>
          <w:szCs w:val="24"/>
          <w:color w:val="auto"/>
        </w:rPr>
      </w:pPr>
    </w:p>
    <w:p>
      <w:pPr>
        <w:jc w:val="center"/>
        <w:ind w:righ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tbl>
      <w:tblPr>
        <w:tblLayout w:type="fixed"/>
        <w:tblInd w:w="540" w:type="dxa"/>
        <w:tblCellMar>
          <w:top w:w="0" w:type="dxa"/>
          <w:left w:w="0" w:type="dxa"/>
          <w:bottom w:w="0" w:type="dxa"/>
          <w:right w:w="0" w:type="dxa"/>
        </w:tblCellMar>
      </w:tblPr>
      <w:tr>
        <w:trPr>
          <w:trHeight w:val="170"/>
        </w:trPr>
        <w:tc>
          <w:tcPr>
            <w:tcW w:w="2180" w:type="dxa"/>
            <w:vAlign w:val="bottom"/>
          </w:tcPr>
          <w:p>
            <w:pPr>
              <w:jc w:val="center"/>
              <w:ind w:right="447"/>
              <w:spacing w:after="0"/>
              <w:rPr>
                <w:sz w:val="20"/>
                <w:szCs w:val="20"/>
                <w:color w:val="auto"/>
              </w:rPr>
            </w:pPr>
            <w:r>
              <w:rPr>
                <w:rFonts w:ascii="Courier New" w:cs="Courier New" w:eastAsia="Courier New" w:hAnsi="Courier New"/>
                <w:sz w:val="15"/>
                <w:szCs w:val="15"/>
                <w:color w:val="auto"/>
                <w:w w:val="97"/>
              </w:rPr>
              <w:t>Title of Each Class</w:t>
            </w:r>
          </w:p>
        </w:tc>
        <w:tc>
          <w:tcPr>
            <w:tcW w:w="1800" w:type="dxa"/>
            <w:vAlign w:val="bottom"/>
          </w:tcPr>
          <w:p>
            <w:pPr>
              <w:ind w:left="700"/>
              <w:spacing w:after="0"/>
              <w:rPr>
                <w:sz w:val="20"/>
                <w:szCs w:val="20"/>
                <w:color w:val="auto"/>
              </w:rPr>
            </w:pPr>
            <w:r>
              <w:rPr>
                <w:rFonts w:ascii="Courier New" w:cs="Courier New" w:eastAsia="Courier New" w:hAnsi="Courier New"/>
                <w:sz w:val="15"/>
                <w:szCs w:val="15"/>
                <w:color w:val="auto"/>
              </w:rPr>
              <w:t>Amount</w:t>
            </w:r>
          </w:p>
        </w:tc>
        <w:tc>
          <w:tcPr>
            <w:tcW w:w="232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Proposed Maximum</w:t>
            </w:r>
          </w:p>
        </w:tc>
        <w:tc>
          <w:tcPr>
            <w:tcW w:w="23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Proposed Maximum</w:t>
            </w:r>
          </w:p>
        </w:tc>
        <w:tc>
          <w:tcPr>
            <w:tcW w:w="148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8"/>
              </w:rPr>
              <w:t>Amount of</w:t>
            </w:r>
          </w:p>
        </w:tc>
      </w:tr>
      <w:tr>
        <w:trPr>
          <w:trHeight w:val="168"/>
        </w:trPr>
        <w:tc>
          <w:tcPr>
            <w:tcW w:w="21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of Securities to</w:t>
            </w:r>
          </w:p>
        </w:tc>
        <w:tc>
          <w:tcPr>
            <w:tcW w:w="18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 be</w:t>
            </w:r>
          </w:p>
        </w:tc>
        <w:tc>
          <w:tcPr>
            <w:tcW w:w="23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Offering Price</w:t>
            </w:r>
          </w:p>
        </w:tc>
        <w:tc>
          <w:tcPr>
            <w:tcW w:w="23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Aggregate</w:t>
            </w:r>
          </w:p>
        </w:tc>
        <w:tc>
          <w:tcPr>
            <w:tcW w:w="1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4"/>
              </w:rPr>
              <w:t>Registration</w:t>
            </w:r>
          </w:p>
        </w:tc>
      </w:tr>
      <w:tr>
        <w:trPr>
          <w:trHeight w:val="168"/>
        </w:trPr>
        <w:tc>
          <w:tcPr>
            <w:tcW w:w="218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7"/>
              </w:rPr>
              <w:t>be Registered</w:t>
            </w:r>
          </w:p>
        </w:tc>
        <w:tc>
          <w:tcPr>
            <w:tcW w:w="18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Registered</w:t>
            </w:r>
          </w:p>
        </w:tc>
        <w:tc>
          <w:tcPr>
            <w:tcW w:w="23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per Share</w:t>
            </w:r>
          </w:p>
        </w:tc>
        <w:tc>
          <w:tcPr>
            <w:tcW w:w="2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Offering Price</w:t>
            </w:r>
          </w:p>
        </w:tc>
        <w:tc>
          <w:tcPr>
            <w:tcW w:w="148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5"/>
              </w:rPr>
              <w:t>Fee (1)</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Common Stock, par value</w:t>
            </w:r>
          </w:p>
        </w:tc>
        <w:tc>
          <w:tcPr>
            <w:tcW w:w="2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$0.01 per share</w:t>
            </w:r>
          </w:p>
        </w:tc>
        <w:tc>
          <w:tcPr>
            <w:tcW w:w="20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238,812</w:t>
            </w:r>
          </w:p>
        </w:tc>
        <w:tc>
          <w:tcPr>
            <w:tcW w:w="210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(2)</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$6,235.16</w:t>
            </w:r>
          </w:p>
        </w:tc>
      </w:tr>
    </w:tbl>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ind w:left="440" w:right="440" w:hanging="430"/>
        <w:spacing w:after="0" w:line="234"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fee calculated pursuant to Rule 457(c) based on the average of the high and low sale prices on the New York Stock Exchange on November 18, 1997 of $ 86.16 per share.</w:t>
      </w:r>
    </w:p>
    <w:p>
      <w:pPr>
        <w:ind w:left="440" w:hanging="430"/>
        <w:spacing w:after="0" w:line="237"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335"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ind w:right="4460" w:firstLine="787"/>
        <w:spacing w:after="0" w:line="255"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w:t>
      </w:r>
    </w:p>
    <w:p>
      <w:pPr>
        <w:sectPr>
          <w:pgSz w:w="11900" w:h="16917" w:orient="portrait"/>
          <w:cols w:equalWidth="0" w:num="1">
            <w:col w:w="11380"/>
          </w:cols>
          <w:pgMar w:left="220" w:top="897" w:right="299" w:bottom="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may determine.</w:t>
      </w:r>
    </w:p>
    <w:p>
      <w:pPr>
        <w:spacing w:after="0" w:line="5"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Subject to Completion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Preliminary Prospectus Dated November 20, 1997</w:t>
      </w:r>
    </w:p>
    <w:p>
      <w:pPr>
        <w:spacing w:after="0" w:line="238" w:lineRule="auto"/>
        <w:rPr>
          <w:sz w:val="20"/>
          <w:szCs w:val="20"/>
          <w:color w:val="auto"/>
        </w:rPr>
      </w:pPr>
      <w:r>
        <w:rPr>
          <w:rFonts w:ascii="Courier New" w:cs="Courier New" w:eastAsia="Courier New" w:hAnsi="Courier New"/>
          <w:sz w:val="15"/>
          <w:szCs w:val="15"/>
          <w:color w:val="auto"/>
        </w:rPr>
        <w:t>PROSPECTUS</w:t>
      </w:r>
    </w:p>
    <w:p>
      <w:pPr>
        <w:ind w:left="2900"/>
        <w:spacing w:after="0" w:line="237" w:lineRule="auto"/>
        <w:rPr>
          <w:sz w:val="20"/>
          <w:szCs w:val="20"/>
          <w:color w:val="auto"/>
        </w:rPr>
      </w:pPr>
      <w:r>
        <w:rPr>
          <w:rFonts w:ascii="Courier New" w:cs="Courier New" w:eastAsia="Courier New" w:hAnsi="Courier New"/>
          <w:sz w:val="15"/>
          <w:szCs w:val="15"/>
          <w:color w:val="auto"/>
        </w:rPr>
        <w:t>238,812 Shares</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SCHLUMBERGER N.V.</w:t>
      </w:r>
    </w:p>
    <w:p>
      <w:pPr>
        <w:ind w:left="2540"/>
        <w:spacing w:after="0" w:line="237" w:lineRule="auto"/>
        <w:rPr>
          <w:sz w:val="20"/>
          <w:szCs w:val="20"/>
          <w:color w:val="auto"/>
        </w:rPr>
      </w:pPr>
      <w:r>
        <w:rPr>
          <w:rFonts w:ascii="Courier New" w:cs="Courier New" w:eastAsia="Courier New" w:hAnsi="Courier New"/>
          <w:sz w:val="15"/>
          <w:szCs w:val="15"/>
          <w:color w:val="auto"/>
        </w:rPr>
        <w:t>(SCHLUMBERGER LIMITED)</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Common Stock</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All of the 238,812 shares (the "Shares") of common stock, par value $.01, (the "Common Stock") of Schlumberger N.V. (Schlumberger Limited) ("Schlumberger" or the "Company") offered hereby are being offered (the "Offering") by certain stockholders of the Company named herein (collectively, the "Selling Stockholders") who received such shares that were originally issued in connection with the merger (the "Merger") of Interactive Video Systems, Inc., a Massachusetts corporation ("IVS") with and into a wholly owned subsidiary of the Company on October 29, 1997. See "Selling Stockholders." The Company will not receive any proceeds from the sale of the Shares.</w:t>
      </w:r>
    </w:p>
    <w:p>
      <w:pPr>
        <w:spacing w:after="0" w:line="165"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The Company has been advised by each Selling Stockholder that such Selling Stockholder may sell all or a portion of the Shares offered by or for the account of such Selling Stockholder from time to time through the New York Stock Exchange or any national securities exchange on which the Common Stock is at that time approved for listing and/or private sales, at prices and on terms to be determined at the time of sale, to purchasers directly or through brokers, dealers or agents, who may receive compensation in the form of commissions or concessions. The Selling Stockholders and any brokers, dealers or agents that participate with the Selling Stockholders in the distribution of Shares may be deemed to be "underwriters" within the meaning of the Securities Act, in which event any concessions and commissions received by such brokers, dealers or agents and any profit on the resale of the Shares purchased by them may be deemed to be commissions under the Securities Act. The aggregate net proceeds to the Selling Stockholders from the sale of the Shares offered by the Selling Stockholders hereby will be the purchase price of such Shares, less any commissions, if any, and other expenses of issuance and distribution not borne by the Company. See "Plan of Distribution."</w:t>
      </w:r>
    </w:p>
    <w:p>
      <w:pPr>
        <w:spacing w:after="0" w:line="17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The Common Stock is quoted on the New York Stock Exchange ("NYSE") under the symbol "SLB" and is also listed on the Paris, London, Amsterdam and Swiss stock exchanges. On [Date immediately prior to date of Prospectus], 1997, the closing price of the Common Stock on the NYSE was $______ per share.</w:t>
      </w:r>
    </w:p>
    <w:p>
      <w:pPr>
        <w:ind w:left="280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THESE SECURITIES HAVE NOT BEEN APPROVED OR DISAPPROVED BY</w:t>
      </w:r>
    </w:p>
    <w:p>
      <w:pPr>
        <w:ind w:left="1320"/>
        <w:spacing w:after="0" w:line="237" w:lineRule="auto"/>
        <w:rPr>
          <w:sz w:val="20"/>
          <w:szCs w:val="20"/>
          <w:color w:val="auto"/>
        </w:rPr>
      </w:pPr>
      <w:r>
        <w:rPr>
          <w:rFonts w:ascii="Courier New" w:cs="Courier New" w:eastAsia="Courier New" w:hAnsi="Courier New"/>
          <w:sz w:val="15"/>
          <w:szCs w:val="15"/>
          <w:color w:val="auto"/>
        </w:rPr>
        <w:t>THE SECURITIES AND EXCHANGE COMMISSION OR ANY STATE</w:t>
      </w:r>
    </w:p>
    <w:p>
      <w:pPr>
        <w:ind w:left="1400"/>
        <w:spacing w:after="0" w:line="238" w:lineRule="auto"/>
        <w:rPr>
          <w:sz w:val="20"/>
          <w:szCs w:val="20"/>
          <w:color w:val="auto"/>
        </w:rPr>
      </w:pPr>
      <w:r>
        <w:rPr>
          <w:rFonts w:ascii="Courier New" w:cs="Courier New" w:eastAsia="Courier New" w:hAnsi="Courier New"/>
          <w:sz w:val="15"/>
          <w:szCs w:val="15"/>
          <w:color w:val="auto"/>
        </w:rPr>
        <w:t>SECURITIES COMMISSION, NOR HAS THE SECURITIES AND</w:t>
      </w:r>
    </w:p>
    <w:p>
      <w:pPr>
        <w:ind w:left="1680"/>
        <w:spacing w:after="0" w:line="237" w:lineRule="auto"/>
        <w:rPr>
          <w:sz w:val="20"/>
          <w:szCs w:val="20"/>
          <w:color w:val="auto"/>
        </w:rPr>
      </w:pPr>
      <w:r>
        <w:rPr>
          <w:rFonts w:ascii="Courier New" w:cs="Courier New" w:eastAsia="Courier New" w:hAnsi="Courier New"/>
          <w:sz w:val="15"/>
          <w:szCs w:val="15"/>
          <w:color w:val="auto"/>
        </w:rPr>
        <w:t>EXCHANGE COMMISSION OR ANY STATE SECURITIES</w:t>
      </w:r>
    </w:p>
    <w:p>
      <w:pPr>
        <w:ind w:left="1840"/>
        <w:spacing w:after="0" w:line="238" w:lineRule="auto"/>
        <w:rPr>
          <w:sz w:val="20"/>
          <w:szCs w:val="20"/>
          <w:color w:val="auto"/>
        </w:rPr>
      </w:pPr>
      <w:r>
        <w:rPr>
          <w:rFonts w:ascii="Courier New" w:cs="Courier New" w:eastAsia="Courier New" w:hAnsi="Courier New"/>
          <w:sz w:val="15"/>
          <w:szCs w:val="15"/>
          <w:color w:val="auto"/>
        </w:rPr>
        <w:t>COMMISSION PASSED UPON THE ACCURACY OR</w:t>
      </w:r>
    </w:p>
    <w:p>
      <w:pPr>
        <w:ind w:left="2100"/>
        <w:spacing w:after="0" w:line="237" w:lineRule="auto"/>
        <w:rPr>
          <w:sz w:val="20"/>
          <w:szCs w:val="20"/>
          <w:color w:val="auto"/>
        </w:rPr>
      </w:pPr>
      <w:r>
        <w:rPr>
          <w:rFonts w:ascii="Courier New" w:cs="Courier New" w:eastAsia="Courier New" w:hAnsi="Courier New"/>
          <w:sz w:val="15"/>
          <w:szCs w:val="15"/>
          <w:color w:val="auto"/>
        </w:rPr>
        <w:t>ADEQUACY OF THIS PROSPECTUS. ANY</w:t>
      </w:r>
    </w:p>
    <w:p>
      <w:pPr>
        <w:ind w:left="2200"/>
        <w:spacing w:after="0" w:line="238" w:lineRule="auto"/>
        <w:rPr>
          <w:sz w:val="20"/>
          <w:szCs w:val="20"/>
          <w:color w:val="auto"/>
        </w:rPr>
      </w:pPr>
      <w:r>
        <w:rPr>
          <w:rFonts w:ascii="Courier New" w:cs="Courier New" w:eastAsia="Courier New" w:hAnsi="Courier New"/>
          <w:sz w:val="15"/>
          <w:szCs w:val="15"/>
          <w:color w:val="auto"/>
        </w:rPr>
        <w:t>REPRESENTATION TO THE CONTRARY</w:t>
      </w:r>
    </w:p>
    <w:p>
      <w:pPr>
        <w:ind w:left="2540"/>
        <w:spacing w:after="0" w:line="237" w:lineRule="auto"/>
        <w:rPr>
          <w:sz w:val="20"/>
          <w:szCs w:val="20"/>
          <w:color w:val="auto"/>
        </w:rPr>
      </w:pPr>
      <w:r>
        <w:rPr>
          <w:rFonts w:ascii="Courier New" w:cs="Courier New" w:eastAsia="Courier New" w:hAnsi="Courier New"/>
          <w:sz w:val="15"/>
          <w:szCs w:val="15"/>
          <w:color w:val="auto"/>
        </w:rPr>
        <w:t>IS A CRIMINAL OFFENSE.</w:t>
      </w:r>
    </w:p>
    <w:p>
      <w:pPr>
        <w:ind w:left="280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The date of this Prospectus is ___________, 1997.</w:t>
      </w:r>
    </w:p>
    <w:p>
      <w:pPr>
        <w:sectPr>
          <w:pgSz w:w="11900" w:h="16838" w:orient="portrait"/>
          <w:cols w:equalWidth="0" w:num="1">
            <w:col w:w="10239"/>
          </w:cols>
          <w:pgMar w:left="220" w:top="135" w:right="1440" w:bottom="1440" w:gutter="0" w:footer="0" w:header="0"/>
        </w:sectPr>
      </w:pPr>
    </w:p>
    <w:bookmarkStart w:id="2" w:name="page3"/>
    <w:bookmarkEnd w:id="2"/>
    <w:p>
      <w:pPr>
        <w:ind w:right="3319"/>
        <w:spacing w:after="0" w:line="255"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ectPr>
          <w:pgSz w:w="11900" w:h="16838" w:orient="portrait"/>
          <w:cols w:equalWidth="0" w:num="1">
            <w:col w:w="10239"/>
          </w:cols>
          <w:pgMar w:left="220" w:top="455" w:right="1440" w:bottom="1440" w:gutter="0" w:footer="0" w:header="0"/>
        </w:sectPr>
      </w:pPr>
    </w:p>
    <w:bookmarkStart w:id="3" w:name="page4"/>
    <w:bookmarkEnd w:id="3"/>
    <w:p>
      <w:pPr>
        <w:ind w:left="3500"/>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This Prospectus incorporates documents by reference which are not presented herein or delivered herewith. The Company will provide without charge to each person, including each beneficial owner, to whom this Prospectus is delivered, upon the written or oral request of such person, a copy of any or all documents that are incorporated herein by reference (other than exhibits, unless such exhibits are specifically incorporated by reference in such documents). Requests should be directed to Secretary, Schlumberger Limited, 277 Park Avenue, New York, New York 10172-0266, telephone (212) 350-9400. In order to insure timely delivery of the documents, any request should be made by no later than five business days prior to the date on which such person must make a final investment decision.</w:t>
      </w:r>
    </w:p>
    <w:p>
      <w:pPr>
        <w:spacing w:after="0" w:line="174"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AVAILABLE INFORMATION</w:t>
      </w:r>
    </w:p>
    <w:p>
      <w:pPr>
        <w:spacing w:after="0" w:line="173"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The Company is subject to the informational requirements of the Securities Exchange Act of 1934, as amended (the "Exchange Act"), and in accordance therewith, files reports, proxy and information statements and other information with the Securities and Exchange Commission (the "Commission"). Such reports, proxy and information statements and other information filed by the Company can be inspected and copied, at prescribed rates, at the public reference facilities of the Commission at Judiciary Plaza, 450 Fifth Street, N.W., Room 1024, Washington, D.C. 20549, and at the regional offices of the Commission located at Seven World Trade Center, Suite 1300, New York, New York 10048 and 500 West Madison Street, Suite 1400, Chicago, Illinois 60661. Copies of such material may also be obtained, at prescribed rates, by writing to the Public Reference Section of the Commission at Judiciary Plaza, 450 Fifth Street, N.W., Washington, D.C. 20549 or at the worldwide web site maintained by the Commission at "http://www.sec.gov". In addition, the Company's Common Stock is quoted on the New York Stock Exchange. Reports, proxy and information statements and other information concerning the Company can be inspected at the offices of the New York Stock Exchange, 20 Broad Street, New York, New York 10005.</w:t>
      </w:r>
    </w:p>
    <w:p>
      <w:pPr>
        <w:spacing w:after="0" w:line="174" w:lineRule="exact"/>
        <w:rPr>
          <w:sz w:val="20"/>
          <w:szCs w:val="20"/>
          <w:color w:val="auto"/>
        </w:rPr>
      </w:pPr>
    </w:p>
    <w:p>
      <w:pPr>
        <w:ind w:right="3239" w:firstLine="1574"/>
        <w:spacing w:after="0" w:line="237" w:lineRule="auto"/>
        <w:rPr>
          <w:sz w:val="20"/>
          <w:szCs w:val="20"/>
          <w:color w:val="auto"/>
        </w:rPr>
      </w:pPr>
      <w:r>
        <w:rPr>
          <w:rFonts w:ascii="Courier New" w:cs="Courier New" w:eastAsia="Courier New" w:hAnsi="Courier New"/>
          <w:sz w:val="15"/>
          <w:szCs w:val="15"/>
          <w:color w:val="auto"/>
        </w:rPr>
        <w:t>The Company has filed with the Commission a registration statement on Form S-3 (together with all amendments, exhibits and schedules thereto, the "Registration Statement") under the Securities Act of 1933, as amended (the "Securities Act"), with respect to the Common Stock offered hereby. This Prospectus, which constitutes a part of the Registration Statement, does not contain all of the information set forth in the Registration Statement, certain parts of which are omitted in accordance with the rules and regulations of the Commission. For further information with respect to the Company and such Common Stock, reference is made to the Registration Statement. Statements contained in the Prospectus as to the contents of any contract, agreement or other document referred to are not necessarily complete. With respect to each such contract, agreement or other document filed as an exhibit to the Registration Statement, reference is made to the exhibit for a complete description of the matter involved,</w:t>
      </w:r>
    </w:p>
    <w:p>
      <w:pPr>
        <w:sectPr>
          <w:pgSz w:w="11900" w:h="16838" w:orient="portrait"/>
          <w:cols w:equalWidth="0" w:num="1">
            <w:col w:w="10239"/>
          </w:cols>
          <w:pgMar w:left="220" w:top="785" w:right="1440" w:bottom="1440" w:gutter="0" w:footer="0" w:header="0"/>
        </w:sectPr>
      </w:pPr>
    </w:p>
    <w:bookmarkStart w:id="4" w:name="page5"/>
    <w:bookmarkEnd w:id="4"/>
    <w:p>
      <w:pPr>
        <w:ind w:left="3500"/>
        <w:spacing w:after="0"/>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and each such statement shall be deemed qualified in its entirety by such reference to such contract, agreement or other document. The Registration Statement may be inspected without charge at the principal office of the Commission in Washington, D.C. and copies of all or any part thereof may be obtained from the Commission at prescribed rates.</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3" w:lineRule="exact"/>
        <w:rPr>
          <w:sz w:val="20"/>
          <w:szCs w:val="20"/>
          <w:color w:val="auto"/>
        </w:rPr>
      </w:pPr>
    </w:p>
    <w:p>
      <w:pPr>
        <w:ind w:right="3499" w:firstLine="1574"/>
        <w:spacing w:after="0" w:line="235" w:lineRule="auto"/>
        <w:rPr>
          <w:sz w:val="20"/>
          <w:szCs w:val="20"/>
          <w:color w:val="auto"/>
        </w:rPr>
      </w:pPr>
      <w:r>
        <w:rPr>
          <w:rFonts w:ascii="Courier New" w:cs="Courier New" w:eastAsia="Courier New" w:hAnsi="Courier New"/>
          <w:sz w:val="15"/>
          <w:szCs w:val="15"/>
          <w:color w:val="auto"/>
        </w:rPr>
        <w:t>The following documents have been filed with the Commission (Commission file number 1-4601) pursuant to the Exchange Act and are hereby incorporated by reference:</w:t>
      </w:r>
    </w:p>
    <w:p>
      <w:pPr>
        <w:spacing w:after="0" w:line="174" w:lineRule="exact"/>
        <w:rPr>
          <w:sz w:val="20"/>
          <w:szCs w:val="20"/>
          <w:color w:val="auto"/>
        </w:rPr>
      </w:pPr>
    </w:p>
    <w:p>
      <w:pPr>
        <w:ind w:left="1140" w:right="3319" w:hanging="780"/>
        <w:spacing w:after="0" w:line="234" w:lineRule="auto"/>
        <w:tabs>
          <w:tab w:leader="none" w:pos="11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fiscal year ended December 31, 1996;</w:t>
      </w:r>
    </w:p>
    <w:p>
      <w:pPr>
        <w:spacing w:after="0" w:line="173" w:lineRule="exact"/>
        <w:rPr>
          <w:rFonts w:ascii="Courier New" w:cs="Courier New" w:eastAsia="Courier New" w:hAnsi="Courier New"/>
          <w:sz w:val="15"/>
          <w:szCs w:val="15"/>
          <w:color w:val="auto"/>
        </w:rPr>
      </w:pPr>
    </w:p>
    <w:p>
      <w:pPr>
        <w:ind w:left="1140" w:right="3319" w:hanging="780"/>
        <w:spacing w:after="0" w:line="234" w:lineRule="auto"/>
        <w:tabs>
          <w:tab w:leader="none" w:pos="11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 on Form 10-Q for the fiscal quarter ended March 31, 1997;</w:t>
      </w:r>
    </w:p>
    <w:p>
      <w:pPr>
        <w:spacing w:after="0" w:line="173" w:lineRule="exact"/>
        <w:rPr>
          <w:rFonts w:ascii="Courier New" w:cs="Courier New" w:eastAsia="Courier New" w:hAnsi="Courier New"/>
          <w:sz w:val="15"/>
          <w:szCs w:val="15"/>
          <w:color w:val="auto"/>
        </w:rPr>
      </w:pPr>
    </w:p>
    <w:p>
      <w:pPr>
        <w:ind w:left="1140" w:right="3319" w:hanging="780"/>
        <w:spacing w:after="0" w:line="234" w:lineRule="auto"/>
        <w:tabs>
          <w:tab w:leader="none" w:pos="11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 on Form 10-Q for the fiscal quarter ended June 30, 1997; and</w:t>
      </w:r>
    </w:p>
    <w:p>
      <w:pPr>
        <w:spacing w:after="0" w:line="173" w:lineRule="exact"/>
        <w:rPr>
          <w:rFonts w:ascii="Courier New" w:cs="Courier New" w:eastAsia="Courier New" w:hAnsi="Courier New"/>
          <w:sz w:val="15"/>
          <w:szCs w:val="15"/>
          <w:color w:val="auto"/>
        </w:rPr>
      </w:pPr>
    </w:p>
    <w:p>
      <w:pPr>
        <w:ind w:left="1140" w:right="4639" w:hanging="780"/>
        <w:spacing w:after="0" w:line="234" w:lineRule="auto"/>
        <w:tabs>
          <w:tab w:leader="none" w:pos="11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 on Form 10-Q for the fiscal quarter ended September 30, 1997.</w:t>
      </w:r>
    </w:p>
    <w:p>
      <w:pPr>
        <w:spacing w:after="0" w:line="173"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All documents filed by the Company pursuant to Section 13(a), 13(c), 14 or 15(d) of the Exchange Act subsequent to the date of this Prospectus and prior to the termination of the offering of the Common Stock shall be deemed to be incorporated by reference in this Prospectus and to be made a part hereof from their respective dates of filing. Any statement contained in any document incorporated or deemed to be incorporated by reference herein shall be deemed to be modified or superseded for purposes of this Prospectus to the extent that a statement contained herein or in any other subsequently filed document that is also deemed to be incorporated by reference herein modifies or supersedes such statement. Any such statement so modified or superseded shall not be deemed, except as so modified or superseded, to constitute a part of this Prospectus.</w:t>
      </w:r>
    </w:p>
    <w:p>
      <w:pPr>
        <w:sectPr>
          <w:pgSz w:w="11900" w:h="16838" w:orient="portrait"/>
          <w:cols w:equalWidth="0" w:num="1">
            <w:col w:w="10239"/>
          </w:cols>
          <w:pgMar w:left="220" w:top="785" w:right="1440" w:bottom="1440" w:gutter="0" w:footer="0" w:header="0"/>
        </w:sectPr>
      </w:pPr>
    </w:p>
    <w:bookmarkStart w:id="5" w:name="page6"/>
    <w:bookmarkEnd w:id="5"/>
    <w:p>
      <w:pPr>
        <w:jc w:val="center"/>
        <w:ind w:right="3139"/>
        <w:spacing w:after="0"/>
        <w:rPr>
          <w:sz w:val="20"/>
          <w:szCs w:val="20"/>
          <w:color w:val="auto"/>
        </w:rPr>
      </w:pPr>
      <w:r>
        <w:rPr>
          <w:rFonts w:ascii="Courier New" w:cs="Courier New" w:eastAsia="Courier New" w:hAnsi="Courier New"/>
          <w:sz w:val="15"/>
          <w:szCs w:val="15"/>
          <w:color w:val="auto"/>
        </w:rPr>
        <w:t>4</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COMPANY</w:t>
      </w:r>
    </w:p>
    <w:p>
      <w:pPr>
        <w:spacing w:after="0" w:line="173"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The Company, through its subsidiaries, engages in the following businesses: (i) Oilfield Services, offering exploration and production services to the petroleum industry throughout the world in its search for and recovery of oil and gas; (ii) Measurement and Systems, consisting of Resource Management Services, (metering equipment and systems &amp; services) and, Test &amp; Transactions (Electronic Transactions and Automatic Test Equipment), and (iii) Omnes, which, through a joint venture formed with Cable &amp; Wireless plc, provides communications and information technology solutions to oil and gas companies and to companies with operations in remote locations.</w:t>
      </w:r>
    </w:p>
    <w:p>
      <w:pPr>
        <w:spacing w:after="0" w:line="165" w:lineRule="exact"/>
        <w:rPr>
          <w:sz w:val="20"/>
          <w:szCs w:val="20"/>
          <w:color w:val="auto"/>
        </w:rPr>
      </w:pPr>
    </w:p>
    <w:p>
      <w:pPr>
        <w:ind w:right="3319" w:firstLine="1574"/>
        <w:spacing w:after="0" w:line="256" w:lineRule="auto"/>
        <w:rPr>
          <w:sz w:val="20"/>
          <w:szCs w:val="20"/>
          <w:color w:val="auto"/>
        </w:rPr>
      </w:pPr>
      <w:r>
        <w:rPr>
          <w:rFonts w:ascii="Courier New" w:cs="Courier New" w:eastAsia="Courier New" w:hAnsi="Courier New"/>
          <w:sz w:val="14"/>
          <w:szCs w:val="14"/>
          <w:color w:val="auto"/>
        </w:rPr>
        <w:t>The Company is a Netherlands Antilles corporation that was organized in 1956. The Company's principal executive offices are located at 42, rue Saint Dominique, Paris 75007, France, telephone (33-1) 4062-1000; 277 Park Avenue, New York, New York 10172-0266, telephone (212) 350-9400; and Parkstraat 83 2514JG - The Hague, The Netherlands, telephone (31-70) 310-5447.</w:t>
      </w:r>
    </w:p>
    <w:p>
      <w:pPr>
        <w:spacing w:after="0" w:line="15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3399" w:firstLine="1574"/>
        <w:spacing w:after="0" w:line="234" w:lineRule="auto"/>
        <w:rPr>
          <w:sz w:val="20"/>
          <w:szCs w:val="20"/>
          <w:color w:val="auto"/>
        </w:rPr>
      </w:pPr>
      <w:r>
        <w:rPr>
          <w:rFonts w:ascii="Courier New" w:cs="Courier New" w:eastAsia="Courier New" w:hAnsi="Courier New"/>
          <w:sz w:val="15"/>
          <w:szCs w:val="15"/>
          <w:color w:val="auto"/>
        </w:rPr>
        <w:t>The Company will receive no proceeds from the sale of Shares by the Selling Stockholders.</w:t>
      </w:r>
    </w:p>
    <w:p>
      <w:pPr>
        <w:sectPr>
          <w:pgSz w:w="11900" w:h="16838" w:orient="portrait"/>
          <w:cols w:equalWidth="0" w:num="1">
            <w:col w:w="10239"/>
          </w:cols>
          <w:pgMar w:left="220" w:top="785" w:right="1440" w:bottom="1440" w:gutter="0" w:footer="0" w:header="0"/>
        </w:sectPr>
      </w:pPr>
    </w:p>
    <w:bookmarkStart w:id="6" w:name="page7"/>
    <w:bookmarkEnd w:id="6"/>
    <w:p>
      <w:pPr>
        <w:jc w:val="center"/>
        <w:ind w:right="4440"/>
        <w:spacing w:after="0"/>
        <w:rPr>
          <w:sz w:val="20"/>
          <w:szCs w:val="20"/>
          <w:color w:val="auto"/>
        </w:rPr>
      </w:pPr>
      <w:r>
        <w:rPr>
          <w:rFonts w:ascii="Courier New" w:cs="Courier New" w:eastAsia="Courier New" w:hAnsi="Courier New"/>
          <w:sz w:val="15"/>
          <w:szCs w:val="15"/>
          <w:color w:val="auto"/>
        </w:rPr>
        <w:t>5</w:t>
      </w:r>
    </w:p>
    <w:p>
      <w:pPr>
        <w:spacing w:after="0" w:line="166"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SELECTED FINANCIAL DATA</w:t>
      </w:r>
    </w:p>
    <w:p>
      <w:pPr>
        <w:jc w:val="center"/>
        <w:ind w:right="4440"/>
        <w:spacing w:after="0" w:line="237" w:lineRule="auto"/>
        <w:rPr>
          <w:sz w:val="20"/>
          <w:szCs w:val="20"/>
          <w:color w:val="auto"/>
        </w:rPr>
      </w:pPr>
      <w:r>
        <w:rPr>
          <w:rFonts w:ascii="Courier New" w:cs="Courier New" w:eastAsia="Courier New" w:hAnsi="Courier New"/>
          <w:sz w:val="15"/>
          <w:szCs w:val="15"/>
          <w:color w:val="auto"/>
        </w:rPr>
        <w:t>OF SCHLUMBERGER</w:t>
      </w:r>
    </w:p>
    <w:p>
      <w:pPr>
        <w:jc w:val="center"/>
        <w:ind w:right="4440"/>
        <w:spacing w:after="0" w:line="238" w:lineRule="auto"/>
        <w:rPr>
          <w:sz w:val="20"/>
          <w:szCs w:val="20"/>
          <w:color w:val="auto"/>
        </w:rPr>
      </w:pPr>
      <w:r>
        <w:rPr>
          <w:rFonts w:ascii="Courier New" w:cs="Courier New" w:eastAsia="Courier New" w:hAnsi="Courier New"/>
          <w:sz w:val="15"/>
          <w:szCs w:val="15"/>
          <w:color w:val="auto"/>
        </w:rPr>
        <w:t>(In thousands, except per share data)</w:t>
      </w:r>
    </w:p>
    <w:p>
      <w:pPr>
        <w:spacing w:after="0" w:line="173" w:lineRule="exact"/>
        <w:rPr>
          <w:sz w:val="20"/>
          <w:szCs w:val="20"/>
          <w:color w:val="auto"/>
        </w:rPr>
      </w:pPr>
    </w:p>
    <w:p>
      <w:pPr>
        <w:ind w:right="4540" w:firstLine="1574"/>
        <w:spacing w:after="0" w:line="255" w:lineRule="auto"/>
        <w:rPr>
          <w:sz w:val="20"/>
          <w:szCs w:val="20"/>
          <w:color w:val="auto"/>
        </w:rPr>
      </w:pPr>
      <w:r>
        <w:rPr>
          <w:rFonts w:ascii="Courier New" w:cs="Courier New" w:eastAsia="Courier New" w:hAnsi="Courier New"/>
          <w:sz w:val="14"/>
          <w:szCs w:val="14"/>
          <w:color w:val="auto"/>
        </w:rPr>
        <w:t>The selected consolidated financial data in the table below as of and for each of the years in the five-year period ended December 31, 1996 have been derived from audited consolidated financial statements of Schlumberger previously filed with the Commission. The income statement and balance sheet information for Schlumberger as of and for the nine months ended September 30, 1996 and 1997 is unaudited, but in the opinion of Schlumberger management reflects all adjustments necessary for a fair presentation of such data. The results of operations for any interim period are not necessarily indicative of results of operations for the fiscal year. The following information should be read in conjunction with the consolidated financial statements and related notes of Schlumberger included, or incorporated by reference, in its periodic reports filed under the Exchange Act that are incorporated by reference herein. See "Incorporation of Certain Documents by Reference."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2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2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80" w:type="dxa"/>
            <w:vAlign w:val="bottom"/>
            <w:gridSpan w:val="2"/>
          </w:tcPr>
          <w:p>
            <w:pPr>
              <w:jc w:val="right"/>
              <w:ind w:right="787"/>
              <w:spacing w:after="0" w:line="168" w:lineRule="exact"/>
              <w:rPr>
                <w:sz w:val="20"/>
                <w:szCs w:val="20"/>
                <w:color w:val="auto"/>
              </w:rPr>
            </w:pPr>
            <w:r>
              <w:rPr>
                <w:rFonts w:ascii="Courier New" w:cs="Courier New" w:eastAsia="Courier New" w:hAnsi="Courier New"/>
                <w:sz w:val="15"/>
                <w:szCs w:val="15"/>
                <w:color w:val="auto"/>
                <w:w w:val="96"/>
              </w:rPr>
              <w:t>Year Ended December 31,</w:t>
            </w:r>
          </w:p>
        </w:tc>
        <w:tc>
          <w:tcPr>
            <w:tcW w:w="1320" w:type="dxa"/>
            <w:vAlign w:val="bottom"/>
          </w:tcPr>
          <w:p>
            <w:pPr>
              <w:spacing w:after="0"/>
              <w:rPr>
                <w:sz w:val="14"/>
                <w:szCs w:val="14"/>
                <w:color w:val="auto"/>
              </w:rPr>
            </w:pPr>
          </w:p>
        </w:tc>
        <w:tc>
          <w:tcPr>
            <w:tcW w:w="25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336"/>
        </w:trPr>
        <w:tc>
          <w:tcPr>
            <w:tcW w:w="2320" w:type="dxa"/>
            <w:vAlign w:val="bottom"/>
          </w:tcPr>
          <w:p>
            <w:pPr>
              <w:spacing w:after="0"/>
              <w:rPr>
                <w:sz w:val="24"/>
                <w:szCs w:val="24"/>
                <w:color w:val="auto"/>
              </w:rPr>
            </w:pPr>
          </w:p>
        </w:tc>
        <w:tc>
          <w:tcPr>
            <w:tcW w:w="118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1992</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1993</w:t>
            </w:r>
          </w:p>
        </w:tc>
        <w:tc>
          <w:tcPr>
            <w:tcW w:w="15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1994</w:t>
            </w:r>
          </w:p>
        </w:tc>
        <w:tc>
          <w:tcPr>
            <w:tcW w:w="1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112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1997</w:t>
            </w:r>
          </w:p>
        </w:tc>
      </w:tr>
      <w:tr>
        <w:trPr>
          <w:trHeight w:val="168"/>
        </w:trPr>
        <w:tc>
          <w:tcPr>
            <w:tcW w:w="2320" w:type="dxa"/>
            <w:vAlign w:val="bottom"/>
          </w:tcPr>
          <w:p>
            <w:pPr>
              <w:spacing w:after="0"/>
              <w:rPr>
                <w:sz w:val="14"/>
                <w:szCs w:val="14"/>
                <w:color w:val="auto"/>
              </w:rPr>
            </w:pPr>
          </w:p>
        </w:tc>
        <w:tc>
          <w:tcPr>
            <w:tcW w:w="11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320" w:type="dxa"/>
            <w:vAlign w:val="bottom"/>
          </w:tcPr>
          <w:p>
            <w:pPr>
              <w:spacing w:after="0"/>
              <w:rPr>
                <w:sz w:val="20"/>
                <w:szCs w:val="20"/>
                <w:color w:val="auto"/>
              </w:rPr>
            </w:pPr>
            <w:r>
              <w:rPr>
                <w:rFonts w:ascii="Courier New" w:cs="Courier New" w:eastAsia="Courier New" w:hAnsi="Courier New"/>
                <w:sz w:val="15"/>
                <w:szCs w:val="15"/>
                <w:color w:val="auto"/>
              </w:rPr>
              <w:t>Selected Consolidated</w:t>
            </w: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Data:</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revenue</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$6,454,998</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$6,804,267</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$6,780,743</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$7,713,230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$9,025,665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$6,492,000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$7,812,638</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expenses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5,793,395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6,221,504</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6,244,666</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7,064,073</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8,174,182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5,895,580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6,889,620</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661,603</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582,763(1)</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536,077</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649,157</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851,483</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596,420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923,018</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per share-- (2)</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$1.38</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$1.20(1)</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$1.33</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declared</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8"/>
        </w:trPr>
        <w:tc>
          <w:tcPr>
            <w:tcW w:w="2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share-- (2)</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$0.60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$0.60</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$0.71</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$0.75</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$0.56</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2160" w:type="dxa"/>
            <w:vAlign w:val="bottom"/>
          </w:tcPr>
          <w:p>
            <w:pPr>
              <w:spacing w:after="0"/>
              <w:rPr>
                <w:sz w:val="14"/>
                <w:szCs w:val="14"/>
                <w:color w:val="auto"/>
              </w:rPr>
            </w:pP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1992</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1993</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2160" w:type="dxa"/>
            <w:vAlign w:val="bottom"/>
          </w:tcPr>
          <w:p>
            <w:pPr>
              <w:spacing w:after="0"/>
              <w:rPr>
                <w:sz w:val="14"/>
                <w:szCs w:val="14"/>
                <w:color w:val="auto"/>
              </w:rPr>
            </w:pP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Selected Consolidated</w:t>
            </w: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w:t>
            </w:r>
          </w:p>
        </w:tc>
        <w:tc>
          <w:tcPr>
            <w:tcW w:w="1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$7,006,705</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$7,916,947</w:t>
            </w:r>
          </w:p>
        </w:tc>
        <w:tc>
          <w:tcPr>
            <w:tcW w:w="16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$8,322,099</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$8,910,100</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$10,325,051</w:t>
            </w: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$9,772,739</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$11,503,447</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374,336</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446,942</w:t>
            </w:r>
          </w:p>
        </w:tc>
        <w:tc>
          <w:tcPr>
            <w:tcW w:w="16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394,167</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613,404</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637,203</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613,613</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856,627</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4,230,806</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4,406,340</w:t>
            </w:r>
          </w:p>
        </w:tc>
        <w:tc>
          <w:tcPr>
            <w:tcW w:w="16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4,582,954</w:t>
            </w:r>
          </w:p>
        </w:tc>
        <w:tc>
          <w:tcPr>
            <w:tcW w:w="11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4,964,017</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5,626,380</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5,422,555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6,366,851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0" w:right="600" w:hanging="790"/>
        <w:spacing w:after="0" w:line="234" w:lineRule="auto"/>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from continuing operations excludes the cumulative effect of a change in accounting principle related to post retirement benefits which resulted in a charge of $248 million ($0.51 per share).</w:t>
      </w:r>
    </w:p>
    <w:p>
      <w:pPr>
        <w:ind w:left="800" w:hanging="790"/>
        <w:spacing w:after="0" w:line="237" w:lineRule="auto"/>
        <w:tabs>
          <w:tab w:leader="none" w:pos="8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for two-for-one stock split on June 2, 1997.</w:t>
      </w:r>
    </w:p>
    <w:p>
      <w:pPr>
        <w:sectPr>
          <w:pgSz w:w="11900" w:h="16838" w:orient="portrait"/>
          <w:cols w:equalWidth="0" w:num="1">
            <w:col w:w="11540"/>
          </w:cols>
          <w:pgMar w:left="220" w:top="785" w:right="139" w:bottom="1440" w:gutter="0" w:footer="0" w:header="0"/>
        </w:sectPr>
      </w:pPr>
    </w:p>
    <w:bookmarkStart w:id="7" w:name="page8"/>
    <w:bookmarkEnd w:id="7"/>
    <w:p>
      <w:pPr>
        <w:jc w:val="center"/>
        <w:ind w:right="3840"/>
        <w:spacing w:after="0"/>
        <w:rPr>
          <w:sz w:val="20"/>
          <w:szCs w:val="20"/>
          <w:color w:val="auto"/>
        </w:rPr>
      </w:pPr>
      <w:r>
        <w:rPr>
          <w:rFonts w:ascii="Courier New" w:cs="Courier New" w:eastAsia="Courier New" w:hAnsi="Courier New"/>
          <w:sz w:val="15"/>
          <w:szCs w:val="15"/>
          <w:color w:val="auto"/>
        </w:rPr>
        <w:t>6</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SELLING STOCKHOLDERS</w:t>
      </w:r>
    </w:p>
    <w:p>
      <w:pPr>
        <w:spacing w:after="0" w:line="173" w:lineRule="exact"/>
        <w:rPr>
          <w:sz w:val="20"/>
          <w:szCs w:val="20"/>
          <w:color w:val="auto"/>
        </w:rPr>
      </w:pPr>
    </w:p>
    <w:p>
      <w:pPr>
        <w:ind w:right="3940" w:firstLine="1574"/>
        <w:spacing w:after="0" w:line="255" w:lineRule="auto"/>
        <w:rPr>
          <w:sz w:val="20"/>
          <w:szCs w:val="20"/>
          <w:color w:val="auto"/>
        </w:rPr>
      </w:pPr>
      <w:r>
        <w:rPr>
          <w:rFonts w:ascii="Courier New" w:cs="Courier New" w:eastAsia="Courier New" w:hAnsi="Courier New"/>
          <w:sz w:val="14"/>
          <w:szCs w:val="14"/>
          <w:color w:val="auto"/>
        </w:rPr>
        <w:t>This Prospectus covers the offer and sale by each Selling Stockholder of Common Stock owned by such Selling Stockholder. Set forth below are the names of each Selling Stockholder, (none of whom held any position, office or other material relationship within the past three years with the Company or any of its predecessors or affiliates), the number of Shares beneficially owned by each Selling Stockholder, the number of Shares that may be offered and sold by or on behalf of each Selling Stockholder hereunder and the amount of Shares to be owned by each Selling Stockholder upon the completion of the Offering if all Shares offered by such Selling Stockholder are sold. Any or all of the Shares listed below under the heading "Shares to be Sold" may be offered for sale by or on behalf of the Selling Stockholders.</w:t>
      </w:r>
    </w:p>
    <w:p>
      <w:pPr>
        <w:spacing w:after="0" w:line="165" w:lineRule="exact"/>
        <w:rPr>
          <w:sz w:val="20"/>
          <w:szCs w:val="20"/>
          <w:color w:val="auto"/>
        </w:rPr>
      </w:pPr>
    </w:p>
    <w:p>
      <w:pPr>
        <w:ind w:right="4280" w:firstLine="1574"/>
        <w:spacing w:after="0" w:line="234" w:lineRule="auto"/>
        <w:rPr>
          <w:sz w:val="20"/>
          <w:szCs w:val="20"/>
          <w:color w:val="auto"/>
        </w:rPr>
      </w:pPr>
      <w:r>
        <w:rPr>
          <w:rFonts w:ascii="Courier New" w:cs="Courier New" w:eastAsia="Courier New" w:hAnsi="Courier New"/>
          <w:sz w:val="15"/>
          <w:szCs w:val="15"/>
          <w:color w:val="auto"/>
        </w:rPr>
        <w:t>Each of the Selling Stockholders listed below acquired the Shares hereby offered for sale in the Merger on October 29, 1997.</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Shares Beneficially</w:t>
            </w: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20" w:type="dxa"/>
            <w:vAlign w:val="bottom"/>
          </w:tcPr>
          <w:p>
            <w:pPr>
              <w:spacing w:after="0"/>
              <w:rPr>
                <w:sz w:val="14"/>
                <w:szCs w:val="14"/>
                <w:color w:val="auto"/>
              </w:rPr>
            </w:pPr>
          </w:p>
        </w:tc>
        <w:tc>
          <w:tcPr>
            <w:tcW w:w="24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Owned Prior to</w:t>
            </w:r>
          </w:p>
        </w:tc>
        <w:tc>
          <w:tcPr>
            <w:tcW w:w="1660" w:type="dxa"/>
            <w:vAlign w:val="bottom"/>
          </w:tcPr>
          <w:p>
            <w:pPr>
              <w:spacing w:after="0"/>
              <w:rPr>
                <w:sz w:val="14"/>
                <w:szCs w:val="14"/>
                <w:color w:val="auto"/>
              </w:rPr>
            </w:pPr>
          </w:p>
        </w:tc>
        <w:tc>
          <w:tcPr>
            <w:tcW w:w="2440" w:type="dxa"/>
            <w:vAlign w:val="bottom"/>
            <w:gridSpan w:val="2"/>
          </w:tcPr>
          <w:p>
            <w:pPr>
              <w:ind w:left="520"/>
              <w:spacing w:after="0" w:line="168" w:lineRule="exact"/>
              <w:rPr>
                <w:sz w:val="20"/>
                <w:szCs w:val="20"/>
                <w:color w:val="auto"/>
              </w:rPr>
            </w:pPr>
            <w:r>
              <w:rPr>
                <w:rFonts w:ascii="Courier New" w:cs="Courier New" w:eastAsia="Courier New" w:hAnsi="Courier New"/>
                <w:sz w:val="15"/>
                <w:szCs w:val="15"/>
                <w:color w:val="auto"/>
              </w:rPr>
              <w:t>Shares Beneficially</w:t>
            </w:r>
          </w:p>
        </w:tc>
      </w:tr>
      <w:tr>
        <w:trPr>
          <w:trHeight w:val="168"/>
        </w:trPr>
        <w:tc>
          <w:tcPr>
            <w:tcW w:w="4420" w:type="dxa"/>
            <w:vAlign w:val="bottom"/>
          </w:tcPr>
          <w:p>
            <w:pPr>
              <w:spacing w:after="0"/>
              <w:rPr>
                <w:sz w:val="14"/>
                <w:szCs w:val="14"/>
                <w:color w:val="auto"/>
              </w:rPr>
            </w:pPr>
          </w:p>
        </w:tc>
        <w:tc>
          <w:tcPr>
            <w:tcW w:w="242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Offering</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Shares</w:t>
            </w:r>
          </w:p>
        </w:tc>
        <w:tc>
          <w:tcPr>
            <w:tcW w:w="2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Owned After Offering</w:t>
            </w:r>
          </w:p>
        </w:tc>
      </w:tr>
      <w:tr>
        <w:trPr>
          <w:trHeight w:val="336"/>
        </w:trPr>
        <w:tc>
          <w:tcPr>
            <w:tcW w:w="4420" w:type="dxa"/>
            <w:vAlign w:val="bottom"/>
          </w:tcPr>
          <w:p>
            <w:pPr>
              <w:ind w:left="1240"/>
              <w:spacing w:after="0"/>
              <w:rPr>
                <w:sz w:val="20"/>
                <w:szCs w:val="20"/>
                <w:color w:val="auto"/>
              </w:rPr>
            </w:pPr>
            <w:r>
              <w:rPr>
                <w:rFonts w:ascii="Courier New" w:cs="Courier New" w:eastAsia="Courier New" w:hAnsi="Courier New"/>
                <w:sz w:val="15"/>
                <w:szCs w:val="15"/>
                <w:color w:val="auto"/>
              </w:rPr>
              <w:t>Selling Stockholders</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Number</w:t>
            </w:r>
          </w:p>
        </w:tc>
        <w:tc>
          <w:tcPr>
            <w:tcW w:w="11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Percent</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to be Sold</w:t>
            </w:r>
          </w:p>
        </w:tc>
        <w:tc>
          <w:tcPr>
            <w:tcW w:w="1300" w:type="dxa"/>
            <w:vAlign w:val="bottom"/>
          </w:tcPr>
          <w:p>
            <w:pPr>
              <w:ind w:left="260"/>
              <w:spacing w:after="0"/>
              <w:rPr>
                <w:sz w:val="20"/>
                <w:szCs w:val="20"/>
                <w:color w:val="auto"/>
              </w:rPr>
            </w:pPr>
            <w:r>
              <w:rPr>
                <w:rFonts w:ascii="Courier New" w:cs="Courier New" w:eastAsia="Courier New" w:hAnsi="Courier New"/>
                <w:sz w:val="15"/>
                <w:szCs w:val="15"/>
                <w:color w:val="auto"/>
              </w:rPr>
              <w:t>Number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r>
      <w:tr>
        <w:trPr>
          <w:trHeight w:val="505"/>
        </w:trPr>
        <w:tc>
          <w:tcPr>
            <w:tcW w:w="4420" w:type="dxa"/>
            <w:vAlign w:val="bottom"/>
          </w:tcPr>
          <w:p>
            <w:pPr>
              <w:spacing w:after="0"/>
              <w:rPr>
                <w:sz w:val="20"/>
                <w:szCs w:val="20"/>
                <w:color w:val="auto"/>
              </w:rPr>
            </w:pPr>
            <w:r>
              <w:rPr>
                <w:rFonts w:ascii="Courier New" w:cs="Courier New" w:eastAsia="Courier New" w:hAnsi="Courier New"/>
                <w:sz w:val="15"/>
                <w:szCs w:val="15"/>
                <w:color w:val="auto"/>
              </w:rPr>
              <w:t>Tumer Revis (1).................................</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214</w:t>
            </w: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214</w:t>
            </w:r>
          </w:p>
        </w:tc>
        <w:tc>
          <w:tcPr>
            <w:tcW w:w="1300" w:type="dxa"/>
            <w:vAlign w:val="bottom"/>
          </w:tcPr>
          <w:p>
            <w:pPr>
              <w:ind w:left="520"/>
              <w:spacing w:after="0"/>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Reprise Holdings (1)...........................</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Charles River Partnership V (1).................</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7,906</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7,906</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Venture Founders Capital</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Limited Partnership (1)....................</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20,134</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20,134</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MD. Co..........................................</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115,850</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115,850</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Stage Capital Limited Partnership (1).....</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36,167</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36,167</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Zero Stage Capital (1)..........................</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579</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579</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Zero Stage Capital V Limited</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Partnership (1)..............................</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6,537</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6,537</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Massachusetts Technology</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Development Co.............................</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29,137</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29,137</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MTDC/Commonwealth Fund..........................</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9,075</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9,075</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PRIT Fund.......................................</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639</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639</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MTDC/Banc Boston Investment, Inc................</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1,582</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1,582</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MTDC/Fleet Growth Resources, Inc................</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1,582</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1,582</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Golden Gate Development and</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Investment Ltd Partners (1)................</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3,975</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3,975</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 Yansen...................................</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Thorlief Knutrud................................</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Eutimio Saporetti...............................</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Hans Bengtsson..................................</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Charles C. Evans................................</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Barry Feldman...................................</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Daniel J. Stevens...............................</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3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940"/>
          </w:cols>
          <w:pgMar w:left="220" w:top="785" w:right="7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2540" w:type="dxa"/>
            <w:vAlign w:val="bottom"/>
          </w:tcPr>
          <w:p>
            <w:pPr>
              <w:jc w:val="right"/>
              <w:ind w:right="2367"/>
              <w:spacing w:after="0"/>
              <w:rPr>
                <w:sz w:val="20"/>
                <w:szCs w:val="20"/>
                <w:color w:val="auto"/>
              </w:rPr>
            </w:pPr>
            <w:r>
              <w:rPr>
                <w:rFonts w:ascii="Courier New" w:cs="Courier New" w:eastAsia="Courier New" w:hAnsi="Courier New"/>
                <w:sz w:val="15"/>
                <w:szCs w:val="15"/>
                <w:color w:val="auto"/>
                <w:w w:val="88"/>
              </w:rPr>
              <w:t>7</w:t>
            </w:r>
          </w:p>
        </w:tc>
        <w:tc>
          <w:tcPr>
            <w:tcW w:w="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3500" w:type="dxa"/>
            <w:vAlign w:val="bottom"/>
          </w:tcPr>
          <w:p>
            <w:pPr>
              <w:spacing w:after="0"/>
              <w:rPr>
                <w:sz w:val="24"/>
                <w:szCs w:val="24"/>
                <w:color w:val="auto"/>
              </w:rPr>
            </w:pPr>
          </w:p>
        </w:tc>
        <w:tc>
          <w:tcPr>
            <w:tcW w:w="33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Shares Beneficially</w:t>
            </w: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500" w:type="dxa"/>
            <w:vAlign w:val="bottom"/>
          </w:tcPr>
          <w:p>
            <w:pPr>
              <w:spacing w:after="0"/>
              <w:rPr>
                <w:sz w:val="14"/>
                <w:szCs w:val="14"/>
                <w:color w:val="auto"/>
              </w:rPr>
            </w:pPr>
          </w:p>
        </w:tc>
        <w:tc>
          <w:tcPr>
            <w:tcW w:w="33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Owned Prior to</w:t>
            </w:r>
          </w:p>
        </w:tc>
        <w:tc>
          <w:tcPr>
            <w:tcW w:w="1700" w:type="dxa"/>
            <w:vAlign w:val="bottom"/>
          </w:tcPr>
          <w:p>
            <w:pPr>
              <w:spacing w:after="0"/>
              <w:rPr>
                <w:sz w:val="14"/>
                <w:szCs w:val="14"/>
                <w:color w:val="auto"/>
              </w:rPr>
            </w:pPr>
          </w:p>
        </w:tc>
        <w:tc>
          <w:tcPr>
            <w:tcW w:w="21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95"/>
              </w:rPr>
              <w:t>Shares Beneficially</w:t>
            </w:r>
          </w:p>
        </w:tc>
      </w:tr>
      <w:tr>
        <w:trPr>
          <w:trHeight w:val="168"/>
        </w:trPr>
        <w:tc>
          <w:tcPr>
            <w:tcW w:w="3500" w:type="dxa"/>
            <w:vAlign w:val="bottom"/>
          </w:tcPr>
          <w:p>
            <w:pPr>
              <w:spacing w:after="0"/>
              <w:rPr>
                <w:sz w:val="14"/>
                <w:szCs w:val="14"/>
                <w:color w:val="auto"/>
              </w:rPr>
            </w:pPr>
          </w:p>
        </w:tc>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Offering</w:t>
            </w:r>
          </w:p>
        </w:tc>
        <w:tc>
          <w:tcPr>
            <w:tcW w:w="840" w:type="dxa"/>
            <w:vAlign w:val="bottom"/>
          </w:tcPr>
          <w:p>
            <w:pPr>
              <w:spacing w:after="0"/>
              <w:rPr>
                <w:sz w:val="14"/>
                <w:szCs w:val="14"/>
                <w:color w:val="auto"/>
              </w:rPr>
            </w:pP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Shares</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Owned After Offering</w:t>
            </w:r>
          </w:p>
        </w:tc>
      </w:tr>
      <w:tr>
        <w:trPr>
          <w:trHeight w:val="505"/>
        </w:trPr>
        <w:tc>
          <w:tcPr>
            <w:tcW w:w="3500" w:type="dxa"/>
            <w:vAlign w:val="bottom"/>
          </w:tcPr>
          <w:p>
            <w:pPr>
              <w:spacing w:after="0"/>
              <w:rPr>
                <w:sz w:val="20"/>
                <w:szCs w:val="20"/>
                <w:color w:val="auto"/>
              </w:rPr>
            </w:pPr>
            <w:r>
              <w:rPr>
                <w:rFonts w:ascii="Courier New" w:cs="Courier New" w:eastAsia="Courier New" w:hAnsi="Courier New"/>
                <w:sz w:val="15"/>
                <w:szCs w:val="15"/>
                <w:color w:val="auto"/>
                <w:w w:val="80"/>
              </w:rPr>
              <w:t>Hans F. Hoyer...................................</w:t>
            </w:r>
          </w:p>
        </w:tc>
        <w:tc>
          <w:tcPr>
            <w:tcW w:w="25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1,903</w:t>
            </w:r>
          </w:p>
        </w:tc>
        <w:tc>
          <w:tcPr>
            <w:tcW w:w="8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1,903</w:t>
            </w:r>
          </w:p>
        </w:tc>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80"/>
              </w:rPr>
              <w:t>Robert Van Dyke.................................</w:t>
            </w:r>
          </w:p>
        </w:tc>
        <w:tc>
          <w:tcPr>
            <w:tcW w:w="25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w:t>
            </w:r>
          </w:p>
        </w:tc>
        <w:tc>
          <w:tcPr>
            <w:tcW w:w="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80"/>
              </w:rPr>
              <w:t>Todd J. Rhodes..................................</w:t>
            </w:r>
          </w:p>
        </w:tc>
        <w:tc>
          <w:tcPr>
            <w:tcW w:w="25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71</w:t>
            </w:r>
          </w:p>
        </w:tc>
        <w:tc>
          <w:tcPr>
            <w:tcW w:w="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80"/>
              </w:rPr>
              <w:t>Robert J. Ventura...............................</w:t>
            </w:r>
          </w:p>
        </w:tc>
        <w:tc>
          <w:tcPr>
            <w:tcW w:w="25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w:t>
            </w:r>
          </w:p>
        </w:tc>
        <w:tc>
          <w:tcPr>
            <w:tcW w:w="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80"/>
              </w:rPr>
              <w:t>Angstrom Measurements, Inc......................</w:t>
            </w:r>
          </w:p>
        </w:tc>
        <w:tc>
          <w:tcPr>
            <w:tcW w:w="25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3,194</w:t>
            </w:r>
          </w:p>
        </w:tc>
        <w:tc>
          <w:tcPr>
            <w:tcW w:w="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3,194</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w w:val="80"/>
              </w:rPr>
              <w:t>Michael A. Ward.................................</w:t>
            </w:r>
          </w:p>
        </w:tc>
        <w:tc>
          <w:tcPr>
            <w:tcW w:w="25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14</w:t>
            </w:r>
          </w:p>
        </w:tc>
        <w:tc>
          <w:tcPr>
            <w:tcW w:w="8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220"/>
        <w:spacing w:after="0" w:line="234" w:lineRule="auto"/>
        <w:rPr>
          <w:sz w:val="20"/>
          <w:szCs w:val="20"/>
          <w:color w:val="auto"/>
        </w:rPr>
      </w:pPr>
      <w:r>
        <w:rPr>
          <w:rFonts w:ascii="Courier New" w:cs="Courier New" w:eastAsia="Courier New" w:hAnsi="Courier New"/>
          <w:sz w:val="15"/>
          <w:szCs w:val="15"/>
          <w:color w:val="auto"/>
        </w:rPr>
        <w:t>*The percentage of Shares beneficially owned does not exceed one percent of the outstanding shares of Common Stock.</w:t>
      </w:r>
    </w:p>
    <w:p>
      <w:pPr>
        <w:spacing w:after="0" w:line="173" w:lineRule="exact"/>
        <w:rPr>
          <w:sz w:val="20"/>
          <w:szCs w:val="20"/>
          <w:color w:val="auto"/>
        </w:rPr>
      </w:pPr>
    </w:p>
    <w:p>
      <w:pPr>
        <w:ind w:right="520" w:firstLine="10"/>
        <w:spacing w:after="0" w:line="258" w:lineRule="auto"/>
        <w:tabs>
          <w:tab w:leader="none" w:pos="35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of the Selling Stockholders are partnerships or limited partnerships and may distribute all or a portion of the Shares to their partners or limited partners, as the case may be. Such partners or limited partners shall be deemed Selling Stockholders for the purpose of sale of Shares pursuant to this Registration Statement.</w:t>
      </w:r>
    </w:p>
    <w:p>
      <w:pPr>
        <w:sectPr>
          <w:pgSz w:w="11900" w:h="16838" w:orient="portrait"/>
          <w:cols w:equalWidth="0" w:num="1">
            <w:col w:w="10680"/>
          </w:cols>
          <w:pgMar w:left="220" w:top="785" w:right="999" w:bottom="1440" w:gutter="0" w:footer="0" w:header="0"/>
        </w:sectPr>
      </w:pPr>
    </w:p>
    <w:bookmarkStart w:id="9" w:name="page10"/>
    <w:bookmarkEnd w:id="9"/>
    <w:p>
      <w:pPr>
        <w:jc w:val="center"/>
        <w:ind w:right="3139"/>
        <w:spacing w:after="0"/>
        <w:rPr>
          <w:sz w:val="20"/>
          <w:szCs w:val="20"/>
          <w:color w:val="auto"/>
        </w:rPr>
      </w:pPr>
      <w:r>
        <w:rPr>
          <w:rFonts w:ascii="Courier New" w:cs="Courier New" w:eastAsia="Courier New" w:hAnsi="Courier New"/>
          <w:sz w:val="15"/>
          <w:szCs w:val="15"/>
          <w:color w:val="auto"/>
        </w:rPr>
        <w:t>8</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PLAN OF DISTRIBUTION</w:t>
      </w:r>
    </w:p>
    <w:p>
      <w:pPr>
        <w:spacing w:after="0" w:line="173"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The Selling Stockholders have provided the Company with the following information concerning the reoffer and resale of the Shares. Sales of the Shares by the Selling Stockholders may be made from time to time in one or more transactions, including block transactions, on the NYSE or any other exchange or quotation system on which the Shares may be listed or quoted pursuant to and in accordance with the applicable rules of the exchanges, or in the over the counter market, in negotiated transactions or in a combination of any such methods of sale, at fixed prices that may be changed, at market prices prevailing at the time of sale, at prices related to such prevailing market prices or at negotiated prices. The Shares may be offered directly, by any bona fide pledgee, to or through agents designated from time to time, or to or through brokers or dealers, or through any combination of these methods of sale. Such agents, brokers or dealers may receive compensation in the form of discounts, concessions or commissions from the Selling Stockholders and/or the purchasers of the Shares for whom such broker-dealer may act as agents or to whom they sell as principals, or both (which compensation as to a particular broker-dealer might be in excess of customary commissions). A member firm of an exchange may be engaged to act as an agent in the sale of Shares by the Selling Stockholders. The aggregate net proceeds to the Selling Stockholders from the sale of the Shares offered by the Selling Stockholders hereby will be the purchase price of such Shares, less any commissions, if any, and other expenses of issuance and distribution not borne by the Company.</w:t>
      </w:r>
    </w:p>
    <w:p>
      <w:pPr>
        <w:spacing w:after="0" w:line="344" w:lineRule="exact"/>
        <w:rPr>
          <w:sz w:val="20"/>
          <w:szCs w:val="20"/>
          <w:color w:val="auto"/>
        </w:rPr>
      </w:pPr>
    </w:p>
    <w:p>
      <w:pPr>
        <w:ind w:right="3239" w:firstLine="1574"/>
        <w:spacing w:after="0" w:line="237" w:lineRule="auto"/>
        <w:rPr>
          <w:sz w:val="20"/>
          <w:szCs w:val="20"/>
          <w:color w:val="auto"/>
        </w:rPr>
      </w:pPr>
      <w:r>
        <w:rPr>
          <w:rFonts w:ascii="Courier New" w:cs="Courier New" w:eastAsia="Courier New" w:hAnsi="Courier New"/>
          <w:sz w:val="15"/>
          <w:szCs w:val="15"/>
          <w:color w:val="auto"/>
        </w:rPr>
        <w:t>Any Selling Stockholder may pledge all or a part of the Shares held by such Selling Stockholder to one or more banks or brokerage houses as collateral for loans to such Selling Stockholder. In the event of a default under a loan to a Selling Stockholder, which loan is secured by the pledge of Shares the resale of which is registered hereby, the lender will have the ability to cause such Selling Stockholder to sell such Shares pursuant to the registration statement of which this Prospectus forms a part. The Shares may be sold from time to time to purchasers directly by the Selling Stockholder at the direction of such lender or lenders or otherwise. Alternatively, the Selling Stockholders, at the direction of such lender or lenders or otherwise, may from time to time offer the Shares through dealers or agents who may receive compensation as described above.</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The Selling Stockholders and any brokers, dealers or agents that participate with the Selling Stockholders in the distribution of Shares may be deemed to be "underwriters" within the meaning of the Securities Act, in which event any concessions and commissions received by such brokers, dealers or agents and any profit on the resale of the Shares purchased by them may be deemed to be commissions under the Securities Act.</w:t>
      </w:r>
    </w:p>
    <w:p>
      <w:pPr>
        <w:sectPr>
          <w:pgSz w:w="11900" w:h="16838" w:orient="portrait"/>
          <w:cols w:equalWidth="0" w:num="1">
            <w:col w:w="10239"/>
          </w:cols>
          <w:pgMar w:left="220" w:top="785" w:right="1440" w:bottom="1440" w:gutter="0" w:footer="0" w:header="0"/>
        </w:sectPr>
      </w:pPr>
    </w:p>
    <w:bookmarkStart w:id="10" w:name="page11"/>
    <w:bookmarkEnd w:id="10"/>
    <w:p>
      <w:pPr>
        <w:ind w:left="350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jc w:val="both"/>
        <w:ind w:right="3319" w:firstLine="1574"/>
        <w:spacing w:after="0" w:line="235" w:lineRule="auto"/>
        <w:rPr>
          <w:sz w:val="20"/>
          <w:szCs w:val="20"/>
          <w:color w:val="auto"/>
        </w:rPr>
      </w:pPr>
      <w:r>
        <w:rPr>
          <w:rFonts w:ascii="Courier New" w:cs="Courier New" w:eastAsia="Courier New" w:hAnsi="Courier New"/>
          <w:sz w:val="15"/>
          <w:szCs w:val="15"/>
          <w:color w:val="auto"/>
        </w:rPr>
        <w:t>The Company has agreed to bear all reasonable expenses (other than any commissions or discounts of dealers or agents or brokers' fees and the fees and expenses of their counsel) in connection with the registration of the Shares being offered by the Selling Stockholders hereby.</w:t>
      </w:r>
    </w:p>
    <w:p>
      <w:pPr>
        <w:spacing w:after="0" w:line="175" w:lineRule="exact"/>
        <w:rPr>
          <w:sz w:val="20"/>
          <w:szCs w:val="20"/>
          <w:color w:val="auto"/>
        </w:rPr>
      </w:pPr>
    </w:p>
    <w:p>
      <w:pPr>
        <w:ind w:right="3239" w:firstLine="1574"/>
        <w:spacing w:after="0" w:line="261" w:lineRule="auto"/>
        <w:rPr>
          <w:sz w:val="20"/>
          <w:szCs w:val="20"/>
          <w:color w:val="auto"/>
        </w:rPr>
      </w:pPr>
      <w:r>
        <w:rPr>
          <w:rFonts w:ascii="Courier New" w:cs="Courier New" w:eastAsia="Courier New" w:hAnsi="Courier New"/>
          <w:sz w:val="14"/>
          <w:szCs w:val="14"/>
          <w:color w:val="auto"/>
        </w:rPr>
        <w:t>No broker, dealer or agent has been engaged by the Company in connection with the distribution of the Shares to which this Prospectus relates.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3" w:lineRule="exact"/>
        <w:rPr>
          <w:sz w:val="20"/>
          <w:szCs w:val="20"/>
          <w:color w:val="auto"/>
        </w:rPr>
      </w:pPr>
    </w:p>
    <w:p>
      <w:pPr>
        <w:ind w:right="3759" w:firstLine="1574"/>
        <w:spacing w:after="0" w:line="234" w:lineRule="auto"/>
        <w:rPr>
          <w:sz w:val="20"/>
          <w:szCs w:val="20"/>
          <w:color w:val="auto"/>
        </w:rPr>
      </w:pPr>
      <w:r>
        <w:rPr>
          <w:rFonts w:ascii="Courier New" w:cs="Courier New" w:eastAsia="Courier New" w:hAnsi="Courier New"/>
          <w:sz w:val="15"/>
          <w:szCs w:val="15"/>
          <w:color w:val="auto"/>
        </w:rPr>
        <w:t>The transfer agent and registrar for the Common Stock is BankBoston of Boston, Massachusetts.</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Certain legal matters with respect to the legality of the issuance of the Common Stock offered hereby will be passed upon for the Company by James Gunderson, Deputy General Counsel of the Company. As of the date of this Prospectus Mr. Gunderson had beneficial ownership of 7,084 shares of Common Stock.</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The audited Consolidated Financial Statements and schedules of the Company that are incorporated by reference into this Prospectus have been audited by Price Waterhouse LLP, independent public accountants, as indicated in their reports with respect thereto, and are included herein in reliance upon the authority of said firm as experts in giving said reports.</w:t>
      </w:r>
    </w:p>
    <w:p>
      <w:pPr>
        <w:sectPr>
          <w:pgSz w:w="11900" w:h="16838" w:orient="portrait"/>
          <w:cols w:equalWidth="0" w:num="1">
            <w:col w:w="10239"/>
          </w:cols>
          <w:pgMar w:left="220" w:top="785"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45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No person is authorized in connection with</w:t>
            </w:r>
          </w:p>
        </w:tc>
        <w:tc>
          <w:tcPr>
            <w:tcW w:w="5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any offering made hereby to give any</w:t>
            </w:r>
          </w:p>
        </w:tc>
        <w:tc>
          <w:tcPr>
            <w:tcW w:w="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information or to make any representation not</w:t>
            </w:r>
          </w:p>
        </w:tc>
        <w:tc>
          <w:tcPr>
            <w:tcW w:w="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contained or incorporated by reference in this</w:t>
            </w:r>
          </w:p>
        </w:tc>
        <w:tc>
          <w:tcPr>
            <w:tcW w:w="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Prospectus and, if given or made, such</w:t>
            </w:r>
          </w:p>
        </w:tc>
        <w:tc>
          <w:tcPr>
            <w:tcW w:w="520" w:type="dxa"/>
            <w:vAlign w:val="bottom"/>
          </w:tcPr>
          <w:p>
            <w:pPr>
              <w:spacing w:after="0"/>
              <w:rPr>
                <w:sz w:val="14"/>
                <w:szCs w:val="14"/>
                <w:color w:val="auto"/>
              </w:rPr>
            </w:pPr>
          </w:p>
        </w:tc>
        <w:tc>
          <w:tcPr>
            <w:tcW w:w="2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238,812 Shares</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information or representation must not be</w:t>
            </w:r>
          </w:p>
        </w:tc>
        <w:tc>
          <w:tcPr>
            <w:tcW w:w="520" w:type="dxa"/>
            <w:vAlign w:val="bottom"/>
          </w:tcPr>
          <w:p>
            <w:pPr>
              <w:spacing w:after="0"/>
              <w:rPr>
                <w:sz w:val="14"/>
                <w:szCs w:val="14"/>
                <w:color w:val="auto"/>
              </w:rPr>
            </w:pPr>
          </w:p>
        </w:tc>
        <w:tc>
          <w:tcPr>
            <w:tcW w:w="2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SCHLUMBERGER N.V..</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relied upon as having been authorized by the</w:t>
            </w:r>
          </w:p>
        </w:tc>
        <w:tc>
          <w:tcPr>
            <w:tcW w:w="520" w:type="dxa"/>
            <w:vAlign w:val="bottom"/>
          </w:tcPr>
          <w:p>
            <w:pPr>
              <w:spacing w:after="0"/>
              <w:rPr>
                <w:sz w:val="14"/>
                <w:szCs w:val="14"/>
                <w:color w:val="auto"/>
              </w:rPr>
            </w:pPr>
          </w:p>
        </w:tc>
        <w:tc>
          <w:tcPr>
            <w:tcW w:w="2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(SCHLUMBERGER LIMITED)</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  This Prospectus does not</w:t>
            </w:r>
          </w:p>
        </w:tc>
        <w:tc>
          <w:tcPr>
            <w:tcW w:w="520" w:type="dxa"/>
            <w:vAlign w:val="bottom"/>
          </w:tcPr>
          <w:p>
            <w:pPr>
              <w:spacing w:after="0"/>
              <w:rPr>
                <w:sz w:val="14"/>
                <w:szCs w:val="14"/>
                <w:color w:val="auto"/>
              </w:rPr>
            </w:pPr>
          </w:p>
        </w:tc>
        <w:tc>
          <w:tcPr>
            <w:tcW w:w="2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Common Stock</w:t>
            </w:r>
          </w:p>
        </w:tc>
      </w:tr>
      <w:tr>
        <w:trPr>
          <w:trHeight w:val="168"/>
        </w:trPr>
        <w:tc>
          <w:tcPr>
            <w:tcW w:w="4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constitute an offer to sell or a solicitation of</w:t>
            </w: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an offer to buy any security other than the</w:t>
            </w:r>
          </w:p>
        </w:tc>
        <w:tc>
          <w:tcPr>
            <w:tcW w:w="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of Common Stock offered hereby, nor</w:t>
            </w:r>
          </w:p>
        </w:tc>
        <w:tc>
          <w:tcPr>
            <w:tcW w:w="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does it constitute an offer to sell or a</w:t>
            </w:r>
          </w:p>
        </w:tc>
        <w:tc>
          <w:tcPr>
            <w:tcW w:w="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solicitation of an offer to buy any of the</w:t>
            </w:r>
          </w:p>
        </w:tc>
        <w:tc>
          <w:tcPr>
            <w:tcW w:w="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securities offered hereby to any person in any</w:t>
            </w:r>
          </w:p>
        </w:tc>
        <w:tc>
          <w:tcPr>
            <w:tcW w:w="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jurisdiction in which it is unlawful to make</w:t>
            </w:r>
          </w:p>
        </w:tc>
        <w:tc>
          <w:tcPr>
            <w:tcW w:w="520" w:type="dxa"/>
            <w:vAlign w:val="bottom"/>
          </w:tcPr>
          <w:p>
            <w:pPr>
              <w:spacing w:after="0"/>
              <w:rPr>
                <w:sz w:val="14"/>
                <w:szCs w:val="14"/>
                <w:color w:val="auto"/>
              </w:rPr>
            </w:pPr>
          </w:p>
        </w:tc>
        <w:tc>
          <w:tcPr>
            <w:tcW w:w="2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such an offer or solicitation to such person.</w:t>
            </w:r>
          </w:p>
        </w:tc>
        <w:tc>
          <w:tcPr>
            <w:tcW w:w="520" w:type="dxa"/>
            <w:vAlign w:val="bottom"/>
          </w:tcPr>
          <w:p>
            <w:pPr>
              <w:spacing w:after="0"/>
              <w:rPr>
                <w:sz w:val="14"/>
                <w:szCs w:val="14"/>
                <w:color w:val="auto"/>
              </w:rPr>
            </w:pPr>
          </w:p>
        </w:tc>
        <w:tc>
          <w:tcPr>
            <w:tcW w:w="2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PROSPECTUS</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Neither the delivery of this Prospectus nor</w:t>
            </w:r>
          </w:p>
        </w:tc>
        <w:tc>
          <w:tcPr>
            <w:tcW w:w="520" w:type="dxa"/>
            <w:vAlign w:val="bottom"/>
          </w:tcPr>
          <w:p>
            <w:pPr>
              <w:spacing w:after="0"/>
              <w:rPr>
                <w:sz w:val="14"/>
                <w:szCs w:val="14"/>
                <w:color w:val="auto"/>
              </w:rPr>
            </w:pPr>
          </w:p>
        </w:tc>
        <w:tc>
          <w:tcPr>
            <w:tcW w:w="26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any sales or exchanges made hereunder shall,</w:t>
            </w:r>
          </w:p>
        </w:tc>
        <w:tc>
          <w:tcPr>
            <w:tcW w:w="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under any circumstances, create any</w:t>
            </w:r>
          </w:p>
        </w:tc>
        <w:tc>
          <w:tcPr>
            <w:tcW w:w="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implication that there has been no change in</w:t>
            </w:r>
          </w:p>
        </w:tc>
        <w:tc>
          <w:tcPr>
            <w:tcW w:w="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affairs of the Company since the date</w:t>
            </w:r>
          </w:p>
        </w:tc>
        <w:tc>
          <w:tcPr>
            <w:tcW w:w="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hereof.</w:t>
            </w:r>
          </w:p>
        </w:tc>
        <w:tc>
          <w:tcPr>
            <w:tcW w:w="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505"/>
        </w:trPr>
        <w:tc>
          <w:tcPr>
            <w:tcW w:w="404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336"/>
        </w:trPr>
        <w:tc>
          <w:tcPr>
            <w:tcW w:w="4040" w:type="dxa"/>
            <w:vAlign w:val="bottom"/>
          </w:tcPr>
          <w:p>
            <w:pPr>
              <w:ind w:left="1140"/>
              <w:spacing w:after="0"/>
              <w:rPr>
                <w:sz w:val="20"/>
                <w:szCs w:val="20"/>
                <w:color w:val="auto"/>
              </w:rPr>
            </w:pPr>
            <w:r>
              <w:rPr>
                <w:rFonts w:ascii="Courier New" w:cs="Courier New" w:eastAsia="Courier New" w:hAnsi="Courier New"/>
                <w:sz w:val="15"/>
                <w:szCs w:val="15"/>
                <w:color w:val="auto"/>
              </w:rPr>
              <w:t>TABLE OF CONTENTS</w:t>
            </w:r>
          </w:p>
        </w:tc>
        <w:tc>
          <w:tcPr>
            <w:tcW w:w="5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68"/>
        </w:trPr>
        <w:tc>
          <w:tcPr>
            <w:tcW w:w="4560" w:type="dxa"/>
            <w:vAlign w:val="bottom"/>
            <w:gridSpan w:val="2"/>
          </w:tcPr>
          <w:p>
            <w:pPr>
              <w:ind w:left="3860"/>
              <w:spacing w:after="0" w:line="168" w:lineRule="exact"/>
              <w:rPr>
                <w:sz w:val="20"/>
                <w:szCs w:val="20"/>
                <w:color w:val="auto"/>
              </w:rPr>
            </w:pPr>
            <w:r>
              <w:rPr>
                <w:rFonts w:ascii="Courier New" w:cs="Courier New" w:eastAsia="Courier New" w:hAnsi="Courier New"/>
                <w:sz w:val="15"/>
                <w:szCs w:val="15"/>
                <w:color w:val="auto"/>
              </w:rPr>
              <w:t>Page</w:t>
            </w:r>
          </w:p>
        </w:tc>
        <w:tc>
          <w:tcPr>
            <w:tcW w:w="2620" w:type="dxa"/>
            <w:vAlign w:val="bottom"/>
          </w:tcPr>
          <w:p>
            <w:pPr>
              <w:spacing w:after="0"/>
              <w:rPr>
                <w:sz w:val="14"/>
                <w:szCs w:val="14"/>
                <w:color w:val="auto"/>
              </w:rPr>
            </w:pPr>
          </w:p>
        </w:tc>
      </w:tr>
      <w:tr>
        <w:trPr>
          <w:trHeight w:val="168"/>
        </w:trPr>
        <w:tc>
          <w:tcPr>
            <w:tcW w:w="4560" w:type="dxa"/>
            <w:vAlign w:val="bottom"/>
            <w:gridSpan w:val="2"/>
          </w:tcPr>
          <w:p>
            <w:pPr>
              <w:ind w:left="3860"/>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Available Information..................</w:t>
            </w:r>
          </w:p>
        </w:tc>
        <w:tc>
          <w:tcPr>
            <w:tcW w:w="520" w:type="dxa"/>
            <w:vAlign w:val="bottom"/>
          </w:tcPr>
          <w:p>
            <w:pPr>
              <w:jc w:val="right"/>
              <w:ind w:right="372"/>
              <w:spacing w:after="0"/>
              <w:rPr>
                <w:sz w:val="20"/>
                <w:szCs w:val="20"/>
                <w:color w:val="auto"/>
              </w:rPr>
            </w:pPr>
            <w:r>
              <w:rPr>
                <w:rFonts w:ascii="Courier New" w:cs="Courier New" w:eastAsia="Courier New" w:hAnsi="Courier New"/>
                <w:sz w:val="14"/>
                <w:szCs w:val="14"/>
                <w:color w:val="auto"/>
                <w:w w:val="70"/>
              </w:rPr>
              <w:t>2</w:t>
            </w: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Incorporation of Certain</w:t>
            </w:r>
          </w:p>
        </w:tc>
        <w:tc>
          <w:tcPr>
            <w:tcW w:w="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Documents by Reference  ..................</w:t>
            </w:r>
          </w:p>
        </w:tc>
        <w:tc>
          <w:tcPr>
            <w:tcW w:w="520" w:type="dxa"/>
            <w:vAlign w:val="bottom"/>
          </w:tcPr>
          <w:p>
            <w:pPr>
              <w:jc w:val="right"/>
              <w:ind w:right="372"/>
              <w:spacing w:after="0"/>
              <w:rPr>
                <w:sz w:val="20"/>
                <w:szCs w:val="20"/>
                <w:color w:val="auto"/>
              </w:rPr>
            </w:pPr>
            <w:r>
              <w:rPr>
                <w:rFonts w:ascii="Courier New" w:cs="Courier New" w:eastAsia="Courier New" w:hAnsi="Courier New"/>
                <w:sz w:val="14"/>
                <w:szCs w:val="14"/>
                <w:color w:val="auto"/>
                <w:w w:val="70"/>
              </w:rPr>
              <w:t>3</w:t>
            </w:r>
          </w:p>
        </w:tc>
        <w:tc>
          <w:tcPr>
            <w:tcW w:w="26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__________, 1997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 Company  ................................</w:t>
            </w:r>
          </w:p>
        </w:tc>
        <w:tc>
          <w:tcPr>
            <w:tcW w:w="520" w:type="dxa"/>
            <w:vAlign w:val="bottom"/>
          </w:tcPr>
          <w:p>
            <w:pPr>
              <w:jc w:val="right"/>
              <w:ind w:right="372"/>
              <w:spacing w:after="0"/>
              <w:rPr>
                <w:sz w:val="20"/>
                <w:szCs w:val="20"/>
                <w:color w:val="auto"/>
              </w:rPr>
            </w:pPr>
            <w:r>
              <w:rPr>
                <w:rFonts w:ascii="Courier New" w:cs="Courier New" w:eastAsia="Courier New" w:hAnsi="Courier New"/>
                <w:sz w:val="14"/>
                <w:szCs w:val="14"/>
                <w:color w:val="auto"/>
                <w:w w:val="70"/>
              </w:rPr>
              <w:t>4</w:t>
            </w: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Use of Proceeds..............................</w:t>
            </w:r>
          </w:p>
        </w:tc>
        <w:tc>
          <w:tcPr>
            <w:tcW w:w="520" w:type="dxa"/>
            <w:vAlign w:val="bottom"/>
          </w:tcPr>
          <w:p>
            <w:pPr>
              <w:jc w:val="right"/>
              <w:ind w:right="372"/>
              <w:spacing w:after="0"/>
              <w:rPr>
                <w:sz w:val="20"/>
                <w:szCs w:val="20"/>
                <w:color w:val="auto"/>
              </w:rPr>
            </w:pPr>
            <w:r>
              <w:rPr>
                <w:rFonts w:ascii="Courier New" w:cs="Courier New" w:eastAsia="Courier New" w:hAnsi="Courier New"/>
                <w:sz w:val="14"/>
                <w:szCs w:val="14"/>
                <w:color w:val="auto"/>
                <w:w w:val="70"/>
              </w:rPr>
              <w:t>4</w:t>
            </w: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Financial</w:t>
            </w:r>
          </w:p>
        </w:tc>
        <w:tc>
          <w:tcPr>
            <w:tcW w:w="520" w:type="dxa"/>
            <w:vAlign w:val="bottom"/>
          </w:tcPr>
          <w:p>
            <w:pPr>
              <w:spacing w:after="0"/>
              <w:rPr>
                <w:sz w:val="14"/>
                <w:szCs w:val="14"/>
                <w:color w:val="auto"/>
              </w:rPr>
            </w:pPr>
          </w:p>
        </w:tc>
        <w:tc>
          <w:tcPr>
            <w:tcW w:w="2620" w:type="dxa"/>
            <w:vAlign w:val="bottom"/>
          </w:tcPr>
          <w:p>
            <w:pPr>
              <w:spacing w:after="0"/>
              <w:rPr>
                <w:sz w:val="14"/>
                <w:szCs w:val="14"/>
                <w:color w:val="auto"/>
              </w:rPr>
            </w:pPr>
          </w:p>
        </w:tc>
      </w:tr>
      <w:tr>
        <w:trPr>
          <w:trHeight w:val="168"/>
        </w:trPr>
        <w:tc>
          <w:tcPr>
            <w:tcW w:w="4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Data of Schlumberger......................</w:t>
            </w:r>
          </w:p>
        </w:tc>
        <w:tc>
          <w:tcPr>
            <w:tcW w:w="520" w:type="dxa"/>
            <w:vAlign w:val="bottom"/>
          </w:tcPr>
          <w:p>
            <w:pPr>
              <w:jc w:val="right"/>
              <w:ind w:right="372"/>
              <w:spacing w:after="0"/>
              <w:rPr>
                <w:sz w:val="20"/>
                <w:szCs w:val="20"/>
                <w:color w:val="auto"/>
              </w:rPr>
            </w:pPr>
            <w:r>
              <w:rPr>
                <w:rFonts w:ascii="Courier New" w:cs="Courier New" w:eastAsia="Courier New" w:hAnsi="Courier New"/>
                <w:sz w:val="14"/>
                <w:szCs w:val="14"/>
                <w:color w:val="auto"/>
                <w:w w:val="70"/>
              </w:rPr>
              <w:t>5</w:t>
            </w: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Selling Stockholders.........................</w:t>
            </w:r>
          </w:p>
        </w:tc>
        <w:tc>
          <w:tcPr>
            <w:tcW w:w="520" w:type="dxa"/>
            <w:vAlign w:val="bottom"/>
          </w:tcPr>
          <w:p>
            <w:pPr>
              <w:jc w:val="right"/>
              <w:ind w:right="372"/>
              <w:spacing w:after="0"/>
              <w:rPr>
                <w:sz w:val="20"/>
                <w:szCs w:val="20"/>
                <w:color w:val="auto"/>
              </w:rPr>
            </w:pPr>
            <w:r>
              <w:rPr>
                <w:rFonts w:ascii="Courier New" w:cs="Courier New" w:eastAsia="Courier New" w:hAnsi="Courier New"/>
                <w:sz w:val="14"/>
                <w:szCs w:val="14"/>
                <w:color w:val="auto"/>
                <w:w w:val="70"/>
              </w:rPr>
              <w:t>6</w:t>
            </w: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Plan of Distribution.........................</w:t>
            </w:r>
          </w:p>
        </w:tc>
        <w:tc>
          <w:tcPr>
            <w:tcW w:w="520" w:type="dxa"/>
            <w:vAlign w:val="bottom"/>
          </w:tcPr>
          <w:p>
            <w:pPr>
              <w:jc w:val="right"/>
              <w:ind w:right="372"/>
              <w:spacing w:after="0"/>
              <w:rPr>
                <w:sz w:val="20"/>
                <w:szCs w:val="20"/>
                <w:color w:val="auto"/>
              </w:rPr>
            </w:pPr>
            <w:r>
              <w:rPr>
                <w:rFonts w:ascii="Courier New" w:cs="Courier New" w:eastAsia="Courier New" w:hAnsi="Courier New"/>
                <w:sz w:val="14"/>
                <w:szCs w:val="14"/>
                <w:color w:val="auto"/>
                <w:w w:val="70"/>
              </w:rPr>
              <w:t>8</w:t>
            </w: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Legal Matters................................</w:t>
            </w:r>
          </w:p>
        </w:tc>
        <w:tc>
          <w:tcPr>
            <w:tcW w:w="520" w:type="dxa"/>
            <w:vAlign w:val="bottom"/>
          </w:tcPr>
          <w:p>
            <w:pPr>
              <w:jc w:val="right"/>
              <w:ind w:right="372"/>
              <w:spacing w:after="0"/>
              <w:rPr>
                <w:sz w:val="20"/>
                <w:szCs w:val="20"/>
                <w:color w:val="auto"/>
              </w:rPr>
            </w:pPr>
            <w:r>
              <w:rPr>
                <w:rFonts w:ascii="Courier New" w:cs="Courier New" w:eastAsia="Courier New" w:hAnsi="Courier New"/>
                <w:sz w:val="14"/>
                <w:szCs w:val="14"/>
                <w:color w:val="auto"/>
                <w:w w:val="70"/>
              </w:rPr>
              <w:t>9</w:t>
            </w:r>
          </w:p>
        </w:tc>
        <w:tc>
          <w:tcPr>
            <w:tcW w:w="262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Experts......................................</w:t>
            </w:r>
          </w:p>
        </w:tc>
        <w:tc>
          <w:tcPr>
            <w:tcW w:w="520" w:type="dxa"/>
            <w:vAlign w:val="bottom"/>
          </w:tcPr>
          <w:p>
            <w:pPr>
              <w:jc w:val="right"/>
              <w:ind w:right="372"/>
              <w:spacing w:after="0"/>
              <w:rPr>
                <w:sz w:val="20"/>
                <w:szCs w:val="20"/>
                <w:color w:val="auto"/>
              </w:rPr>
            </w:pPr>
            <w:r>
              <w:rPr>
                <w:rFonts w:ascii="Courier New" w:cs="Courier New" w:eastAsia="Courier New" w:hAnsi="Courier New"/>
                <w:sz w:val="14"/>
                <w:szCs w:val="14"/>
                <w:color w:val="auto"/>
                <w:w w:val="70"/>
              </w:rPr>
              <w:t>9</w:t>
            </w:r>
          </w:p>
        </w:tc>
        <w:tc>
          <w:tcPr>
            <w:tcW w:w="262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tabs>
          <w:tab w:leader="none" w:pos="49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39"/>
          </w:cols>
          <w:pgMar w:left="220" w:top="785" w:right="1440" w:bottom="1440" w:gutter="0" w:footer="0" w:header="0"/>
        </w:sectPr>
      </w:pPr>
    </w:p>
    <w:bookmarkStart w:id="12" w:name="page13"/>
    <w:bookmarkEnd w:id="12"/>
    <w:p>
      <w:pPr>
        <w:ind w:left="3240"/>
        <w:spacing w:after="0"/>
        <w:rPr>
          <w:sz w:val="20"/>
          <w:szCs w:val="20"/>
          <w:color w:val="auto"/>
        </w:rPr>
      </w:pPr>
      <w:r>
        <w:rPr>
          <w:rFonts w:ascii="Courier New" w:cs="Courier New" w:eastAsia="Courier New" w:hAnsi="Courier New"/>
          <w:sz w:val="15"/>
          <w:szCs w:val="15"/>
          <w:color w:val="auto"/>
        </w:rPr>
        <w:t>PART II</w:t>
      </w:r>
    </w:p>
    <w:p>
      <w:pPr>
        <w:spacing w:after="0" w:line="33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3"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The following expenses, other than the Securities and Exchange Commission registration fee, are estimated. All such expenses of the offering (other than $2,000 of Legal Fees and Expenses which shall be paid by the Selling Stockholders) will be paid by the Company.</w:t>
      </w:r>
    </w:p>
    <w:p>
      <w:pPr>
        <w:spacing w:after="0" w:line="169"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5960" w:type="dxa"/>
            <w:vAlign w:val="bottom"/>
          </w:tcPr>
          <w:p>
            <w:pPr>
              <w:spacing w:after="0"/>
              <w:rPr>
                <w:sz w:val="20"/>
                <w:szCs w:val="20"/>
                <w:color w:val="auto"/>
              </w:rPr>
            </w:pPr>
            <w:r>
              <w:rPr>
                <w:rFonts w:ascii="Courier New" w:cs="Courier New" w:eastAsia="Courier New" w:hAnsi="Courier New"/>
                <w:sz w:val="15"/>
                <w:szCs w:val="15"/>
                <w:color w:val="auto"/>
                <w:w w:val="97"/>
              </w:rPr>
              <w:t>SEC Registration Fee................................................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3"/>
              </w:rPr>
              <w:t>$ 6,235.16</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Legal Fees and Expenses..............................................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18,000.00</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Accounting Fees and Expenses.........................................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10,000.00</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Blue Sky Fees and Expenses............................................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59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Total.........................................................</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$35,235.16</w:t>
            </w:r>
          </w:p>
        </w:tc>
      </w:tr>
      <w:tr>
        <w:trPr>
          <w:trHeight w:val="168"/>
        </w:trPr>
        <w:tc>
          <w:tcPr>
            <w:tcW w:w="596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3" w:lineRule="exact"/>
        <w:rPr>
          <w:sz w:val="20"/>
          <w:szCs w:val="20"/>
          <w:color w:val="auto"/>
        </w:rPr>
      </w:pPr>
    </w:p>
    <w:p>
      <w:pPr>
        <w:ind w:right="3319" w:firstLine="1574"/>
        <w:spacing w:after="0" w:line="234" w:lineRule="auto"/>
        <w:rPr>
          <w:sz w:val="20"/>
          <w:szCs w:val="20"/>
          <w:color w:val="auto"/>
        </w:rPr>
      </w:pPr>
      <w:r>
        <w:rPr>
          <w:rFonts w:ascii="Courier New" w:cs="Courier New" w:eastAsia="Courier New" w:hAnsi="Courier New"/>
          <w:sz w:val="15"/>
          <w:szCs w:val="15"/>
          <w:color w:val="auto"/>
        </w:rPr>
        <w:t>Article IX, Section 7 of Schlumberger's Deed of Incorporation and Article V of Schlumberger's By-Laws provide that:</w:t>
      </w:r>
    </w:p>
    <w:p>
      <w:pPr>
        <w:spacing w:after="0" w:line="173"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Schlumberger shall have the power to indemnify any person who was or is a party or is threatened to be made a party to any threatened, pending or completed action, suit or proceeding, whether civil, criminal, administrative or investigative (other than an action by or in the right of Schlumberger) by reason of the fact that he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Schlumberger,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Schlumberger, and, with respect to any criminal action or proceeding, had reasonable cause to believe that his conduct was unlawful.</w:t>
      </w:r>
    </w:p>
    <w:p>
      <w:pPr>
        <w:sectPr>
          <w:pgSz w:w="11900" w:h="16838" w:orient="portrait"/>
          <w:cols w:equalWidth="0" w:num="1">
            <w:col w:w="10239"/>
          </w:cols>
          <w:pgMar w:left="220" w:top="785" w:right="1440" w:bottom="1440" w:gutter="0" w:footer="0" w:header="0"/>
        </w:sectPr>
      </w:pPr>
    </w:p>
    <w:bookmarkStart w:id="13" w:name="page14"/>
    <w:bookmarkEnd w:id="13"/>
    <w:p>
      <w:pPr>
        <w:ind w:right="3239" w:firstLine="1574"/>
        <w:spacing w:after="0" w:line="254" w:lineRule="auto"/>
        <w:rPr>
          <w:sz w:val="20"/>
          <w:szCs w:val="20"/>
          <w:color w:val="auto"/>
        </w:rPr>
      </w:pPr>
      <w:r>
        <w:rPr>
          <w:rFonts w:ascii="Courier New" w:cs="Courier New" w:eastAsia="Courier New" w:hAnsi="Courier New"/>
          <w:sz w:val="14"/>
          <w:szCs w:val="14"/>
          <w:color w:val="auto"/>
        </w:rPr>
        <w:t>Schlumberger shall have the power to indemnify any person who was or is a party or is threatened to be made a party to any threatened, pending or completed action or suit by or in the right of Schlumberger to procure a judgment in its favor by reason of the fact that he is or was a director, officer, employee or agent of Schlumberger, or is or was serving at the request of Schlumberger as a director, officer, employee or agent of another corporation, partnership, joint venture, trust or other enterprise or entity against expenses (including attorneys' fees), judgments, fines and amounts paid in settlement actually and reasonably incurred by him in connection with the defense or settlement of such action or suit if he acted in good faith and in a manner he reasonably believed to be in or not opposed to the best interests of Schlumberger and except that no indemnification shall be made in respect of any claim, issue or matter as to which such person shall have been finally adjudged to be liable to Schlumberger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w:t>
      </w:r>
    </w:p>
    <w:p>
      <w:pPr>
        <w:spacing w:after="0" w:line="343" w:lineRule="exact"/>
        <w:rPr>
          <w:sz w:val="20"/>
          <w:szCs w:val="20"/>
          <w:color w:val="auto"/>
        </w:rPr>
      </w:pPr>
    </w:p>
    <w:p>
      <w:pPr>
        <w:jc w:val="both"/>
        <w:ind w:right="3319" w:firstLine="1574"/>
        <w:spacing w:after="0" w:line="236" w:lineRule="auto"/>
        <w:rPr>
          <w:sz w:val="20"/>
          <w:szCs w:val="20"/>
          <w:color w:val="auto"/>
        </w:rPr>
      </w:pPr>
      <w:r>
        <w:rPr>
          <w:rFonts w:ascii="Courier New" w:cs="Courier New" w:eastAsia="Courier New" w:hAnsi="Courier New"/>
          <w:sz w:val="15"/>
          <w:szCs w:val="15"/>
          <w:color w:val="auto"/>
        </w:rPr>
        <w:t>To the extent that a director, officer, employee or agent of Schlumberger has been successful on the merits or otherwise in defense of any action, suit or proceeding referred to in the two preceding paragraphs, or in defense of any claim, issue or matter therein, he shall be indemnified against expenses (including attorneys' fees) actually and reasonably incurred by him in connection therewith.</w:t>
      </w:r>
    </w:p>
    <w:p>
      <w:pPr>
        <w:spacing w:after="0" w:line="175"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Any indemnification under the two preceding paragraphs (unless ordered by a court) shall be made by Schlumberger only as authorized by contract approved, or by by-laws, resolution or other action adopted or taken, by the Board of Directors or by the stockholders.</w:t>
      </w:r>
    </w:p>
    <w:p>
      <w:pPr>
        <w:spacing w:after="0" w:line="175"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Expenses incurred in defending a civil or criminal action, suit or proceeding will be paid by Schlumberger in advance of the final disposition of such action, suit or proceeding upon receipt of an undertaking by or on behalf of the director, officer, employee or agent to repay such amount if it shall ultimately be determined that he is not entitled to be indemnified by Schlumberger as authorized by Article V of the By-Laws or Article IX, Section 7 of the Deed of Incorporation.</w:t>
      </w:r>
    </w:p>
    <w:p>
      <w:pPr>
        <w:spacing w:after="0" w:line="176"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The indemnification and advancement of expenses provided by or granted pursuant to the other Sections of Article V of the By-Laws and Article IX, Section 7 of the Deed of Incorporation shall not be deemed exclusive of any other rights to which those seeking indemnification or advancement of expenses may be entitled under any law,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792" w:right="1440" w:bottom="1440" w:gutter="0" w:footer="0" w:header="0"/>
        </w:sectPr>
      </w:pPr>
    </w:p>
    <w:bookmarkStart w:id="14" w:name="page15"/>
    <w:bookmarkEnd w:id="14"/>
    <w:p>
      <w:pPr>
        <w:ind w:right="3239" w:firstLine="1574"/>
        <w:spacing w:after="0" w:line="236" w:lineRule="auto"/>
        <w:rPr>
          <w:sz w:val="20"/>
          <w:szCs w:val="20"/>
          <w:color w:val="auto"/>
        </w:rPr>
      </w:pPr>
      <w:r>
        <w:rPr>
          <w:rFonts w:ascii="Courier New" w:cs="Courier New" w:eastAsia="Courier New" w:hAnsi="Courier New"/>
          <w:sz w:val="15"/>
          <w:szCs w:val="15"/>
          <w:color w:val="auto"/>
        </w:rPr>
        <w:t>Schlumberger shall have power to purchase and maintain insurance on behalf of any person who is or was a director, officer, employee or agent of Schlumberger, or is or was serving at the request of Schlumberger as a director, officer, employee or agent of another corporation, partnership, joint venture, trust or other enterprise against any liability asserted against him and incurred by him in any such capacity or arising out of his status as such, whether or not Schlumberger would have the power to indemnify him against such liability under the provisions of Article V of the By-Laws or Article IX, Section 7 of the Deed of Incorporation.</w:t>
      </w:r>
    </w:p>
    <w:p>
      <w:pPr>
        <w:spacing w:after="0" w:line="178"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For purposes of Article V of the By-Laws and Article IX, Section 7 of the Deed of Incorporation, reference to Schlumberger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Article V of the By-Laws and Article IX, Section 7 of the Deed of Incorporation with respect to the resulting or surviving corporation as he would have with respect to such constituent corporation if its separate existence had continued.</w:t>
      </w:r>
    </w:p>
    <w:p>
      <w:pPr>
        <w:spacing w:after="0" w:line="332" w:lineRule="exact"/>
        <w:rPr>
          <w:sz w:val="20"/>
          <w:szCs w:val="20"/>
          <w:color w:val="auto"/>
        </w:rPr>
      </w:pPr>
    </w:p>
    <w:p>
      <w:pPr>
        <w:ind w:right="3399" w:firstLine="1574"/>
        <w:spacing w:after="0" w:line="235" w:lineRule="auto"/>
        <w:rPr>
          <w:sz w:val="20"/>
          <w:szCs w:val="20"/>
          <w:color w:val="auto"/>
        </w:rPr>
      </w:pPr>
      <w:r>
        <w:rPr>
          <w:rFonts w:ascii="Courier New" w:cs="Courier New" w:eastAsia="Courier New" w:hAnsi="Courier New"/>
          <w:sz w:val="15"/>
          <w:szCs w:val="15"/>
          <w:color w:val="auto"/>
        </w:rPr>
        <w:t>In addition, Schlumberger maintains directors' and officers' liability insurance which insures against liabilities that the officers and directors of Schlumberger may incur in such capacities.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39"/>
          </w:cols>
          <w:pgMar w:left="220" w:top="792" w:right="1440" w:bottom="1440" w:gutter="0" w:footer="0" w:header="0"/>
        </w:sectPr>
      </w:pPr>
    </w:p>
    <w:bookmarkStart w:id="15" w:name="page16"/>
    <w:bookmarkEnd w:id="15"/>
    <w:p>
      <w:pPr>
        <w:spacing w:after="0"/>
        <w:tabs>
          <w:tab w:leader="none" w:pos="8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p>
      <w:pPr>
        <w:ind w:left="2380"/>
        <w:spacing w:after="0"/>
        <w:tabs>
          <w:tab w:leader="none" w:pos="314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Deed of Incorporation of the Company, as</w:t>
      </w:r>
    </w:p>
    <w:p>
      <w:pPr>
        <w:ind w:left="3160"/>
        <w:spacing w:after="0" w:line="237" w:lineRule="auto"/>
        <w:rPr>
          <w:sz w:val="20"/>
          <w:szCs w:val="20"/>
          <w:color w:val="auto"/>
        </w:rPr>
      </w:pPr>
      <w:r>
        <w:rPr>
          <w:rFonts w:ascii="Courier New" w:cs="Courier New" w:eastAsia="Courier New" w:hAnsi="Courier New"/>
          <w:sz w:val="15"/>
          <w:szCs w:val="15"/>
          <w:color w:val="auto"/>
        </w:rPr>
        <w:t>amended April 29, 1997. Incorporated by</w:t>
      </w:r>
    </w:p>
    <w:p>
      <w:pPr>
        <w:ind w:left="3160"/>
        <w:spacing w:after="0" w:line="238" w:lineRule="auto"/>
        <w:rPr>
          <w:sz w:val="20"/>
          <w:szCs w:val="20"/>
          <w:color w:val="auto"/>
        </w:rPr>
      </w:pPr>
      <w:r>
        <w:rPr>
          <w:rFonts w:ascii="Courier New" w:cs="Courier New" w:eastAsia="Courier New" w:hAnsi="Courier New"/>
          <w:sz w:val="15"/>
          <w:szCs w:val="15"/>
          <w:color w:val="auto"/>
        </w:rPr>
        <w:t>reference to Exhibit 3(i) to the Company's</w:t>
      </w:r>
    </w:p>
    <w:p>
      <w:pPr>
        <w:ind w:left="3160"/>
        <w:spacing w:after="0" w:line="237" w:lineRule="auto"/>
        <w:rPr>
          <w:sz w:val="20"/>
          <w:szCs w:val="20"/>
          <w:color w:val="auto"/>
        </w:rPr>
      </w:pPr>
      <w:r>
        <w:rPr>
          <w:rFonts w:ascii="Courier New" w:cs="Courier New" w:eastAsia="Courier New" w:hAnsi="Courier New"/>
          <w:sz w:val="15"/>
          <w:szCs w:val="15"/>
          <w:color w:val="auto"/>
        </w:rPr>
        <w:t>Form 10-Q for the quarter ended March 31,</w:t>
      </w:r>
    </w:p>
    <w:p>
      <w:pPr>
        <w:ind w:left="3160"/>
        <w:spacing w:after="0" w:line="238" w:lineRule="auto"/>
        <w:rPr>
          <w:sz w:val="20"/>
          <w:szCs w:val="20"/>
          <w:color w:val="auto"/>
        </w:rPr>
      </w:pPr>
      <w:r>
        <w:rPr>
          <w:rFonts w:ascii="Courier New" w:cs="Courier New" w:eastAsia="Courier New" w:hAnsi="Courier New"/>
          <w:sz w:val="15"/>
          <w:szCs w:val="15"/>
          <w:color w:val="auto"/>
        </w:rPr>
        <w:t>1997.</w:t>
      </w:r>
    </w:p>
    <w:p>
      <w:pPr>
        <w:spacing w:after="0" w:line="167" w:lineRule="exact"/>
        <w:rPr>
          <w:sz w:val="20"/>
          <w:szCs w:val="20"/>
          <w:color w:val="auto"/>
        </w:rPr>
      </w:pPr>
    </w:p>
    <w:p>
      <w:pPr>
        <w:ind w:left="2380"/>
        <w:spacing w:after="0"/>
        <w:tabs>
          <w:tab w:leader="none" w:pos="314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By-Laws of the Company, as last amended on</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October 20, 1993. Incorporated by reference</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to Exhibit 3 to the Company's Form 10-K for</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fiscal year ended December 31, 1993.</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380"/>
        <w:spacing w:after="0"/>
        <w:tabs>
          <w:tab w:leader="none" w:pos="314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Opinion of James Gunderson.</w:t>
      </w:r>
    </w:p>
    <w:p>
      <w:pPr>
        <w:spacing w:after="0" w:line="166" w:lineRule="exact"/>
        <w:rPr>
          <w:sz w:val="20"/>
          <w:szCs w:val="20"/>
          <w:color w:val="auto"/>
        </w:rPr>
      </w:pPr>
    </w:p>
    <w:p>
      <w:pPr>
        <w:ind w:left="2380"/>
        <w:spacing w:after="0"/>
        <w:tabs>
          <w:tab w:leader="none" w:pos="314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Independent Accountants.</w:t>
      </w:r>
    </w:p>
    <w:p>
      <w:pPr>
        <w:spacing w:after="0" w:line="166" w:lineRule="exact"/>
        <w:rPr>
          <w:sz w:val="20"/>
          <w:szCs w:val="20"/>
          <w:color w:val="auto"/>
        </w:rPr>
      </w:pPr>
    </w:p>
    <w:p>
      <w:pPr>
        <w:ind w:left="2380"/>
        <w:spacing w:after="0"/>
        <w:tabs>
          <w:tab w:leader="none" w:pos="314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James Gunderson (included in</w:t>
      </w:r>
    </w:p>
    <w:p>
      <w:pPr>
        <w:ind w:left="3160"/>
        <w:spacing w:after="0" w:line="237" w:lineRule="auto"/>
        <w:rPr>
          <w:sz w:val="20"/>
          <w:szCs w:val="20"/>
          <w:color w:val="auto"/>
        </w:rPr>
      </w:pPr>
      <w:r>
        <w:rPr>
          <w:rFonts w:ascii="Courier New" w:cs="Courier New" w:eastAsia="Courier New" w:hAnsi="Courier New"/>
          <w:sz w:val="15"/>
          <w:szCs w:val="15"/>
          <w:color w:val="auto"/>
        </w:rPr>
        <w:t>Exhibit 5.1).</w:t>
      </w:r>
    </w:p>
    <w:p>
      <w:pPr>
        <w:spacing w:after="0" w:line="167" w:lineRule="exact"/>
        <w:rPr>
          <w:sz w:val="20"/>
          <w:szCs w:val="20"/>
          <w:color w:val="auto"/>
        </w:rPr>
      </w:pPr>
    </w:p>
    <w:p>
      <w:pPr>
        <w:ind w:left="2380"/>
        <w:spacing w:after="0"/>
        <w:tabs>
          <w:tab w:leader="none" w:pos="3140"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Powers of Attorney of the Registrant.</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66" w:lineRule="exact"/>
        <w:rPr>
          <w:sz w:val="20"/>
          <w:szCs w:val="20"/>
          <w:color w:val="auto"/>
        </w:rPr>
      </w:pPr>
    </w:p>
    <w:p>
      <w:pPr>
        <w:ind w:left="2380" w:hanging="796"/>
        <w:spacing w:after="0"/>
        <w:tabs>
          <w:tab w:leader="none" w:pos="23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3" w:lineRule="exact"/>
        <w:rPr>
          <w:sz w:val="20"/>
          <w:szCs w:val="20"/>
          <w:color w:val="auto"/>
        </w:rPr>
      </w:pPr>
    </w:p>
    <w:p>
      <w:pPr>
        <w:ind w:left="540" w:right="3239" w:firstLine="1044"/>
        <w:spacing w:after="0" w:line="261" w:lineRule="auto"/>
        <w:tabs>
          <w:tab w:leader="none" w:pos="237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53" w:lineRule="exact"/>
        <w:rPr>
          <w:rFonts w:ascii="Courier New" w:cs="Courier New" w:eastAsia="Courier New" w:hAnsi="Courier New"/>
          <w:sz w:val="14"/>
          <w:szCs w:val="14"/>
          <w:color w:val="auto"/>
        </w:rPr>
      </w:pPr>
    </w:p>
    <w:p>
      <w:pPr>
        <w:ind w:left="3160" w:hanging="789"/>
        <w:spacing w:after="0"/>
        <w:tabs>
          <w:tab w:leader="none" w:pos="316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10(a)(3) of the Securities Act of 1933;</w:t>
      </w:r>
    </w:p>
    <w:p>
      <w:pPr>
        <w:spacing w:after="0" w:line="173" w:lineRule="exact"/>
        <w:rPr>
          <w:rFonts w:ascii="Courier New" w:cs="Courier New" w:eastAsia="Courier New" w:hAnsi="Courier New"/>
          <w:sz w:val="15"/>
          <w:szCs w:val="15"/>
          <w:color w:val="auto"/>
        </w:rPr>
      </w:pPr>
    </w:p>
    <w:p>
      <w:pPr>
        <w:ind w:left="1580" w:right="3239" w:firstLine="791"/>
        <w:spacing w:after="0" w:line="255" w:lineRule="auto"/>
        <w:tabs>
          <w:tab w:leader="none" w:pos="2804"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39"/>
          </w:cols>
          <w:pgMar w:left="220" w:top="953" w:right="1440" w:bottom="1440" w:gutter="0" w:footer="0" w:header="0"/>
        </w:sectPr>
      </w:pPr>
    </w:p>
    <w:bookmarkStart w:id="16" w:name="page17"/>
    <w:bookmarkEnd w:id="16"/>
    <w:p>
      <w:pPr>
        <w:ind w:left="360" w:right="3399" w:firstLine="791"/>
        <w:spacing w:after="0" w:line="235" w:lineRule="auto"/>
        <w:tabs>
          <w:tab w:leader="none" w:pos="1672"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sz w:val="20"/>
          <w:szCs w:val="20"/>
          <w:color w:val="auto"/>
        </w:rPr>
      </w:pPr>
    </w:p>
    <w:p>
      <w:pPr>
        <w:ind w:left="360" w:right="3239" w:firstLine="787"/>
        <w:spacing w:after="0" w:line="236" w:lineRule="auto"/>
        <w:rPr>
          <w:sz w:val="20"/>
          <w:szCs w:val="20"/>
          <w:color w:val="auto"/>
        </w:rPr>
      </w:pPr>
      <w:r>
        <w:rPr>
          <w:rFonts w:ascii="Courier New" w:cs="Courier New" w:eastAsia="Courier New" w:hAnsi="Courier New"/>
          <w:sz w:val="15"/>
          <w:szCs w:val="15"/>
          <w:color w:val="auto"/>
        </w:rPr>
        <w:t>Provided, however, That paragraphs (a)(1)(i) and (a)(1)(ii) of this section do not apply if the registration statement is on Form S-3, Form S-8 or Form F-3, and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78" w:lineRule="exact"/>
        <w:rPr>
          <w:sz w:val="20"/>
          <w:szCs w:val="20"/>
          <w:color w:val="auto"/>
        </w:rPr>
      </w:pPr>
    </w:p>
    <w:p>
      <w:pPr>
        <w:ind w:left="-420" w:right="3239" w:firstLine="784"/>
        <w:spacing w:after="0" w:line="256" w:lineRule="auto"/>
        <w:tabs>
          <w:tab w:leader="none" w:pos="71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3" w:lineRule="exact"/>
        <w:rPr>
          <w:rFonts w:ascii="Courier New" w:cs="Courier New" w:eastAsia="Courier New" w:hAnsi="Courier New"/>
          <w:sz w:val="14"/>
          <w:szCs w:val="14"/>
          <w:color w:val="auto"/>
        </w:rPr>
      </w:pPr>
    </w:p>
    <w:p>
      <w:pPr>
        <w:ind w:left="-420" w:right="3239" w:firstLine="784"/>
        <w:spacing w:after="0" w:line="235" w:lineRule="auto"/>
        <w:tabs>
          <w:tab w:leader="none" w:pos="71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4" w:lineRule="exact"/>
        <w:rPr>
          <w:sz w:val="20"/>
          <w:szCs w:val="20"/>
          <w:color w:val="auto"/>
        </w:rPr>
      </w:pPr>
    </w:p>
    <w:p>
      <w:pPr>
        <w:ind w:left="-1220" w:right="3239" w:firstLine="1584"/>
        <w:spacing w:after="0" w:line="236" w:lineRule="auto"/>
        <w:tabs>
          <w:tab w:leader="none" w:pos="70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1220" w:right="3239" w:firstLine="1584"/>
        <w:spacing w:after="0" w:line="255" w:lineRule="auto"/>
        <w:tabs>
          <w:tab w:leader="none" w:pos="70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such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93"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9019"/>
          </w:cols>
          <w:pgMar w:left="1440" w:top="1128" w:right="1440" w:bottom="1440" w:gutter="0" w:footer="0" w:header="0"/>
        </w:sectPr>
      </w:pPr>
    </w:p>
    <w:bookmarkStart w:id="17" w:name="page18"/>
    <w:bookmarkEnd w:id="17"/>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19" w:firstLine="1574"/>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the Registrant, Schlumberger N.V. (Schlumberger Limited), a corporation organized and existing under the laws of the Netherlands Antilles, certifies that it has reasonable grounds to believe that it meets all of the requirements for filing on Form S-3 and has duly caused this Registration Statement to be signed on its behalf by the undersigned, thereunto duly authorized, in the City of New York, State of New York, on the 20th day of November 1997.</w:t>
      </w:r>
    </w:p>
    <w:p>
      <w:pPr>
        <w:spacing w:after="0" w:line="328"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SCHLUMBERGER N.V.</w:t>
      </w:r>
    </w:p>
    <w:p>
      <w:pPr>
        <w:ind w:left="3860"/>
        <w:spacing w:after="0" w:line="237" w:lineRule="auto"/>
        <w:rPr>
          <w:sz w:val="20"/>
          <w:szCs w:val="20"/>
          <w:color w:val="auto"/>
        </w:rPr>
      </w:pPr>
      <w:r>
        <w:rPr>
          <w:rFonts w:ascii="Courier New" w:cs="Courier New" w:eastAsia="Courier New" w:hAnsi="Courier New"/>
          <w:sz w:val="15"/>
          <w:szCs w:val="15"/>
          <w:color w:val="auto"/>
        </w:rPr>
        <w:t>(SCHLUMBERGER</w:t>
      </w:r>
    </w:p>
    <w:p>
      <w:pPr>
        <w:ind w:left="3860"/>
        <w:spacing w:after="0" w:line="238" w:lineRule="auto"/>
        <w:rPr>
          <w:sz w:val="20"/>
          <w:szCs w:val="20"/>
          <w:color w:val="auto"/>
        </w:rPr>
      </w:pPr>
      <w:r>
        <w:rPr>
          <w:rFonts w:ascii="Courier New" w:cs="Courier New" w:eastAsia="Courier New" w:hAnsi="Courier New"/>
          <w:sz w:val="15"/>
          <w:szCs w:val="15"/>
          <w:color w:val="auto"/>
        </w:rPr>
        <w:t>LIMITED)</w:t>
      </w:r>
    </w:p>
    <w:p>
      <w:pPr>
        <w:sectPr>
          <w:pgSz w:w="11900" w:h="16838" w:orient="portrait"/>
          <w:cols w:equalWidth="0" w:num="1">
            <w:col w:w="10239"/>
          </w:cols>
          <w:pgMar w:left="220" w:top="953" w:right="1440" w:bottom="1440" w:gutter="0" w:footer="0" w:header="0"/>
        </w:sectPr>
      </w:pP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Arthur Lindenauer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___________________________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Arthur Lindenauer</w:t>
      </w:r>
    </w:p>
    <w:p>
      <w:pPr>
        <w:spacing w:after="0" w:line="237" w:lineRule="auto"/>
        <w:rPr>
          <w:sz w:val="20"/>
          <w:szCs w:val="20"/>
          <w:color w:val="auto"/>
        </w:rPr>
      </w:pPr>
      <w:r>
        <w:rPr>
          <w:rFonts w:ascii="Courier New" w:cs="Courier New" w:eastAsia="Courier New" w:hAnsi="Courier New"/>
          <w:sz w:val="15"/>
          <w:szCs w:val="15"/>
          <w:color w:val="auto"/>
        </w:rPr>
        <w:t>Title: Executive Vice</w:t>
      </w:r>
    </w:p>
    <w:p>
      <w:pPr>
        <w:ind w:left="620"/>
        <w:spacing w:after="0" w:line="238" w:lineRule="auto"/>
        <w:rPr>
          <w:sz w:val="20"/>
          <w:szCs w:val="20"/>
          <w:color w:val="auto"/>
        </w:rPr>
      </w:pPr>
      <w:r>
        <w:rPr>
          <w:rFonts w:ascii="Courier New" w:cs="Courier New" w:eastAsia="Courier New" w:hAnsi="Courier New"/>
          <w:sz w:val="15"/>
          <w:szCs w:val="15"/>
          <w:color w:val="auto"/>
        </w:rPr>
        <w:t>President --Finance;</w:t>
      </w:r>
    </w:p>
    <w:p>
      <w:pPr>
        <w:ind w:left="620"/>
        <w:spacing w:after="0" w:line="237" w:lineRule="auto"/>
        <w:rPr>
          <w:sz w:val="20"/>
          <w:szCs w:val="20"/>
          <w:color w:val="auto"/>
        </w:rPr>
      </w:pPr>
      <w:r>
        <w:rPr>
          <w:rFonts w:ascii="Courier New" w:cs="Courier New" w:eastAsia="Courier New" w:hAnsi="Courier New"/>
          <w:sz w:val="15"/>
          <w:szCs w:val="15"/>
          <w:color w:val="auto"/>
        </w:rPr>
        <w:t>Chief Financial</w:t>
      </w:r>
    </w:p>
    <w:p>
      <w:pPr>
        <w:ind w:left="620"/>
        <w:spacing w:after="0" w:line="238" w:lineRule="auto"/>
        <w:rPr>
          <w:sz w:val="20"/>
          <w:szCs w:val="20"/>
          <w:color w:val="auto"/>
        </w:rPr>
      </w:pPr>
      <w:r>
        <w:rPr>
          <w:rFonts w:ascii="Courier New" w:cs="Courier New" w:eastAsia="Courier New" w:hAnsi="Courier New"/>
          <w:sz w:val="15"/>
          <w:szCs w:val="15"/>
          <w:color w:val="auto"/>
        </w:rPr>
        <w:t>Officer and Chief</w:t>
      </w:r>
    </w:p>
    <w:p>
      <w:pPr>
        <w:ind w:left="620"/>
        <w:spacing w:after="0" w:line="237" w:lineRule="auto"/>
        <w:rPr>
          <w:sz w:val="20"/>
          <w:szCs w:val="20"/>
          <w:color w:val="auto"/>
        </w:rPr>
      </w:pP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ectPr>
          <w:pgSz w:w="11900" w:h="16838" w:orient="portrait"/>
          <w:cols w:equalWidth="0" w:num="2">
            <w:col w:w="4040" w:space="160"/>
            <w:col w:w="6039"/>
          </w:cols>
          <w:pgMar w:left="220" w:top="953" w:right="1440" w:bottom="1440" w:gutter="0" w:footer="0" w:header="0"/>
          <w:type w:val="continuous"/>
        </w:sectPr>
      </w:pPr>
    </w:p>
    <w:p>
      <w:pPr>
        <w:spacing w:after="0" w:line="142" w:lineRule="exact"/>
        <w:rPr>
          <w:sz w:val="20"/>
          <w:szCs w:val="20"/>
          <w:color w:val="auto"/>
        </w:rPr>
      </w:pPr>
    </w:p>
    <w:p>
      <w:pPr>
        <w:jc w:val="both"/>
        <w:ind w:right="3499" w:firstLine="1574"/>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Signature</w:t>
            </w:r>
          </w:p>
        </w:tc>
        <w:tc>
          <w:tcPr>
            <w:tcW w:w="3220" w:type="dxa"/>
            <w:vAlign w:val="bottom"/>
          </w:tcPr>
          <w:p>
            <w:pPr>
              <w:ind w:left="1340"/>
              <w:spacing w:after="0"/>
              <w:rPr>
                <w:sz w:val="20"/>
                <w:szCs w:val="20"/>
                <w:color w:val="auto"/>
              </w:rPr>
            </w:pPr>
            <w:r>
              <w:rPr>
                <w:rFonts w:ascii="Courier New" w:cs="Courier New" w:eastAsia="Courier New" w:hAnsi="Courier New"/>
                <w:sz w:val="15"/>
                <w:szCs w:val="15"/>
                <w:color w:val="auto"/>
              </w:rPr>
              <w:t>Title</w:t>
            </w:r>
          </w:p>
        </w:tc>
        <w:tc>
          <w:tcPr>
            <w:tcW w:w="1620" w:type="dxa"/>
            <w:vAlign w:val="bottom"/>
          </w:tcPr>
          <w:p>
            <w:pPr>
              <w:ind w:left="400"/>
              <w:spacing w:after="0"/>
              <w:rPr>
                <w:sz w:val="20"/>
                <w:szCs w:val="20"/>
                <w:color w:val="auto"/>
              </w:rPr>
            </w:pPr>
            <w:r>
              <w:rPr>
                <w:rFonts w:ascii="Courier New" w:cs="Courier New" w:eastAsia="Courier New" w:hAnsi="Courier New"/>
                <w:sz w:val="15"/>
                <w:szCs w:val="15"/>
                <w:color w:val="auto"/>
              </w:rPr>
              <w:t>Date</w:t>
            </w:r>
          </w:p>
        </w:tc>
      </w:tr>
      <w:tr>
        <w:trPr>
          <w:trHeight w:val="336"/>
        </w:trPr>
        <w:tc>
          <w:tcPr>
            <w:tcW w:w="2160" w:type="dxa"/>
            <w:vAlign w:val="bottom"/>
          </w:tcPr>
          <w:p>
            <w:pPr>
              <w:spacing w:after="0"/>
              <w:rPr>
                <w:sz w:val="24"/>
                <w:szCs w:val="24"/>
                <w:color w:val="auto"/>
              </w:rPr>
            </w:pPr>
          </w:p>
        </w:tc>
        <w:tc>
          <w:tcPr>
            <w:tcW w:w="3220" w:type="dxa"/>
            <w:vAlign w:val="bottom"/>
          </w:tcPr>
          <w:p>
            <w:pPr>
              <w:ind w:left="120"/>
              <w:spacing w:after="0"/>
              <w:rPr>
                <w:sz w:val="20"/>
                <w:szCs w:val="20"/>
                <w:color w:val="auto"/>
              </w:rPr>
            </w:pPr>
            <w:r>
              <w:rPr>
                <w:rFonts w:ascii="Courier New" w:cs="Courier New" w:eastAsia="Courier New" w:hAnsi="Courier New"/>
                <w:sz w:val="15"/>
                <w:szCs w:val="15"/>
                <w:color w:val="auto"/>
              </w:rPr>
              <w:t>Director, Chairman,</w:t>
            </w:r>
          </w:p>
        </w:tc>
        <w:tc>
          <w:tcPr>
            <w:tcW w:w="1620" w:type="dxa"/>
            <w:vAlign w:val="bottom"/>
          </w:tcPr>
          <w:p>
            <w:pPr>
              <w:spacing w:after="0"/>
              <w:rPr>
                <w:sz w:val="24"/>
                <w:szCs w:val="24"/>
                <w:color w:val="auto"/>
              </w:rPr>
            </w:pPr>
          </w:p>
        </w:tc>
      </w:tr>
      <w:tr>
        <w:trPr>
          <w:trHeight w:val="168"/>
        </w:trPr>
        <w:tc>
          <w:tcPr>
            <w:tcW w:w="21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____________*__________</w:t>
            </w:r>
          </w:p>
        </w:tc>
        <w:tc>
          <w:tcPr>
            <w:tcW w:w="3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President and Chief Executive</w:t>
            </w:r>
          </w:p>
        </w:tc>
        <w:tc>
          <w:tcPr>
            <w:tcW w:w="1620" w:type="dxa"/>
            <w:vAlign w:val="bottom"/>
          </w:tcPr>
          <w:p>
            <w:pPr>
              <w:spacing w:after="0"/>
              <w:rPr>
                <w:sz w:val="14"/>
                <w:szCs w:val="14"/>
                <w:color w:val="auto"/>
              </w:rPr>
            </w:pP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 Euan Baird</w:t>
            </w:r>
          </w:p>
        </w:tc>
        <w:tc>
          <w:tcPr>
            <w:tcW w:w="3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Officer;</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November 20, 1997</w:t>
            </w:r>
          </w:p>
        </w:tc>
      </w:tr>
      <w:tr>
        <w:trPr>
          <w:trHeight w:val="336"/>
        </w:trPr>
        <w:tc>
          <w:tcPr>
            <w:tcW w:w="2160" w:type="dxa"/>
            <w:vAlign w:val="bottom"/>
          </w:tcPr>
          <w:p>
            <w:pPr>
              <w:spacing w:after="0"/>
              <w:rPr>
                <w:sz w:val="24"/>
                <w:szCs w:val="24"/>
                <w:color w:val="auto"/>
              </w:rPr>
            </w:pPr>
          </w:p>
        </w:tc>
        <w:tc>
          <w:tcPr>
            <w:tcW w:w="3220" w:type="dxa"/>
            <w:vAlign w:val="bottom"/>
          </w:tcPr>
          <w:p>
            <w:pPr>
              <w:ind w:left="120"/>
              <w:spacing w:after="0"/>
              <w:rPr>
                <w:sz w:val="20"/>
                <w:szCs w:val="20"/>
                <w:color w:val="auto"/>
              </w:rPr>
            </w:pPr>
            <w:r>
              <w:rPr>
                <w:rFonts w:ascii="Courier New" w:cs="Courier New" w:eastAsia="Courier New" w:hAnsi="Courier New"/>
                <w:sz w:val="15"/>
                <w:szCs w:val="15"/>
                <w:color w:val="auto"/>
              </w:rPr>
              <w:t>Executive Vice President--Finance;</w:t>
            </w:r>
          </w:p>
        </w:tc>
        <w:tc>
          <w:tcPr>
            <w:tcW w:w="1620" w:type="dxa"/>
            <w:vAlign w:val="bottom"/>
          </w:tcPr>
          <w:p>
            <w:pPr>
              <w:spacing w:after="0"/>
              <w:rPr>
                <w:sz w:val="24"/>
                <w:szCs w:val="24"/>
                <w:color w:val="auto"/>
              </w:rPr>
            </w:pPr>
          </w:p>
        </w:tc>
      </w:tr>
      <w:tr>
        <w:trPr>
          <w:trHeight w:val="168"/>
        </w:trPr>
        <w:tc>
          <w:tcPr>
            <w:tcW w:w="21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 Arthur Lindenauer</w:t>
            </w:r>
          </w:p>
        </w:tc>
        <w:tc>
          <w:tcPr>
            <w:tcW w:w="3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Chief Financial Officer and Chief</w:t>
            </w:r>
          </w:p>
        </w:tc>
        <w:tc>
          <w:tcPr>
            <w:tcW w:w="1620" w:type="dxa"/>
            <w:vAlign w:val="bottom"/>
          </w:tcPr>
          <w:p>
            <w:pPr>
              <w:spacing w:after="0"/>
              <w:rPr>
                <w:sz w:val="14"/>
                <w:szCs w:val="14"/>
                <w:color w:val="auto"/>
              </w:rPr>
            </w:pPr>
          </w:p>
        </w:tc>
      </w:tr>
      <w:tr>
        <w:trPr>
          <w:trHeight w:val="168"/>
        </w:trPr>
        <w:tc>
          <w:tcPr>
            <w:tcW w:w="21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_______________________</w:t>
            </w:r>
          </w:p>
        </w:tc>
        <w:tc>
          <w:tcPr>
            <w:tcW w:w="3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Arthur Lindenauer</w:t>
            </w:r>
          </w:p>
        </w:tc>
        <w:tc>
          <w:tcPr>
            <w:tcW w:w="3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Accounting Officer</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November 20, 1997</w:t>
            </w:r>
          </w:p>
        </w:tc>
      </w:tr>
      <w:tr>
        <w:trPr>
          <w:trHeight w:val="336"/>
        </w:trPr>
        <w:tc>
          <w:tcPr>
            <w:tcW w:w="2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____________*__________</w:t>
            </w:r>
          </w:p>
        </w:tc>
        <w:tc>
          <w:tcPr>
            <w:tcW w:w="3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Don E. Ackerman</w:t>
            </w:r>
          </w:p>
        </w:tc>
        <w:tc>
          <w:tcPr>
            <w:tcW w:w="3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November 20, 1997</w:t>
            </w:r>
          </w:p>
        </w:tc>
      </w:tr>
      <w:tr>
        <w:trPr>
          <w:trHeight w:val="336"/>
        </w:trPr>
        <w:tc>
          <w:tcPr>
            <w:tcW w:w="2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____________*__________</w:t>
            </w:r>
          </w:p>
        </w:tc>
        <w:tc>
          <w:tcPr>
            <w:tcW w:w="3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Denys Henderson</w:t>
            </w:r>
          </w:p>
        </w:tc>
        <w:tc>
          <w:tcPr>
            <w:tcW w:w="3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November 20, 1997</w:t>
            </w:r>
          </w:p>
        </w:tc>
      </w:tr>
      <w:tr>
        <w:trPr>
          <w:trHeight w:val="336"/>
        </w:trPr>
        <w:tc>
          <w:tcPr>
            <w:tcW w:w="2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____________*__________</w:t>
            </w:r>
          </w:p>
        </w:tc>
        <w:tc>
          <w:tcPr>
            <w:tcW w:w="3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21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Andre Levy-Lang</w:t>
            </w:r>
          </w:p>
        </w:tc>
        <w:tc>
          <w:tcPr>
            <w:tcW w:w="3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November 20, 1997</w:t>
            </w:r>
          </w:p>
        </w:tc>
      </w:tr>
      <w:tr>
        <w:trPr>
          <w:trHeight w:val="336"/>
        </w:trPr>
        <w:tc>
          <w:tcPr>
            <w:tcW w:w="21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____________*__________</w:t>
            </w:r>
          </w:p>
        </w:tc>
        <w:tc>
          <w:tcPr>
            <w:tcW w:w="32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68"/>
        </w:trPr>
        <w:tc>
          <w:tcPr>
            <w:tcW w:w="5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William T. McCormick, Jr. Director</w:t>
            </w:r>
          </w:p>
        </w:tc>
        <w:tc>
          <w:tcPr>
            <w:tcW w:w="1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5"/>
              </w:rPr>
              <w:t>November 20, 1997</w:t>
            </w:r>
          </w:p>
        </w:tc>
      </w:tr>
    </w:tbl>
    <w:p>
      <w:pPr>
        <w:sectPr>
          <w:pgSz w:w="11900" w:h="16838" w:orient="portrait"/>
          <w:cols w:equalWidth="0" w:num="1">
            <w:col w:w="10239"/>
          </w:cols>
          <w:pgMar w:left="220" w:top="953" w:right="1440" w:bottom="1440" w:gutter="0" w:footer="0" w:header="0"/>
          <w:type w:val="continuous"/>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Signature</w:t>
            </w:r>
          </w:p>
        </w:tc>
        <w:tc>
          <w:tcPr>
            <w:tcW w:w="2580" w:type="dxa"/>
            <w:vAlign w:val="bottom"/>
          </w:tcPr>
          <w:p>
            <w:pPr>
              <w:ind w:left="1340"/>
              <w:spacing w:after="0"/>
              <w:rPr>
                <w:sz w:val="20"/>
                <w:szCs w:val="20"/>
                <w:color w:val="auto"/>
              </w:rPr>
            </w:pPr>
            <w:r>
              <w:rPr>
                <w:rFonts w:ascii="Courier New" w:cs="Courier New" w:eastAsia="Courier New" w:hAnsi="Courier New"/>
                <w:sz w:val="15"/>
                <w:szCs w:val="15"/>
                <w:color w:val="auto"/>
              </w:rPr>
              <w:t>Title</w:t>
            </w:r>
          </w:p>
        </w:tc>
        <w:tc>
          <w:tcPr>
            <w:tcW w:w="2260" w:type="dxa"/>
            <w:vAlign w:val="bottom"/>
          </w:tcPr>
          <w:p>
            <w:pPr>
              <w:ind w:left="1040"/>
              <w:spacing w:after="0"/>
              <w:rPr>
                <w:sz w:val="20"/>
                <w:szCs w:val="20"/>
                <w:color w:val="auto"/>
              </w:rPr>
            </w:pPr>
            <w:r>
              <w:rPr>
                <w:rFonts w:ascii="Courier New" w:cs="Courier New" w:eastAsia="Courier New" w:hAnsi="Courier New"/>
                <w:sz w:val="15"/>
                <w:szCs w:val="15"/>
                <w:color w:val="auto"/>
              </w:rPr>
              <w:t>Date</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____________*__________</w:t>
            </w:r>
          </w:p>
        </w:tc>
        <w:tc>
          <w:tcPr>
            <w:tcW w:w="25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Didier Primat</w:t>
            </w:r>
          </w:p>
        </w:tc>
        <w:tc>
          <w:tcPr>
            <w:tcW w:w="2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22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5"/>
              </w:rPr>
              <w:t>November 20, 1997</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____________*__________</w:t>
            </w:r>
          </w:p>
        </w:tc>
        <w:tc>
          <w:tcPr>
            <w:tcW w:w="25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68"/>
        </w:trPr>
        <w:tc>
          <w:tcPr>
            <w:tcW w:w="2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Sven Ullring</w:t>
            </w:r>
          </w:p>
        </w:tc>
        <w:tc>
          <w:tcPr>
            <w:tcW w:w="2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22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5"/>
              </w:rPr>
              <w:t>November 20, 1997</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____________*__________</w:t>
            </w:r>
          </w:p>
        </w:tc>
        <w:tc>
          <w:tcPr>
            <w:tcW w:w="25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Nicolas Seydoux</w:t>
            </w:r>
          </w:p>
        </w:tc>
        <w:tc>
          <w:tcPr>
            <w:tcW w:w="2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22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5"/>
              </w:rPr>
              <w:t>November 20, 1997</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____________*__________</w:t>
            </w:r>
          </w:p>
        </w:tc>
        <w:tc>
          <w:tcPr>
            <w:tcW w:w="25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Linda G. Stuntz</w:t>
            </w:r>
          </w:p>
        </w:tc>
        <w:tc>
          <w:tcPr>
            <w:tcW w:w="2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22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5"/>
              </w:rPr>
              <w:t>November 20, 1997</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____________*__________</w:t>
            </w:r>
          </w:p>
        </w:tc>
        <w:tc>
          <w:tcPr>
            <w:tcW w:w="25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Yoshihiko Wakumoto</w:t>
            </w:r>
          </w:p>
        </w:tc>
        <w:tc>
          <w:tcPr>
            <w:tcW w:w="2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22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5"/>
              </w:rPr>
              <w:t>November 20, 1997</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____________*__________</w:t>
            </w:r>
          </w:p>
        </w:tc>
        <w:tc>
          <w:tcPr>
            <w:tcW w:w="25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68"/>
        </w:trPr>
        <w:tc>
          <w:tcPr>
            <w:tcW w:w="21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John Deutch</w:t>
            </w:r>
          </w:p>
        </w:tc>
        <w:tc>
          <w:tcPr>
            <w:tcW w:w="25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c>
          <w:tcPr>
            <w:tcW w:w="22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5"/>
              </w:rPr>
              <w:t>November 20, 1997</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/s/ James Gunderson</w:t>
            </w:r>
          </w:p>
        </w:tc>
        <w:tc>
          <w:tcPr>
            <w:tcW w:w="25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_______________________</w:t>
            </w:r>
          </w:p>
        </w:tc>
        <w:tc>
          <w:tcPr>
            <w:tcW w:w="25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James Gunderson</w:t>
            </w:r>
          </w:p>
        </w:tc>
        <w:tc>
          <w:tcPr>
            <w:tcW w:w="25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68"/>
        </w:trPr>
        <w:tc>
          <w:tcPr>
            <w:tcW w:w="21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Attorney-in-fact</w:t>
            </w:r>
          </w:p>
        </w:tc>
        <w:tc>
          <w:tcPr>
            <w:tcW w:w="2580" w:type="dxa"/>
            <w:vAlign w:val="bottom"/>
          </w:tcPr>
          <w:p>
            <w:pPr>
              <w:spacing w:after="0"/>
              <w:rPr>
                <w:sz w:val="14"/>
                <w:szCs w:val="14"/>
                <w:color w:val="auto"/>
              </w:rPr>
            </w:pPr>
          </w:p>
        </w:tc>
        <w:tc>
          <w:tcPr>
            <w:tcW w:w="22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w w:val="95"/>
              </w:rPr>
              <w:t>November 20, 1997</w:t>
            </w:r>
          </w:p>
        </w:tc>
      </w:tr>
    </w:tbl>
    <w:p>
      <w:pPr>
        <w:sectPr>
          <w:pgSz w:w="11900" w:h="16838" w:orient="portrait"/>
          <w:cols w:equalWidth="0" w:num="1">
            <w:col w:w="10239"/>
          </w:cols>
          <w:pgMar w:left="220" w:top="953" w:right="1440"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580" w:type="dxa"/>
            <w:vAlign w:val="bottom"/>
          </w:tcPr>
          <w:p>
            <w:pPr>
              <w:jc w:val="right"/>
              <w:ind w:right="1927"/>
              <w:spacing w:after="0"/>
              <w:rPr>
                <w:sz w:val="20"/>
                <w:szCs w:val="20"/>
                <w:color w:val="auto"/>
              </w:rPr>
            </w:pPr>
            <w:r>
              <w:rPr>
                <w:rFonts w:ascii="Courier New" w:cs="Courier New" w:eastAsia="Courier New" w:hAnsi="Courier New"/>
                <w:sz w:val="15"/>
                <w:szCs w:val="15"/>
                <w:color w:val="auto"/>
              </w:rPr>
              <w:t>Index to Exhibits</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FIX</w:t>
            </w:r>
          </w:p>
        </w:tc>
        <w:tc>
          <w:tcPr>
            <w:tcW w:w="3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Exhibit</w:t>
            </w:r>
          </w:p>
        </w:tc>
        <w:tc>
          <w:tcPr>
            <w:tcW w:w="360" w:type="dxa"/>
            <w:vAlign w:val="bottom"/>
          </w:tcPr>
          <w:p>
            <w:pPr>
              <w:spacing w:after="0"/>
              <w:rPr>
                <w:sz w:val="14"/>
                <w:szCs w:val="14"/>
                <w:color w:val="auto"/>
              </w:rPr>
            </w:pPr>
          </w:p>
        </w:tc>
        <w:tc>
          <w:tcPr>
            <w:tcW w:w="4580" w:type="dxa"/>
            <w:vAlign w:val="bottom"/>
          </w:tcPr>
          <w:p>
            <w:pPr>
              <w:spacing w:after="0"/>
              <w:rPr>
                <w:sz w:val="14"/>
                <w:szCs w:val="14"/>
                <w:color w:val="auto"/>
              </w:rPr>
            </w:pPr>
          </w:p>
        </w:tc>
      </w:tr>
      <w:tr>
        <w:trPr>
          <w:trHeight w:val="168"/>
        </w:trPr>
        <w:tc>
          <w:tcPr>
            <w:tcW w:w="1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w:t>
            </w:r>
          </w:p>
        </w:tc>
        <w:tc>
          <w:tcPr>
            <w:tcW w:w="4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Description of Document</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Deed of Incorporation of the Company, as amended</w:t>
            </w:r>
          </w:p>
        </w:tc>
      </w:tr>
      <w:tr>
        <w:trPr>
          <w:trHeight w:val="168"/>
        </w:trPr>
        <w:tc>
          <w:tcPr>
            <w:tcW w:w="1360" w:type="dxa"/>
            <w:vAlign w:val="bottom"/>
          </w:tcPr>
          <w:p>
            <w:pPr>
              <w:spacing w:after="0"/>
              <w:rPr>
                <w:sz w:val="14"/>
                <w:szCs w:val="14"/>
                <w:color w:val="auto"/>
              </w:rPr>
            </w:pPr>
          </w:p>
        </w:tc>
        <w:tc>
          <w:tcPr>
            <w:tcW w:w="4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April 29, 1997. Incorporated by reference to Exhibit</w:t>
            </w:r>
          </w:p>
        </w:tc>
      </w:tr>
      <w:tr>
        <w:trPr>
          <w:trHeight w:val="168"/>
        </w:trPr>
        <w:tc>
          <w:tcPr>
            <w:tcW w:w="1360" w:type="dxa"/>
            <w:vAlign w:val="bottom"/>
          </w:tcPr>
          <w:p>
            <w:pPr>
              <w:spacing w:after="0"/>
              <w:rPr>
                <w:sz w:val="14"/>
                <w:szCs w:val="14"/>
                <w:color w:val="auto"/>
              </w:rPr>
            </w:pPr>
          </w:p>
        </w:tc>
        <w:tc>
          <w:tcPr>
            <w:tcW w:w="4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3(i) to the Company's Form 10-Q for the quarter ended</w:t>
            </w:r>
          </w:p>
        </w:tc>
      </w:tr>
      <w:tr>
        <w:trPr>
          <w:trHeight w:val="168"/>
        </w:trPr>
        <w:tc>
          <w:tcPr>
            <w:tcW w:w="1360" w:type="dxa"/>
            <w:vAlign w:val="bottom"/>
          </w:tcPr>
          <w:p>
            <w:pPr>
              <w:spacing w:after="0"/>
              <w:rPr>
                <w:sz w:val="14"/>
                <w:szCs w:val="14"/>
                <w:color w:val="auto"/>
              </w:rPr>
            </w:pPr>
          </w:p>
        </w:tc>
        <w:tc>
          <w:tcPr>
            <w:tcW w:w="4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March 31, 1997.</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3.2</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By-Laws of the Company, as last amended on October</w:t>
            </w:r>
          </w:p>
        </w:tc>
      </w:tr>
      <w:tr>
        <w:trPr>
          <w:trHeight w:val="168"/>
        </w:trPr>
        <w:tc>
          <w:tcPr>
            <w:tcW w:w="1360" w:type="dxa"/>
            <w:vAlign w:val="bottom"/>
          </w:tcPr>
          <w:p>
            <w:pPr>
              <w:spacing w:after="0"/>
              <w:rPr>
                <w:sz w:val="14"/>
                <w:szCs w:val="14"/>
                <w:color w:val="auto"/>
              </w:rPr>
            </w:pPr>
          </w:p>
        </w:tc>
        <w:tc>
          <w:tcPr>
            <w:tcW w:w="4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20, 1993.  Incorporated by reference to Exhibit 3 to the</w:t>
            </w:r>
          </w:p>
        </w:tc>
      </w:tr>
      <w:tr>
        <w:trPr>
          <w:trHeight w:val="168"/>
        </w:trPr>
        <w:tc>
          <w:tcPr>
            <w:tcW w:w="1360" w:type="dxa"/>
            <w:vAlign w:val="bottom"/>
          </w:tcPr>
          <w:p>
            <w:pPr>
              <w:spacing w:after="0"/>
              <w:rPr>
                <w:sz w:val="14"/>
                <w:szCs w:val="14"/>
                <w:color w:val="auto"/>
              </w:rPr>
            </w:pPr>
          </w:p>
        </w:tc>
        <w:tc>
          <w:tcPr>
            <w:tcW w:w="4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Company's Form  10-K for fiscal year ended December</w:t>
            </w:r>
          </w:p>
        </w:tc>
      </w:tr>
      <w:tr>
        <w:trPr>
          <w:trHeight w:val="168"/>
        </w:trPr>
        <w:tc>
          <w:tcPr>
            <w:tcW w:w="1360" w:type="dxa"/>
            <w:vAlign w:val="bottom"/>
          </w:tcPr>
          <w:p>
            <w:pPr>
              <w:spacing w:after="0"/>
              <w:rPr>
                <w:sz w:val="14"/>
                <w:szCs w:val="14"/>
                <w:color w:val="auto"/>
              </w:rPr>
            </w:pPr>
          </w:p>
        </w:tc>
        <w:tc>
          <w:tcPr>
            <w:tcW w:w="3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31,</w:t>
            </w:r>
          </w:p>
        </w:tc>
        <w:tc>
          <w:tcPr>
            <w:tcW w:w="4580" w:type="dxa"/>
            <w:vAlign w:val="bottom"/>
          </w:tcPr>
          <w:p>
            <w:pPr>
              <w:jc w:val="right"/>
              <w:ind w:right="402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1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4580" w:type="dxa"/>
            <w:vAlign w:val="bottom"/>
          </w:tcPr>
          <w:p>
            <w:pPr>
              <w:spacing w:after="0"/>
              <w:rPr>
                <w:sz w:val="14"/>
                <w:szCs w:val="1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5.1*</w:t>
            </w:r>
          </w:p>
        </w:tc>
        <w:tc>
          <w:tcPr>
            <w:tcW w:w="49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Opinion of James Gunderson.</w:t>
            </w:r>
          </w:p>
        </w:tc>
      </w:tr>
      <w:tr>
        <w:trPr>
          <w:trHeight w:val="505"/>
        </w:trPr>
        <w:tc>
          <w:tcPr>
            <w:tcW w:w="136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Consent of Independent Accountants.</w:t>
            </w:r>
          </w:p>
        </w:tc>
      </w:tr>
      <w:tr>
        <w:trPr>
          <w:trHeight w:val="505"/>
        </w:trPr>
        <w:tc>
          <w:tcPr>
            <w:tcW w:w="136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Consent of James Gunderson (included in Exhibit 5.1).</w:t>
            </w:r>
          </w:p>
        </w:tc>
      </w:tr>
      <w:tr>
        <w:trPr>
          <w:trHeight w:val="505"/>
        </w:trPr>
        <w:tc>
          <w:tcPr>
            <w:tcW w:w="136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4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Powers of Attorney of the Registrant.</w:t>
            </w:r>
          </w:p>
        </w:tc>
      </w:tr>
      <w:tr>
        <w:trPr>
          <w:trHeight w:val="673"/>
        </w:trPr>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_______________</w:t>
            </w:r>
          </w:p>
        </w:tc>
        <w:tc>
          <w:tcPr>
            <w:tcW w:w="3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*Filed herewith</w:t>
            </w:r>
          </w:p>
        </w:tc>
        <w:tc>
          <w:tcPr>
            <w:tcW w:w="360" w:type="dxa"/>
            <w:vAlign w:val="bottom"/>
          </w:tcPr>
          <w:p>
            <w:pPr>
              <w:spacing w:after="0"/>
              <w:rPr>
                <w:sz w:val="14"/>
                <w:szCs w:val="14"/>
                <w:color w:val="auto"/>
              </w:rPr>
            </w:pPr>
          </w:p>
        </w:tc>
        <w:tc>
          <w:tcPr>
            <w:tcW w:w="4580" w:type="dxa"/>
            <w:vAlign w:val="bottom"/>
          </w:tcPr>
          <w:p>
            <w:pPr>
              <w:spacing w:after="0"/>
              <w:rPr>
                <w:sz w:val="14"/>
                <w:szCs w:val="14"/>
                <w:color w:val="auto"/>
              </w:rPr>
            </w:pPr>
          </w:p>
        </w:tc>
      </w:tr>
    </w:tbl>
    <w:p>
      <w:pPr>
        <w:sectPr>
          <w:pgSz w:w="11900" w:h="16838" w:orient="portrait"/>
          <w:cols w:equalWidth="0" w:num="1">
            <w:col w:w="10239"/>
          </w:cols>
          <w:pgMar w:left="220" w:top="953" w:right="1440" w:bottom="1440" w:gutter="0" w:footer="0" w:header="0"/>
        </w:sectPr>
      </w:pPr>
    </w:p>
    <w:bookmarkStart w:id="20" w:name="page21"/>
    <w:bookmarkEnd w:id="20"/>
    <w:p>
      <w:pPr>
        <w:jc w:val="right"/>
        <w:ind w:right="3239"/>
        <w:spacing w:after="0"/>
        <w:rPr>
          <w:sz w:val="20"/>
          <w:szCs w:val="20"/>
          <w:color w:val="auto"/>
        </w:rPr>
      </w:pPr>
      <w:r>
        <w:rPr>
          <w:rFonts w:ascii="Courier New" w:cs="Courier New" w:eastAsia="Courier New" w:hAnsi="Courier New"/>
          <w:sz w:val="15"/>
          <w:szCs w:val="15"/>
          <w:color w:val="auto"/>
        </w:rPr>
        <w:t>Exhibit 5.1</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[Schlumberger Letterhead]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w:t>
      </w:r>
    </w:p>
    <w:p>
      <w:pPr>
        <w:spacing w:after="0" w:line="237" w:lineRule="auto"/>
        <w:rPr>
          <w:sz w:val="20"/>
          <w:szCs w:val="20"/>
          <w:color w:val="auto"/>
        </w:rPr>
      </w:pPr>
      <w:r>
        <w:rPr>
          <w:rFonts w:ascii="Courier New" w:cs="Courier New" w:eastAsia="Courier New" w:hAnsi="Courier New"/>
          <w:sz w:val="15"/>
          <w:szCs w:val="15"/>
          <w:color w:val="auto"/>
        </w:rPr>
        <w:t>277 Park Avenue</w:t>
      </w:r>
    </w:p>
    <w:p>
      <w:pPr>
        <w:spacing w:after="0" w:line="238" w:lineRule="auto"/>
        <w:rPr>
          <w:sz w:val="20"/>
          <w:szCs w:val="20"/>
          <w:color w:val="auto"/>
        </w:rPr>
      </w:pPr>
      <w:r>
        <w:rPr>
          <w:rFonts w:ascii="Courier New" w:cs="Courier New" w:eastAsia="Courier New" w:hAnsi="Courier New"/>
          <w:sz w:val="15"/>
          <w:szCs w:val="15"/>
          <w:color w:val="auto"/>
        </w:rPr>
        <w:t>New York, N.Y. 10172</w:t>
      </w:r>
    </w:p>
    <w:p>
      <w:pPr>
        <w:jc w:val="right"/>
        <w:ind w:right="3239"/>
        <w:spacing w:after="0" w:line="237" w:lineRule="auto"/>
        <w:rPr>
          <w:sz w:val="20"/>
          <w:szCs w:val="20"/>
          <w:color w:val="auto"/>
        </w:rPr>
      </w:pPr>
      <w:r>
        <w:rPr>
          <w:rFonts w:ascii="Courier New" w:cs="Courier New" w:eastAsia="Courier New" w:hAnsi="Courier New"/>
          <w:sz w:val="15"/>
          <w:szCs w:val="15"/>
          <w:color w:val="auto"/>
        </w:rPr>
        <w:t>Dated as of the Effective Date</w:t>
      </w:r>
    </w:p>
    <w:p>
      <w:pPr>
        <w:jc w:val="right"/>
        <w:ind w:right="3239"/>
        <w:spacing w:after="0" w:line="238" w:lineRule="auto"/>
        <w:rPr>
          <w:sz w:val="20"/>
          <w:szCs w:val="20"/>
          <w:color w:val="auto"/>
        </w:rPr>
      </w:pPr>
      <w:r>
        <w:rPr>
          <w:rFonts w:ascii="Courier New" w:cs="Courier New" w:eastAsia="Courier New" w:hAnsi="Courier New"/>
          <w:sz w:val="15"/>
          <w:szCs w:val="15"/>
          <w:color w:val="auto"/>
        </w:rPr>
        <w:t>of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3" w:lineRule="exact"/>
        <w:rPr>
          <w:sz w:val="20"/>
          <w:szCs w:val="20"/>
          <w:color w:val="auto"/>
        </w:rPr>
      </w:pPr>
    </w:p>
    <w:p>
      <w:pPr>
        <w:ind w:right="3239" w:firstLine="1574"/>
        <w:spacing w:after="0" w:line="237" w:lineRule="auto"/>
        <w:rPr>
          <w:sz w:val="20"/>
          <w:szCs w:val="20"/>
          <w:color w:val="auto"/>
        </w:rPr>
      </w:pPr>
      <w:r>
        <w:rPr>
          <w:rFonts w:ascii="Courier New" w:cs="Courier New" w:eastAsia="Courier New" w:hAnsi="Courier New"/>
          <w:sz w:val="15"/>
          <w:szCs w:val="15"/>
          <w:color w:val="auto"/>
        </w:rPr>
        <w:t>I am Deputy General Counsel of Schlumberger Limited ("Schlumberger"). I am opining on certain legal matters in connection with the Registration Statement on Form S-3 (the "Registration Statement") filed by Schlumberger under the Securities Act of 1933, as amended, relating to 238,812 shares of Common Stock, par value $.01 per share, of Schlumberger (the "Shares"). All or a portion of the Shares have been delivered into escrow on behalf of the former shareholders of Interactive Video Systems Inc. ("IVS") in connection with the merger of IVS with and into a subsidiary of Schlumberger pursuant to the Agreement and Plan of Merger dated as of October 3, 1997 (the "Agreement") among Schlumberger Technology Corporation, IVS and certain shareholders of IVS. At your request, this opinion of counsel is being furnished for filing as Exhibit 5.1 to the Registration Statement.</w:t>
      </w:r>
    </w:p>
    <w:p>
      <w:pPr>
        <w:spacing w:after="0" w:line="173"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I am a member of the New York bar, and I am not admitted to practice in, nor do I hold myself out as an expert on the laws of, the Netherlands Antilles. I have, however, consulted with Messrs. Smeets, Thesseling</w:t>
      </w:r>
    </w:p>
    <w:p>
      <w:pPr>
        <w:spacing w:after="0" w:line="1" w:lineRule="exact"/>
        <w:rPr>
          <w:sz w:val="20"/>
          <w:szCs w:val="20"/>
          <w:color w:val="auto"/>
        </w:rPr>
      </w:pPr>
    </w:p>
    <w:p>
      <w:pPr>
        <w:ind w:right="3239" w:firstLine="10"/>
        <w:spacing w:after="0" w:line="256" w:lineRule="auto"/>
        <w:tabs>
          <w:tab w:leader="none" w:pos="175"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von Bokhorst, counsel qualified to practice in the Netherlands Antilles whom I consider expert on the laws of such jurisdiction. Insofar as the opinions expressed below involve conclusions as to matters governed by the laws of the Netherlands Antilles, I am relying on the opinion of such counsel.</w:t>
      </w:r>
    </w:p>
    <w:p>
      <w:pPr>
        <w:spacing w:after="0" w:line="164"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In my capacity as Deputy General Counsel of Schlumberger, I am familiar with the Deed of Incorporation and By-Laws of Schlumberger and have familiarized myself with the Agreement and have examined all statutes and other records, instruments and documents pertaining to Schlumberger that I deem necessary to examine for the purpose of this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J. Gunderson</w:t>
      </w:r>
    </w:p>
    <w:p>
      <w:pPr>
        <w:spacing w:after="0" w:line="237" w:lineRule="auto"/>
        <w:rPr>
          <w:sz w:val="20"/>
          <w:szCs w:val="20"/>
          <w:color w:val="auto"/>
        </w:rPr>
      </w:pPr>
      <w:r>
        <w:rPr>
          <w:rFonts w:ascii="Courier New" w:cs="Courier New" w:eastAsia="Courier New" w:hAnsi="Courier New"/>
          <w:sz w:val="15"/>
          <w:szCs w:val="15"/>
          <w:color w:val="auto"/>
        </w:rPr>
        <w:t>Page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3319" w:firstLine="1574"/>
        <w:spacing w:after="0" w:line="258" w:lineRule="auto"/>
        <w:rPr>
          <w:sz w:val="20"/>
          <w:szCs w:val="20"/>
          <w:color w:val="auto"/>
        </w:rPr>
      </w:pPr>
      <w:r>
        <w:rPr>
          <w:rFonts w:ascii="Courier New" w:cs="Courier New" w:eastAsia="Courier New" w:hAnsi="Courier New"/>
          <w:sz w:val="14"/>
          <w:szCs w:val="14"/>
          <w:color w:val="auto"/>
        </w:rPr>
        <w:t>Based upon my examination as aforesaid, I am of the opinion that the Shares have been duly authorized by resolution of the Board of Directors of Schlumberger and are validly issued, fully paid and nonassessable.</w:t>
      </w:r>
    </w:p>
    <w:p>
      <w:pPr>
        <w:spacing w:after="0" w:line="161" w:lineRule="exact"/>
        <w:rPr>
          <w:sz w:val="20"/>
          <w:szCs w:val="20"/>
          <w:color w:val="auto"/>
        </w:rPr>
      </w:pPr>
    </w:p>
    <w:p>
      <w:pPr>
        <w:ind w:right="3399" w:firstLine="1574"/>
        <w:spacing w:after="0" w:line="234" w:lineRule="auto"/>
        <w:rPr>
          <w:sz w:val="20"/>
          <w:szCs w:val="20"/>
          <w:color w:val="auto"/>
        </w:rPr>
      </w:pPr>
      <w:r>
        <w:rPr>
          <w:rFonts w:ascii="Courier New" w:cs="Courier New" w:eastAsia="Courier New" w:hAnsi="Courier New"/>
          <w:sz w:val="15"/>
          <w:szCs w:val="15"/>
          <w:color w:val="auto"/>
        </w:rPr>
        <w:t>I consent to the filing of this opinion as an exhibit to the Registration Statement.</w:t>
      </w:r>
    </w:p>
    <w:p>
      <w:pPr>
        <w:spacing w:after="0" w:line="335"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03"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James Gunderson</w:t>
      </w:r>
    </w:p>
    <w:p>
      <w:pPr>
        <w:ind w:left="4900"/>
        <w:spacing w:after="0" w:line="237" w:lineRule="auto"/>
        <w:rPr>
          <w:sz w:val="20"/>
          <w:szCs w:val="20"/>
          <w:color w:val="auto"/>
        </w:rPr>
      </w:pPr>
      <w:r>
        <w:rPr>
          <w:rFonts w:ascii="Courier New" w:cs="Courier New" w:eastAsia="Courier New" w:hAnsi="Courier New"/>
          <w:sz w:val="15"/>
          <w:szCs w:val="15"/>
          <w:color w:val="auto"/>
        </w:rPr>
        <w:t>Deputy General Counsel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JG:gc</w:t>
      </w:r>
    </w:p>
    <w:p>
      <w:pPr>
        <w:sectPr>
          <w:pgSz w:w="11900" w:h="16838" w:orient="portrait"/>
          <w:cols w:equalWidth="0" w:num="1">
            <w:col w:w="10239"/>
          </w:cols>
          <w:pgMar w:left="220" w:top="639" w:right="1440" w:bottom="1440" w:gutter="0" w:footer="0" w:header="0"/>
        </w:sectPr>
      </w:pPr>
    </w:p>
    <w:bookmarkStart w:id="21" w:name="page22"/>
    <w:bookmarkEnd w:id="21"/>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We hereby consent to the incorporation by reference in the Prospectus constituting part of this Registration Statement on Form S-3 of our report dated January 23, 1997, appearing on page 45 of the Schlumberger Limited Annual Report on Form 10-K for the year ended December 31, 1996. We also consent to the reference to us under the heading "Experts" in such Prospectus.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 Waterhouse LLP</w:t>
      </w:r>
    </w:p>
    <w:p>
      <w:pPr>
        <w:spacing w:after="0" w:line="237" w:lineRule="auto"/>
        <w:rPr>
          <w:sz w:val="20"/>
          <w:szCs w:val="20"/>
          <w:color w:val="auto"/>
        </w:rPr>
      </w:pPr>
      <w:r>
        <w:rPr>
          <w:rFonts w:ascii="Courier New" w:cs="Courier New" w:eastAsia="Courier New" w:hAnsi="Courier New"/>
          <w:sz w:val="15"/>
          <w:szCs w:val="15"/>
          <w:color w:val="auto"/>
        </w:rPr>
        <w:t>Price Waterhouse LLP</w:t>
      </w:r>
    </w:p>
    <w:p>
      <w:pPr>
        <w:spacing w:after="0" w:line="238" w:lineRule="auto"/>
        <w:rPr>
          <w:sz w:val="20"/>
          <w:szCs w:val="20"/>
          <w:color w:val="auto"/>
        </w:rPr>
      </w:pPr>
      <w:r>
        <w:rPr>
          <w:rFonts w:ascii="Courier New" w:cs="Courier New" w:eastAsia="Courier New" w:hAnsi="Courier New"/>
          <w:sz w:val="15"/>
          <w:szCs w:val="15"/>
          <w:color w:val="auto"/>
        </w:rPr>
        <w:t>New York, New York</w:t>
      </w:r>
    </w:p>
    <w:p>
      <w:pPr>
        <w:spacing w:after="0" w:line="237" w:lineRule="auto"/>
        <w:rPr>
          <w:sz w:val="20"/>
          <w:szCs w:val="20"/>
          <w:color w:val="auto"/>
        </w:rPr>
      </w:pPr>
      <w:r>
        <w:rPr>
          <w:rFonts w:ascii="Courier New" w:cs="Courier New" w:eastAsia="Courier New" w:hAnsi="Courier New"/>
          <w:sz w:val="15"/>
          <w:szCs w:val="15"/>
          <w:color w:val="auto"/>
        </w:rPr>
        <w:t>November 18, 1997</w:t>
      </w:r>
    </w:p>
    <w:p>
      <w:pPr>
        <w:sectPr>
          <w:pgSz w:w="11900" w:h="16838" w:orient="portrait"/>
          <w:cols w:equalWidth="0" w:num="1">
            <w:col w:w="10239"/>
          </w:cols>
          <w:pgMar w:left="220" w:top="808" w:right="1440" w:bottom="1440" w:gutter="0" w:footer="0" w:header="0"/>
        </w:sectPr>
      </w:pPr>
    </w:p>
    <w:bookmarkStart w:id="22" w:name="page23"/>
    <w:bookmarkEnd w:id="22"/>
    <w:p>
      <w:pPr>
        <w:jc w:val="right"/>
        <w:ind w:right="3239"/>
        <w:spacing w:after="0"/>
        <w:rPr>
          <w:sz w:val="20"/>
          <w:szCs w:val="20"/>
          <w:color w:val="auto"/>
        </w:rPr>
      </w:pPr>
      <w:r>
        <w:rPr>
          <w:rFonts w:ascii="Courier New" w:cs="Courier New" w:eastAsia="Courier New" w:hAnsi="Courier New"/>
          <w:sz w:val="15"/>
          <w:szCs w:val="15"/>
          <w:color w:val="auto"/>
        </w:rPr>
        <w:t>Exhibit 24.1</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SCHLUMBERGER LIMITED</w:t>
      </w:r>
    </w:p>
    <w:p>
      <w:pPr>
        <w:jc w:val="center"/>
        <w:ind w:right="3239"/>
        <w:spacing w:after="0" w:line="237" w:lineRule="auto"/>
        <w:rPr>
          <w:sz w:val="20"/>
          <w:szCs w:val="20"/>
          <w:color w:val="auto"/>
        </w:rPr>
      </w:pPr>
      <w:r>
        <w:rPr>
          <w:rFonts w:ascii="Courier New" w:cs="Courier New" w:eastAsia="Courier New" w:hAnsi="Courier New"/>
          <w:sz w:val="15"/>
          <w:szCs w:val="15"/>
          <w:color w:val="auto"/>
        </w:rPr>
        <w:t>POWERS OF ATTORNEY</w:t>
      </w:r>
    </w:p>
    <w:p>
      <w:pPr>
        <w:spacing w:after="0" w:line="173"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The undersigned Director or Officer, or both, of Schlumberger Limited, a Netherlands Antilles corporation (the "Corporation"), hereby constitutes and appoints David S. Browning, James L. Gunderson and Arthur Lindenauer, severally, the true and lawful Attorney-in-Fact and Agent of the undersigned, with full power of substitution and revocation, to execute and file from time to time on behalf of the undersigned:</w:t>
      </w:r>
    </w:p>
    <w:p>
      <w:pPr>
        <w:spacing w:after="0" w:line="175" w:lineRule="exact"/>
        <w:rPr>
          <w:sz w:val="20"/>
          <w:szCs w:val="20"/>
          <w:color w:val="auto"/>
        </w:rPr>
      </w:pPr>
    </w:p>
    <w:p>
      <w:pPr>
        <w:ind w:right="3239" w:firstLine="1584"/>
        <w:spacing w:after="0" w:line="255" w:lineRule="auto"/>
        <w:tabs>
          <w:tab w:leader="none" w:pos="1924"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Registration Statement on Form S-3 (or such other Form as may be required) to be filed with the Securities and Exchange Commission ("SEC") covering the shares of Common Stock of the Corporation to be issued to shareholders of Interactive Video Systems, Inc., a Massachusetts corporation ("IVS"), upon consummation of the proposed merger (the "Merger") of IVS with and into Schlumberger Technology Corporation, a wholly-owned subsidiary of the Corporation ("STC"), as contemplated by the Agreement and Plan of Merger dated as of October 3, 1997 among IVS, STC and certain shareholders of IVS;</w:t>
      </w:r>
    </w:p>
    <w:p>
      <w:pPr>
        <w:spacing w:after="0" w:line="165" w:lineRule="exact"/>
        <w:rPr>
          <w:rFonts w:ascii="Courier New" w:cs="Courier New" w:eastAsia="Courier New" w:hAnsi="Courier New"/>
          <w:sz w:val="14"/>
          <w:szCs w:val="14"/>
          <w:color w:val="auto"/>
        </w:rPr>
      </w:pPr>
    </w:p>
    <w:p>
      <w:pPr>
        <w:ind w:right="3239" w:firstLine="1584"/>
        <w:spacing w:after="0" w:line="235" w:lineRule="auto"/>
        <w:tabs>
          <w:tab w:leader="none" w:pos="201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Registration Statement on Form S-8 (or such other Form as may be required) to be filed with the SEC covering the shares of Common Stock of the Corporation deliverable upon exercise of the IVS stock options to be assumed by the Corporation upon consummation of the Merger; and</w:t>
      </w:r>
    </w:p>
    <w:p>
      <w:pPr>
        <w:spacing w:after="0" w:line="175" w:lineRule="exact"/>
        <w:rPr>
          <w:rFonts w:ascii="Courier New" w:cs="Courier New" w:eastAsia="Courier New" w:hAnsi="Courier New"/>
          <w:sz w:val="15"/>
          <w:szCs w:val="15"/>
          <w:color w:val="auto"/>
        </w:rPr>
      </w:pPr>
    </w:p>
    <w:p>
      <w:pPr>
        <w:ind w:right="3319" w:firstLine="1584"/>
        <w:spacing w:after="0" w:line="236" w:lineRule="auto"/>
        <w:tabs>
          <w:tab w:leader="none" w:pos="209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amendments and post-effective amendments to such Registration Statements as may be required, and to take any and all such action for and in the name, place and stead of the undersigned as may be necessary or desirable in connection with any such Registration Statements or any amendments thereto, including the making of any representation as may be required.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/s/ D. E. Baird</w:t>
            </w:r>
          </w:p>
        </w:tc>
        <w:tc>
          <w:tcPr>
            <w:tcW w:w="2880" w:type="dxa"/>
            <w:vAlign w:val="bottom"/>
          </w:tcPr>
          <w:p>
            <w:pPr>
              <w:ind w:left="880"/>
              <w:spacing w:after="0"/>
              <w:rPr>
                <w:sz w:val="20"/>
                <w:szCs w:val="20"/>
                <w:color w:val="auto"/>
              </w:rPr>
            </w:pPr>
            <w:r>
              <w:rPr>
                <w:rFonts w:ascii="Courier New" w:cs="Courier New" w:eastAsia="Courier New" w:hAnsi="Courier New"/>
                <w:sz w:val="15"/>
                <w:szCs w:val="15"/>
                <w:color w:val="auto"/>
              </w:rPr>
              <w:t>/s/ D. Primat</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_______________________</w:t>
            </w:r>
          </w:p>
        </w:tc>
        <w:tc>
          <w:tcPr>
            <w:tcW w:w="28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5"/>
              </w:rPr>
              <w:t>_______________________</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 E. Baird</w:t>
            </w:r>
          </w:p>
        </w:tc>
        <w:tc>
          <w:tcPr>
            <w:tcW w:w="28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 Primat</w:t>
            </w:r>
          </w:p>
        </w:tc>
      </w:tr>
      <w:tr>
        <w:trPr>
          <w:trHeight w:val="336"/>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/s/ D. E. Ackerman</w:t>
            </w:r>
          </w:p>
        </w:tc>
        <w:tc>
          <w:tcPr>
            <w:tcW w:w="2880" w:type="dxa"/>
            <w:vAlign w:val="bottom"/>
          </w:tcPr>
          <w:p>
            <w:pPr>
              <w:ind w:left="880"/>
              <w:spacing w:after="0"/>
              <w:rPr>
                <w:sz w:val="20"/>
                <w:szCs w:val="20"/>
                <w:color w:val="auto"/>
              </w:rPr>
            </w:pPr>
            <w:r>
              <w:rPr>
                <w:rFonts w:ascii="Courier New" w:cs="Courier New" w:eastAsia="Courier New" w:hAnsi="Courier New"/>
                <w:sz w:val="15"/>
                <w:szCs w:val="15"/>
                <w:color w:val="auto"/>
              </w:rPr>
              <w:t>/s/ N. Seydoux</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_______________________</w:t>
            </w:r>
          </w:p>
        </w:tc>
        <w:tc>
          <w:tcPr>
            <w:tcW w:w="28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5"/>
              </w:rPr>
              <w:t>_______________________</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 E. Ackerman</w:t>
            </w:r>
          </w:p>
        </w:tc>
        <w:tc>
          <w:tcPr>
            <w:tcW w:w="28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 Seydoux</w:t>
            </w:r>
          </w:p>
        </w:tc>
      </w:tr>
      <w:tr>
        <w:trPr>
          <w:trHeight w:val="336"/>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/s/ J. Deutch</w:t>
            </w:r>
          </w:p>
        </w:tc>
        <w:tc>
          <w:tcPr>
            <w:tcW w:w="2880" w:type="dxa"/>
            <w:vAlign w:val="bottom"/>
          </w:tcPr>
          <w:p>
            <w:pPr>
              <w:ind w:left="880"/>
              <w:spacing w:after="0"/>
              <w:rPr>
                <w:sz w:val="20"/>
                <w:szCs w:val="20"/>
                <w:color w:val="auto"/>
              </w:rPr>
            </w:pPr>
            <w:r>
              <w:rPr>
                <w:rFonts w:ascii="Courier New" w:cs="Courier New" w:eastAsia="Courier New" w:hAnsi="Courier New"/>
                <w:sz w:val="15"/>
                <w:szCs w:val="15"/>
                <w:color w:val="auto"/>
              </w:rPr>
              <w:t>/s/ L. Stuntz</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_______________________</w:t>
            </w:r>
          </w:p>
        </w:tc>
        <w:tc>
          <w:tcPr>
            <w:tcW w:w="28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5"/>
              </w:rPr>
              <w:t>_______________________</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 Deutch</w:t>
            </w:r>
          </w:p>
        </w:tc>
        <w:tc>
          <w:tcPr>
            <w:tcW w:w="28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L. Stuntz</w:t>
            </w:r>
          </w:p>
        </w:tc>
      </w:tr>
      <w:tr>
        <w:trPr>
          <w:trHeight w:val="336"/>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/s/ D. Henderson</w:t>
            </w:r>
          </w:p>
        </w:tc>
        <w:tc>
          <w:tcPr>
            <w:tcW w:w="2880" w:type="dxa"/>
            <w:vAlign w:val="bottom"/>
          </w:tcPr>
          <w:p>
            <w:pPr>
              <w:ind w:left="880"/>
              <w:spacing w:after="0"/>
              <w:rPr>
                <w:sz w:val="20"/>
                <w:szCs w:val="20"/>
                <w:color w:val="auto"/>
              </w:rPr>
            </w:pPr>
            <w:r>
              <w:rPr>
                <w:rFonts w:ascii="Courier New" w:cs="Courier New" w:eastAsia="Courier New" w:hAnsi="Courier New"/>
                <w:sz w:val="15"/>
                <w:szCs w:val="15"/>
                <w:color w:val="auto"/>
              </w:rPr>
              <w:t>/s/ S. Ullring</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_______________________</w:t>
            </w:r>
          </w:p>
        </w:tc>
        <w:tc>
          <w:tcPr>
            <w:tcW w:w="28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5"/>
              </w:rPr>
              <w:t>_______________________</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 Henderson</w:t>
            </w:r>
          </w:p>
        </w:tc>
        <w:tc>
          <w:tcPr>
            <w:tcW w:w="28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 Ullring</w:t>
            </w:r>
          </w:p>
        </w:tc>
      </w:tr>
      <w:tr>
        <w:trPr>
          <w:trHeight w:val="336"/>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/s/ A. Levy-Lang</w:t>
            </w:r>
          </w:p>
        </w:tc>
        <w:tc>
          <w:tcPr>
            <w:tcW w:w="2880" w:type="dxa"/>
            <w:vAlign w:val="bottom"/>
          </w:tcPr>
          <w:p>
            <w:pPr>
              <w:ind w:left="880"/>
              <w:spacing w:after="0"/>
              <w:rPr>
                <w:sz w:val="20"/>
                <w:szCs w:val="20"/>
                <w:color w:val="auto"/>
              </w:rPr>
            </w:pPr>
            <w:r>
              <w:rPr>
                <w:rFonts w:ascii="Courier New" w:cs="Courier New" w:eastAsia="Courier New" w:hAnsi="Courier New"/>
                <w:sz w:val="15"/>
                <w:szCs w:val="15"/>
                <w:color w:val="auto"/>
              </w:rPr>
              <w:t>/s/ Y. Wakumoto</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_______________________</w:t>
            </w:r>
          </w:p>
        </w:tc>
        <w:tc>
          <w:tcPr>
            <w:tcW w:w="28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5"/>
              </w:rPr>
              <w:t>_______________________</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 Levy-Lang</w:t>
            </w:r>
          </w:p>
        </w:tc>
        <w:tc>
          <w:tcPr>
            <w:tcW w:w="28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Y. Wakumoto</w:t>
            </w:r>
          </w:p>
        </w:tc>
      </w:tr>
      <w:tr>
        <w:trPr>
          <w:trHeight w:val="336"/>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/s/ W. T.  McCormick</w:t>
            </w:r>
          </w:p>
        </w:tc>
        <w:tc>
          <w:tcPr>
            <w:tcW w:w="2880" w:type="dxa"/>
            <w:vAlign w:val="bottom"/>
          </w:tcPr>
          <w:p>
            <w:pPr>
              <w:spacing w:after="0"/>
              <w:rPr>
                <w:sz w:val="24"/>
                <w:szCs w:val="24"/>
                <w:color w:val="auto"/>
              </w:rPr>
            </w:pP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_______________________</w:t>
            </w:r>
          </w:p>
        </w:tc>
        <w:tc>
          <w:tcPr>
            <w:tcW w:w="2880" w:type="dxa"/>
            <w:vAlign w:val="bottom"/>
          </w:tcPr>
          <w:p>
            <w:pPr>
              <w:spacing w:after="0"/>
              <w:rPr>
                <w:sz w:val="14"/>
                <w:szCs w:val="14"/>
                <w:color w:val="auto"/>
              </w:rPr>
            </w:pPr>
          </w:p>
        </w:tc>
      </w:tr>
      <w:tr>
        <w:trPr>
          <w:trHeight w:val="168"/>
        </w:trPr>
        <w:tc>
          <w:tcPr>
            <w:tcW w:w="540" w:type="dxa"/>
            <w:vAlign w:val="bottom"/>
          </w:tcPr>
          <w:p>
            <w:pPr>
              <w:spacing w:after="0" w:line="168" w:lineRule="exact"/>
              <w:rPr>
                <w:sz w:val="20"/>
                <w:szCs w:val="20"/>
                <w:color w:val="auto"/>
              </w:rPr>
            </w:pPr>
            <w:r>
              <w:rPr>
                <w:rFonts w:ascii="Courier New" w:cs="Courier New" w:eastAsia="Courier New" w:hAnsi="Courier New"/>
                <w:sz w:val="15"/>
                <w:szCs w:val="15"/>
                <w:color w:val="auto"/>
              </w:rPr>
              <w:t>W. T.</w:t>
            </w:r>
          </w:p>
        </w:tc>
        <w:tc>
          <w:tcPr>
            <w:tcW w:w="2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McCormick</w:t>
            </w:r>
          </w:p>
        </w:tc>
        <w:tc>
          <w:tcPr>
            <w:tcW w:w="288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440" w:type="dxa"/>
            <w:vAlign w:val="bottom"/>
          </w:tcPr>
          <w:p>
            <w:pPr>
              <w:ind w:left="80"/>
              <w:spacing w:after="0"/>
              <w:rPr>
                <w:sz w:val="20"/>
                <w:szCs w:val="20"/>
                <w:color w:val="auto"/>
              </w:rPr>
            </w:pPr>
            <w:r>
              <w:rPr>
                <w:rFonts w:ascii="Courier New" w:cs="Courier New" w:eastAsia="Courier New" w:hAnsi="Courier New"/>
                <w:sz w:val="15"/>
                <w:szCs w:val="15"/>
                <w:color w:val="auto"/>
              </w:rPr>
              <w:t>October 22,  1997</w:t>
            </w:r>
          </w:p>
        </w:tc>
        <w:tc>
          <w:tcPr>
            <w:tcW w:w="2880" w:type="dxa"/>
            <w:vAlign w:val="bottom"/>
          </w:tcPr>
          <w:p>
            <w:pPr>
              <w:spacing w:after="0"/>
              <w:rPr>
                <w:sz w:val="24"/>
                <w:szCs w:val="24"/>
                <w:color w:val="auto"/>
              </w:rPr>
            </w:pPr>
          </w:p>
        </w:tc>
      </w:tr>
      <w:tr>
        <w:trPr>
          <w:trHeight w:val="168"/>
        </w:trPr>
        <w:tc>
          <w:tcPr>
            <w:tcW w:w="540" w:type="dxa"/>
            <w:vAlign w:val="bottom"/>
          </w:tcPr>
          <w:p>
            <w:pPr>
              <w:spacing w:after="0"/>
              <w:rPr>
                <w:sz w:val="14"/>
                <w:szCs w:val="14"/>
                <w:color w:val="auto"/>
              </w:rPr>
            </w:pPr>
          </w:p>
        </w:tc>
        <w:tc>
          <w:tcPr>
            <w:tcW w:w="2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_________________</w:t>
            </w:r>
          </w:p>
        </w:tc>
        <w:tc>
          <w:tcPr>
            <w:tcW w:w="2880" w:type="dxa"/>
            <w:vAlign w:val="bottom"/>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0239"/>
      </w:cols>
      <w:pgMar w:left="22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lowerRoman"/>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lvl w:ilvl="1">
      <w:lvlJc w:val="left"/>
      <w:lvlText w:val="(%2)"/>
      <w:numFmt w:val="lowerRoman"/>
      <w:start w:val="1"/>
    </w:lvl>
  </w:abstractNum>
  <w:abstractNum w:abstractNumId="8">
    <w:nsid w:val="1F16E9E8"/>
    <w:multiLevelType w:val="hybridMultilevel"/>
    <w:lvl w:ilvl="0">
      <w:lvlJc w:val="left"/>
      <w:lvlText w:val="(%1)"/>
      <w:numFmt w:val="lowerRoman"/>
      <w:start w:val="3"/>
    </w:lvl>
  </w:abstractNum>
  <w:abstractNum w:abstractNumId="9">
    <w:nsid w:val="1190CDE7"/>
    <w:multiLevelType w:val="hybridMultilevel"/>
    <w:lvl w:ilvl="0">
      <w:lvlJc w:val="left"/>
      <w:lvlText w:val="(%1)"/>
      <w:numFmt w:val="decimal"/>
      <w:start w:val="2"/>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amp;"/>
      <w:numFmt w:val="bullet"/>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2019-12-13T06:51:20Z</dcterms:created>
  <dcterms:modified xsi:type="dcterms:W3CDTF">2019-12-13T06:51:20Z</dcterms:modified>
</cp:coreProperties>
</file>