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9"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previously disclosed, on April 2, 2024, Schlumberger Limited, a Curaçao corporation (“SLB”), and its indirect, wholly owned subsidiaries, Sodium Holdco, Inc., a Delaware corporation (“Holdco”), and Sodium Merger Sub, Inc., a Delaware corporation (“Merger Sub”), entered into an Agreement and Plan of Merger (the “Merger Agreement”), with ChampionX Corporation, a Delaware corporation (“ChampionX”), pursuant to which SLB will acquire ChampionX in an all-stock transaction. Pursuant to the terms of the Merger Agreement, Merger Sub will merge with and into ChampionX (the “Merger”), with ChampionX continuing as the surviving corporation of the Merger and as an indirect, wholly owned subsidiary of SLB.</w:t>
      </w:r>
    </w:p>
    <w:p>
      <w:pPr>
        <w:spacing w:after="0" w:line="179" w:lineRule="exact"/>
        <w:rPr>
          <w:sz w:val="20"/>
          <w:szCs w:val="20"/>
          <w:color w:val="auto"/>
        </w:rPr>
      </w:pPr>
    </w:p>
    <w:p>
      <w:pPr>
        <w:jc w:val="both"/>
        <w:ind w:right="240"/>
        <w:spacing w:after="0" w:line="301" w:lineRule="auto"/>
        <w:rPr>
          <w:sz w:val="20"/>
          <w:szCs w:val="20"/>
          <w:color w:val="auto"/>
        </w:rPr>
      </w:pPr>
      <w:r>
        <w:rPr>
          <w:rFonts w:ascii="Arial" w:cs="Arial" w:eastAsia="Arial" w:hAnsi="Arial"/>
          <w:sz w:val="17"/>
          <w:szCs w:val="17"/>
          <w:color w:val="auto"/>
        </w:rPr>
        <w:t>On July 15, 2025, the U.K. Competition and Markets Authority (the “CMA”) cleared the proposed Merger. The CMA approval represents the last regulatory closing condition to the proposed Merger. As a result, the parties intend to consummate the Merger on July 16, 2025.</w:t>
      </w:r>
    </w:p>
    <w:p>
      <w:pPr>
        <w:spacing w:after="0" w:line="13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closing of the proposed Merger remains subject to the satisfaction or waiver of the remaining closing conditions contained in the Merger Agreement. Until that time, the companies will continue to operate as separate and independent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Form 8-K contains “forward-looking statements” within the meaning of the federal securities laws, including regarding the anticipated timing of the Merger closing. Factors and risks that may impact future results and performance include SLB’s and ChampionX’s inability to satisfy the remaining closing conditions in the Merger Agreement on a timely basis or at all, and the occurrence of any event, change, or other circumstance that could give rise to the delay or termination of the proposed transaction, as well as the risk factors discussed in SLB’s and ChampionX’s most recent Forms 10-K, 10-Q, and 8-K filed with or furnished to the SEC. If one or more of these or other risks or uncertainties materialize (or the consequences of any such development changes), or should our underlying assumptions prove incorrect, actual results or outcomes may vary materially from what we disclose in the forward looking statements. Statements in this Form 8-K are made as of the date hereof, and SLB disclaims any intention or obligation to update publicly or revise such statements,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96"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rPr>
          <w:sz w:val="20"/>
          <w:szCs w:val="20"/>
          <w:color w:val="auto"/>
        </w:rPr>
      </w:pPr>
      <w:r>
        <w:rPr>
          <w:rFonts w:ascii="Arial" w:cs="Arial" w:eastAsia="Arial" w:hAnsi="Arial"/>
          <w:sz w:val="18"/>
          <w:szCs w:val="18"/>
          <w:color w:val="auto"/>
        </w:rPr>
        <w:t>Chief Legal Officer and Secretary</w:t>
      </w:r>
    </w:p>
    <w:p>
      <w:pPr>
        <w:spacing w:after="0"/>
        <w:rPr>
          <w:sz w:val="20"/>
          <w:szCs w:val="20"/>
          <w:color w:val="auto"/>
        </w:rPr>
      </w:pPr>
      <w:r>
        <w:rPr>
          <w:rFonts w:ascii="Arial" w:cs="Arial" w:eastAsia="Arial" w:hAnsi="Arial"/>
          <w:sz w:val="18"/>
          <w:szCs w:val="18"/>
          <w:color w:val="auto"/>
        </w:rPr>
        <w:t>Date: July 15, 2025</w:t>
      </w:r>
    </w:p>
    <w:sectPr>
      <w:pgSz w:w="11900" w:h="16838" w:orient="portrait"/>
      <w:cols w:equalWidth="0" w:num="1">
        <w:col w:w="10860"/>
      </w:cols>
      <w:pgMar w:left="440" w:top="29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2025-07-15T08:12:25Z</dcterms:created>
  <dcterms:modified xsi:type="dcterms:W3CDTF">2025-07-15T08:12:25Z</dcterms:modified>
</cp:coreProperties>
</file>