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3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November 13, 2015</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Schlumberger Limited (Schlumberger N.V.)</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October 2, 2015</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333-207260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80" w:firstLine="913"/>
        <w:spacing w:after="0" w:line="257"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Schlumberger Limited (Schlumberger N.V.) (the “Company”) hereby requests that the Securities and Exchange Commission (the “Commission”) accelerate the effectiveness of its Registration Statement on Form S-4 (File No. 333-207260), as amended by Pre-Effective Amendment No. 1 filed with the Commission on November 13, 2015, so that such registration statement will become effective on Monday, November 16, 2015, at 5:00 p.m., New York time, or as soon thereafter as is practicable.</w:t>
      </w:r>
    </w:p>
    <w:p>
      <w:pPr>
        <w:spacing w:after="0" w:line="188"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The Company hereby acknowledges that:</w:t>
      </w:r>
    </w:p>
    <w:p>
      <w:pPr>
        <w:spacing w:after="0" w:line="131" w:lineRule="exact"/>
        <w:rPr>
          <w:sz w:val="24"/>
          <w:szCs w:val="24"/>
          <w:color w:val="auto"/>
        </w:rPr>
      </w:pPr>
    </w:p>
    <w:p>
      <w:pPr>
        <w:ind w:left="1460" w:right="84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60" w:right="80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20"/>
          </w:cols>
          <w:pgMar w:left="240" w:top="229" w:right="239" w:bottom="1440" w:gutter="0" w:footer="0" w:header="0"/>
        </w:sectPr>
      </w:pPr>
    </w:p>
    <w:bookmarkStart w:id="1" w:name="page2"/>
    <w:bookmarkEnd w:id="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00" w:lineRule="exact"/>
        <w:rPr>
          <w:sz w:val="20"/>
          <w:szCs w:val="20"/>
          <w:color w:val="auto"/>
        </w:rPr>
      </w:pPr>
    </w:p>
    <w:p>
      <w:pPr>
        <w:spacing w:after="0" w:line="240"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Saul Laureles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Saul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Deputy General Counsel</w:t>
      </w:r>
    </w:p>
    <w:p>
      <w:pPr>
        <w:spacing w:after="0" w:line="251" w:lineRule="exact"/>
        <w:rPr>
          <w:sz w:val="20"/>
          <w:szCs w:val="20"/>
          <w:color w:val="auto"/>
        </w:rPr>
      </w:pPr>
    </w:p>
    <w:p>
      <w:pPr>
        <w:ind w:left="460" w:right="8339" w:hanging="452"/>
        <w:spacing w:after="0" w:line="28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Alexander C. Juden Matthew Rinegar Grace B. Holmes</w:t>
      </w:r>
    </w:p>
    <w:p>
      <w:pPr>
        <w:ind w:left="460" w:right="8219"/>
        <w:spacing w:after="0" w:line="270" w:lineRule="auto"/>
        <w:rPr>
          <w:rFonts w:ascii="Arial" w:cs="Arial" w:eastAsia="Arial" w:hAnsi="Arial"/>
          <w:sz w:val="16"/>
          <w:szCs w:val="16"/>
          <w:color w:val="auto"/>
        </w:rPr>
      </w:pPr>
      <w:r>
        <w:rPr>
          <w:rFonts w:ascii="Arial" w:cs="Arial" w:eastAsia="Arial" w:hAnsi="Arial"/>
          <w:sz w:val="17"/>
          <w:szCs w:val="17"/>
          <w:color w:val="auto"/>
        </w:rPr>
        <w:t>J. David Kirkland, Jr. Tull R. Florey Andrew J. Ericksen Scott A. Barshay George F. Schoen Keith Hallam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2019-12-05T15:35:00Z</dcterms:created>
  <dcterms:modified xsi:type="dcterms:W3CDTF">2019-12-05T15:35:00Z</dcterms:modified>
</cp:coreProperties>
</file>