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89439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8943975"/>
                    </a:xfrm>
                    <a:prstGeom prst="rect">
                      <a:avLst/>
                    </a:prstGeom>
                    <a:noFill/>
                  </pic:spPr>
                </pic:pic>
              </a:graphicData>
            </a:graphic>
          </wp:anchor>
        </w:drawing>
      </w:r>
    </w:p>
    <w:p>
      <w:pPr>
        <w:sectPr>
          <w:pgSz w:w="11900" w:h="16899"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Poupeau Jean-Francois</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00" w:type="dxa"/>
            <w:vAlign w:val="bottom"/>
            <w:tcBorders>
              <w:top w:val="single" w:sz="8" w:color="0000EE"/>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04/22/2010</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920" w:type="dxa"/>
            <w:vAlign w:val="bottom"/>
          </w:tcPr>
          <w:p>
            <w:pPr>
              <w:ind w:left="140"/>
              <w:spacing w:after="0"/>
              <w:rPr>
                <w:sz w:val="20"/>
                <w:szCs w:val="20"/>
                <w:color w:val="auto"/>
              </w:rPr>
            </w:pPr>
            <w:r>
              <w:rPr>
                <w:rFonts w:ascii="Arial" w:cs="Arial" w:eastAsia="Arial" w:hAnsi="Arial"/>
                <w:sz w:val="14"/>
                <w:szCs w:val="14"/>
                <w:color w:val="auto"/>
              </w:rPr>
              <w:t>(First)</w:t>
            </w:r>
          </w:p>
        </w:tc>
        <w:tc>
          <w:tcPr>
            <w:tcW w:w="1340" w:type="dxa"/>
            <w:vAlign w:val="bottom"/>
          </w:tcPr>
          <w:p>
            <w:pPr>
              <w:ind w:left="30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900" w:type="dxa"/>
            <w:vAlign w:val="bottom"/>
            <w:gridSpan w:val="2"/>
          </w:tcPr>
          <w:p>
            <w:pPr>
              <w:ind w:left="20"/>
              <w:spacing w:after="0"/>
              <w:rPr>
                <w:sz w:val="20"/>
                <w:szCs w:val="20"/>
                <w:color w:val="auto"/>
              </w:rPr>
            </w:pPr>
            <w:r>
              <w:rPr>
                <w:rFonts w:ascii="Arial" w:cs="Arial" w:eastAsia="Arial" w:hAnsi="Arial"/>
                <w:sz w:val="18"/>
                <w:szCs w:val="18"/>
                <w:color w:val="0000FF"/>
              </w:rPr>
              <w:t>1123 JOSHUA LANE</w:t>
            </w:r>
          </w:p>
        </w:tc>
        <w:tc>
          <w:tcPr>
            <w:tcW w:w="134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920" w:type="dxa"/>
            <w:vAlign w:val="bottom"/>
          </w:tcPr>
          <w:p>
            <w:pPr>
              <w:ind w:left="140"/>
              <w:spacing w:after="0"/>
              <w:rPr>
                <w:sz w:val="20"/>
                <w:szCs w:val="20"/>
                <w:color w:val="auto"/>
              </w:rPr>
            </w:pPr>
            <w:r>
              <w:rPr>
                <w:rFonts w:ascii="Arial" w:cs="Arial" w:eastAsia="Arial" w:hAnsi="Arial"/>
                <w:sz w:val="18"/>
                <w:szCs w:val="18"/>
                <w:color w:val="0000FF"/>
              </w:rPr>
              <w:t>TX</w:t>
            </w:r>
          </w:p>
        </w:tc>
        <w:tc>
          <w:tcPr>
            <w:tcW w:w="1340" w:type="dxa"/>
            <w:vAlign w:val="bottom"/>
          </w:tcPr>
          <w:p>
            <w:pPr>
              <w:ind w:left="300"/>
              <w:spacing w:after="0"/>
              <w:rPr>
                <w:sz w:val="20"/>
                <w:szCs w:val="20"/>
                <w:color w:val="auto"/>
              </w:rPr>
            </w:pPr>
            <w:r>
              <w:rPr>
                <w:rFonts w:ascii="Arial" w:cs="Arial" w:eastAsia="Arial" w:hAnsi="Arial"/>
                <w:sz w:val="18"/>
                <w:szCs w:val="18"/>
                <w:color w:val="0000FF"/>
              </w:rPr>
              <w:t>77055</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920" w:type="dxa"/>
            <w:vAlign w:val="bottom"/>
          </w:tcPr>
          <w:p>
            <w:pPr>
              <w:ind w:left="140"/>
              <w:spacing w:after="0"/>
              <w:rPr>
                <w:sz w:val="20"/>
                <w:szCs w:val="20"/>
                <w:color w:val="auto"/>
              </w:rPr>
            </w:pPr>
            <w:r>
              <w:rPr>
                <w:rFonts w:ascii="Arial" w:cs="Arial" w:eastAsia="Arial" w:hAnsi="Arial"/>
                <w:sz w:val="14"/>
                <w:szCs w:val="14"/>
                <w:color w:val="auto"/>
              </w:rPr>
              <w:t>(State)</w:t>
            </w:r>
          </w:p>
        </w:tc>
        <w:tc>
          <w:tcPr>
            <w:tcW w:w="1340" w:type="dxa"/>
            <w:vAlign w:val="bottom"/>
          </w:tcPr>
          <w:p>
            <w:pPr>
              <w:ind w:left="30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SCHLUMBERGER LTD /NV/</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SLB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21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1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70"/>
        </w:trPr>
        <w:tc>
          <w:tcPr>
            <w:tcW w:w="420" w:type="dxa"/>
            <w:vAlign w:val="bottom"/>
          </w:tcPr>
          <w:p>
            <w:pPr>
              <w:spacing w:after="0"/>
              <w:rPr>
                <w:sz w:val="14"/>
                <w:szCs w:val="14"/>
                <w:color w:val="auto"/>
              </w:rPr>
            </w:pPr>
          </w:p>
        </w:tc>
        <w:tc>
          <w:tcPr>
            <w:tcW w:w="17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20"/>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2C2C2C"/>
            </w:tcBorders>
          </w:tcPr>
          <w:p>
            <w:pPr>
              <w:spacing w:after="0"/>
              <w:rPr>
                <w:sz w:val="14"/>
                <w:szCs w:val="14"/>
                <w:color w:val="auto"/>
              </w:rPr>
            </w:pPr>
          </w:p>
        </w:tc>
        <w:tc>
          <w:tcPr>
            <w:tcW w:w="2680" w:type="dxa"/>
            <w:vAlign w:val="bottom"/>
            <w:tcBorders>
              <w:bottom w:val="single" w:sz="8" w:color="2C2C2C"/>
            </w:tcBorders>
          </w:tcPr>
          <w:p>
            <w:pPr>
              <w:spacing w:after="0"/>
              <w:rPr>
                <w:sz w:val="14"/>
                <w:szCs w:val="14"/>
                <w:color w:val="auto"/>
              </w:rPr>
            </w:pPr>
          </w:p>
        </w:tc>
      </w:tr>
      <w:tr>
        <w:trPr>
          <w:trHeight w:val="188"/>
        </w:trPr>
        <w:tc>
          <w:tcPr>
            <w:tcW w:w="420" w:type="dxa"/>
            <w:vAlign w:val="bottom"/>
          </w:tcPr>
          <w:p>
            <w:pPr>
              <w:ind w:left="200"/>
              <w:spacing w:after="0" w:line="189" w:lineRule="exact"/>
              <w:rPr>
                <w:sz w:val="20"/>
                <w:szCs w:val="20"/>
                <w:color w:val="auto"/>
              </w:rPr>
            </w:pPr>
            <w:r>
              <w:rPr>
                <w:rFonts w:ascii="Arial" w:cs="Arial" w:eastAsia="Arial" w:hAnsi="Arial"/>
                <w:sz w:val="18"/>
                <w:szCs w:val="18"/>
                <w:color w:val="0000FF"/>
              </w:rPr>
              <w:t>X</w:t>
            </w:r>
          </w:p>
        </w:tc>
        <w:tc>
          <w:tcPr>
            <w:tcW w:w="17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2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420" w:type="dxa"/>
            <w:vAlign w:val="bottom"/>
          </w:tcPr>
          <w:p>
            <w:pPr>
              <w:spacing w:after="0"/>
              <w:rPr>
                <w:sz w:val="15"/>
                <w:szCs w:val="15"/>
                <w:color w:val="auto"/>
              </w:rPr>
            </w:pPr>
          </w:p>
        </w:tc>
        <w:tc>
          <w:tcPr>
            <w:tcW w:w="1720" w:type="dxa"/>
            <w:vAlign w:val="bottom"/>
          </w:tcPr>
          <w:p>
            <w:pPr>
              <w:ind w:left="120"/>
              <w:spacing w:after="0"/>
              <w:rPr>
                <w:sz w:val="20"/>
                <w:szCs w:val="20"/>
                <w:color w:val="auto"/>
              </w:rPr>
            </w:pPr>
            <w:r>
              <w:rPr>
                <w:rFonts w:ascii="Arial" w:cs="Arial" w:eastAsia="Arial" w:hAnsi="Arial"/>
                <w:sz w:val="14"/>
                <w:szCs w:val="14"/>
                <w:color w:val="auto"/>
              </w:rPr>
              <w:t>below)</w:t>
            </w:r>
          </w:p>
        </w:tc>
        <w:tc>
          <w:tcPr>
            <w:tcW w:w="1180" w:type="dxa"/>
            <w:vAlign w:val="bottom"/>
          </w:tcPr>
          <w:p>
            <w:pPr>
              <w:ind w:left="2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r>
        <w:trPr>
          <w:trHeight w:val="242"/>
        </w:trPr>
        <w:tc>
          <w:tcPr>
            <w:tcW w:w="420" w:type="dxa"/>
            <w:vAlign w:val="bottom"/>
          </w:tcPr>
          <w:p>
            <w:pPr>
              <w:spacing w:after="0"/>
              <w:rPr>
                <w:sz w:val="21"/>
                <w:szCs w:val="21"/>
                <w:color w:val="auto"/>
              </w:rPr>
            </w:pPr>
          </w:p>
        </w:tc>
        <w:tc>
          <w:tcPr>
            <w:tcW w:w="1720" w:type="dxa"/>
            <w:vAlign w:val="bottom"/>
          </w:tcPr>
          <w:p>
            <w:pPr>
              <w:ind w:left="700"/>
              <w:spacing w:after="0"/>
              <w:rPr>
                <w:sz w:val="20"/>
                <w:szCs w:val="20"/>
                <w:color w:val="auto"/>
              </w:rPr>
            </w:pPr>
            <w:r>
              <w:rPr>
                <w:rFonts w:ascii="Arial" w:cs="Arial" w:eastAsia="Arial" w:hAnsi="Arial"/>
                <w:sz w:val="18"/>
                <w:szCs w:val="18"/>
                <w:color w:val="0000FF"/>
                <w:w w:val="86"/>
              </w:rPr>
              <w:t>Vice President</w:t>
            </w: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r>
      <w:tr>
        <w:trPr>
          <w:trHeight w:val="204"/>
        </w:trPr>
        <w:tc>
          <w:tcPr>
            <w:tcW w:w="4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Form filed by More than One</w:t>
            </w:r>
          </w:p>
        </w:tc>
      </w:tr>
      <w:tr>
        <w:trPr>
          <w:trHeight w:val="162"/>
        </w:trPr>
        <w:tc>
          <w:tcPr>
            <w:tcW w:w="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Reporting Person</w:t>
            </w:r>
          </w:p>
        </w:tc>
      </w:tr>
    </w:tbl>
    <w:p>
      <w:pPr>
        <w:spacing w:after="0" w:line="495" w:lineRule="exact"/>
        <w:rPr>
          <w:sz w:val="24"/>
          <w:szCs w:val="24"/>
          <w:color w:val="auto"/>
        </w:rPr>
      </w:pPr>
    </w:p>
    <w:p>
      <w:pPr>
        <w:sectPr>
          <w:pgSz w:w="11900" w:h="16899" w:orient="portrait"/>
          <w:cols w:equalWidth="0" w:num="2">
            <w:col w:w="4720" w:space="480"/>
            <w:col w:w="62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jc w:val="right"/>
              <w:ind w:right="695"/>
              <w:spacing w:after="0"/>
              <w:rPr>
                <w:sz w:val="20"/>
                <w:szCs w:val="20"/>
                <w:color w:val="auto"/>
              </w:rPr>
            </w:pPr>
            <w:r>
              <w:rPr>
                <w:rFonts w:ascii="Arial" w:cs="Arial" w:eastAsia="Arial" w:hAnsi="Arial"/>
                <w:sz w:val="18"/>
                <w:szCs w:val="18"/>
                <w:color w:val="0000FF"/>
              </w:rPr>
              <w:t>18,141</w:t>
            </w:r>
          </w:p>
        </w:tc>
        <w:tc>
          <w:tcPr>
            <w:tcW w:w="900" w:type="dxa"/>
            <w:vAlign w:val="bottom"/>
          </w:tcPr>
          <w:p>
            <w:pPr>
              <w:ind w:left="62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360" w:type="dxa"/>
            <w:vAlign w:val="bottom"/>
            <w:tcBorders>
              <w:bottom w:val="single" w:sz="8" w:color="2C2C2C"/>
            </w:tcBorders>
            <w:gridSpan w:val="3"/>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9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60" w:type="dxa"/>
            <w:vAlign w:val="bottom"/>
          </w:tcPr>
          <w:p>
            <w:pPr>
              <w:jc w:val="right"/>
              <w:ind w:right="855"/>
              <w:spacing w:after="0"/>
              <w:rPr>
                <w:sz w:val="20"/>
                <w:szCs w:val="20"/>
                <w:color w:val="auto"/>
              </w:rPr>
            </w:pPr>
            <w:r>
              <w:rPr>
                <w:rFonts w:ascii="Arial" w:cs="Arial" w:eastAsia="Arial" w:hAnsi="Arial"/>
                <w:sz w:val="18"/>
                <w:szCs w:val="18"/>
                <w:color w:val="0000FF"/>
              </w:rPr>
              <w:t>78</w:t>
            </w:r>
          </w:p>
        </w:tc>
        <w:tc>
          <w:tcPr>
            <w:tcW w:w="900" w:type="dxa"/>
            <w:vAlign w:val="bottom"/>
          </w:tcPr>
          <w:p>
            <w:pPr>
              <w:ind w:left="660"/>
              <w:spacing w:after="0"/>
              <w:rPr>
                <w:sz w:val="20"/>
                <w:szCs w:val="20"/>
                <w:color w:val="auto"/>
              </w:rPr>
            </w:pPr>
            <w:r>
              <w:rPr>
                <w:rFonts w:ascii="Arial" w:cs="Arial" w:eastAsia="Arial" w:hAnsi="Arial"/>
                <w:sz w:val="18"/>
                <w:szCs w:val="18"/>
                <w:color w:val="0000FF"/>
              </w:rPr>
              <w:t>I</w:t>
            </w:r>
          </w:p>
        </w:tc>
        <w:tc>
          <w:tcPr>
            <w:tcW w:w="3380" w:type="dxa"/>
            <w:vAlign w:val="bottom"/>
            <w:gridSpan w:val="4"/>
          </w:tcPr>
          <w:p>
            <w:pPr>
              <w:ind w:left="480"/>
              <w:spacing w:after="0"/>
              <w:rPr>
                <w:sz w:val="20"/>
                <w:szCs w:val="20"/>
                <w:color w:val="auto"/>
              </w:rPr>
            </w:pPr>
            <w:r>
              <w:rPr>
                <w:rFonts w:ascii="Arial" w:cs="Arial" w:eastAsia="Arial" w:hAnsi="Arial"/>
                <w:sz w:val="18"/>
                <w:szCs w:val="18"/>
                <w:color w:val="0000FF"/>
              </w:rPr>
              <w:t>SL Prof. Sharing Pln</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520" w:type="dxa"/>
            <w:vAlign w:val="bottom"/>
            <w:tcBorders>
              <w:bottom w:val="single" w:sz="8" w:color="2C2C2C"/>
            </w:tcBorders>
          </w:tcPr>
          <w:p>
            <w:pPr>
              <w:spacing w:after="0"/>
              <w:rPr>
                <w:sz w:val="8"/>
                <w:szCs w:val="8"/>
                <w:color w:val="auto"/>
              </w:rPr>
            </w:pPr>
          </w:p>
        </w:tc>
        <w:tc>
          <w:tcPr>
            <w:tcW w:w="45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520" w:type="dxa"/>
            <w:vAlign w:val="bottom"/>
            <w:tcBorders>
              <w:top w:val="single" w:sz="8" w:color="2C2C2C"/>
            </w:tcBorders>
          </w:tcPr>
          <w:p>
            <w:pPr>
              <w:spacing w:after="0"/>
              <w:rPr>
                <w:sz w:val="19"/>
                <w:szCs w:val="19"/>
                <w:color w:val="auto"/>
              </w:rPr>
            </w:pPr>
          </w:p>
        </w:tc>
        <w:tc>
          <w:tcPr>
            <w:tcW w:w="450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900" w:type="dxa"/>
            <w:vAlign w:val="bottom"/>
            <w:gridSpan w:val="6"/>
          </w:tcPr>
          <w:p>
            <w:pPr>
              <w:ind w:left="32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4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20" w:type="dxa"/>
            <w:vAlign w:val="bottom"/>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94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Incentive Stock Option (right to buy)</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6"/>
              </w:rPr>
              <w:t>04/17/2003</w:t>
            </w:r>
            <w:r>
              <w:rPr>
                <w:rFonts w:ascii="Arial" w:cs="Arial" w:eastAsia="Arial" w:hAnsi="Arial"/>
                <w:sz w:val="22"/>
                <w:szCs w:val="22"/>
                <w:color w:val="008000"/>
                <w:w w:val="86"/>
                <w:vertAlign w:val="superscript"/>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04/17/2012</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7"/>
              <w:spacing w:after="0"/>
              <w:rPr>
                <w:sz w:val="20"/>
                <w:szCs w:val="20"/>
                <w:color w:val="auto"/>
              </w:rPr>
            </w:pPr>
            <w:r>
              <w:rPr>
                <w:rFonts w:ascii="Arial" w:cs="Arial" w:eastAsia="Arial" w:hAnsi="Arial"/>
                <w:sz w:val="18"/>
                <w:szCs w:val="18"/>
                <w:color w:val="0000FF"/>
                <w:w w:val="87"/>
              </w:rPr>
              <w:t>17,930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27.873</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Incentive Stock Option (right to buy)</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6"/>
              </w:rPr>
              <w:t>07/21/2005</w:t>
            </w:r>
            <w:r>
              <w:rPr>
                <w:rFonts w:ascii="Arial" w:cs="Arial" w:eastAsia="Arial" w:hAnsi="Arial"/>
                <w:sz w:val="22"/>
                <w:szCs w:val="22"/>
                <w:color w:val="008000"/>
                <w:w w:val="86"/>
                <w:vertAlign w:val="superscript"/>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07/21/2014</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7"/>
              <w:spacing w:after="0"/>
              <w:rPr>
                <w:sz w:val="20"/>
                <w:szCs w:val="20"/>
                <w:color w:val="auto"/>
              </w:rPr>
            </w:pPr>
            <w:r>
              <w:rPr>
                <w:rFonts w:ascii="Arial" w:cs="Arial" w:eastAsia="Arial" w:hAnsi="Arial"/>
                <w:sz w:val="18"/>
                <w:szCs w:val="18"/>
                <w:color w:val="0000FF"/>
                <w:w w:val="88"/>
              </w:rPr>
              <w:t>3,064</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32.618</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Incentive Stock Option (right to buy)</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6"/>
              </w:rPr>
              <w:t>01/22/2010</w:t>
            </w:r>
            <w:r>
              <w:rPr>
                <w:rFonts w:ascii="Arial" w:cs="Arial" w:eastAsia="Arial" w:hAnsi="Arial"/>
                <w:sz w:val="22"/>
                <w:szCs w:val="22"/>
                <w:color w:val="008000"/>
                <w:w w:val="86"/>
                <w:vertAlign w:val="superscript"/>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01/22/2019</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7"/>
              <w:spacing w:after="0"/>
              <w:rPr>
                <w:sz w:val="20"/>
                <w:szCs w:val="20"/>
                <w:color w:val="auto"/>
              </w:rPr>
            </w:pPr>
            <w:r>
              <w:rPr>
                <w:rFonts w:ascii="Arial" w:cs="Arial" w:eastAsia="Arial" w:hAnsi="Arial"/>
                <w:sz w:val="18"/>
                <w:szCs w:val="18"/>
                <w:color w:val="0000FF"/>
                <w:w w:val="88"/>
              </w:rPr>
              <w:t>5,286</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37.845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Incentive Stock Option (right to buy)</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6"/>
              </w:rPr>
              <w:t>01/18/2007</w:t>
            </w:r>
            <w:r>
              <w:rPr>
                <w:rFonts w:ascii="Arial" w:cs="Arial" w:eastAsia="Arial" w:hAnsi="Arial"/>
                <w:sz w:val="22"/>
                <w:szCs w:val="22"/>
                <w:color w:val="008000"/>
                <w:w w:val="86"/>
                <w:vertAlign w:val="superscript"/>
              </w:rPr>
              <w:t>(4)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01/18/2016</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7"/>
              <w:spacing w:after="0"/>
              <w:rPr>
                <w:sz w:val="20"/>
                <w:szCs w:val="20"/>
                <w:color w:val="auto"/>
              </w:rPr>
            </w:pPr>
            <w:r>
              <w:rPr>
                <w:rFonts w:ascii="Arial" w:cs="Arial" w:eastAsia="Arial" w:hAnsi="Arial"/>
                <w:sz w:val="18"/>
                <w:szCs w:val="18"/>
                <w:color w:val="0000FF"/>
                <w:w w:val="88"/>
              </w:rPr>
              <w:t>3,684</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54.235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Incentive Stock Option (right to buy)</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4"/>
              </w:rPr>
              <w:t>01/21/2011</w:t>
            </w:r>
            <w:r>
              <w:rPr>
                <w:rFonts w:ascii="Arial" w:cs="Arial" w:eastAsia="Arial" w:hAnsi="Arial"/>
                <w:sz w:val="22"/>
                <w:szCs w:val="22"/>
                <w:color w:val="008000"/>
                <w:w w:val="84"/>
                <w:vertAlign w:val="superscript"/>
              </w:rPr>
              <w:t>(5)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01/21/2020</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7"/>
              <w:spacing w:after="0"/>
              <w:rPr>
                <w:sz w:val="20"/>
                <w:szCs w:val="20"/>
                <w:color w:val="auto"/>
              </w:rPr>
            </w:pPr>
            <w:r>
              <w:rPr>
                <w:rFonts w:ascii="Arial" w:cs="Arial" w:eastAsia="Arial" w:hAnsi="Arial"/>
                <w:sz w:val="18"/>
                <w:szCs w:val="18"/>
                <w:color w:val="0000FF"/>
                <w:w w:val="88"/>
              </w:rPr>
              <w:t>1,459</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68.505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Incentive Stock Option (right to buy)</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6"/>
              </w:rPr>
              <w:t>07/19/2008</w:t>
            </w:r>
            <w:r>
              <w:rPr>
                <w:rFonts w:ascii="Arial" w:cs="Arial" w:eastAsia="Arial" w:hAnsi="Arial"/>
                <w:sz w:val="22"/>
                <w:szCs w:val="22"/>
                <w:color w:val="008000"/>
                <w:w w:val="86"/>
                <w:vertAlign w:val="superscript"/>
              </w:rPr>
              <w:t>(6)</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07/19/2017</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7"/>
              <w:spacing w:after="0"/>
              <w:rPr>
                <w:sz w:val="20"/>
                <w:szCs w:val="20"/>
                <w:color w:val="auto"/>
              </w:rPr>
            </w:pPr>
            <w:r>
              <w:rPr>
                <w:rFonts w:ascii="Arial" w:cs="Arial" w:eastAsia="Arial" w:hAnsi="Arial"/>
                <w:sz w:val="18"/>
                <w:szCs w:val="18"/>
                <w:color w:val="0000FF"/>
                <w:w w:val="88"/>
              </w:rPr>
              <w:t>2,158</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92.7</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w w:val="94"/>
              </w:rPr>
              <w:t>NQ Stock Option (right to buy) w/ tandem Tax</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6"/>
              </w:rPr>
              <w:t>04/17/2003</w:t>
            </w:r>
            <w:r>
              <w:rPr>
                <w:rFonts w:ascii="Arial" w:cs="Arial" w:eastAsia="Arial" w:hAnsi="Arial"/>
                <w:sz w:val="22"/>
                <w:szCs w:val="22"/>
                <w:color w:val="008000"/>
                <w:w w:val="86"/>
                <w:vertAlign w:val="superscript"/>
              </w:rPr>
              <w:t>(1)</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04/17/2012</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7"/>
              <w:spacing w:after="0"/>
              <w:rPr>
                <w:sz w:val="20"/>
                <w:szCs w:val="20"/>
                <w:color w:val="auto"/>
              </w:rPr>
            </w:pPr>
            <w:r>
              <w:rPr>
                <w:rFonts w:ascii="Arial" w:cs="Arial" w:eastAsia="Arial" w:hAnsi="Arial"/>
                <w:sz w:val="18"/>
                <w:szCs w:val="18"/>
                <w:color w:val="0000FF"/>
                <w:w w:val="88"/>
              </w:rPr>
              <w:t>2,070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27.873</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w w:val="94"/>
              </w:rPr>
              <w:t>NQ Stock Option (right to buy) w/ tandem Tax</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6"/>
              </w:rPr>
              <w:t>04/18/2002</w:t>
            </w:r>
            <w:r>
              <w:rPr>
                <w:rFonts w:ascii="Arial" w:cs="Arial" w:eastAsia="Arial" w:hAnsi="Arial"/>
                <w:sz w:val="22"/>
                <w:szCs w:val="22"/>
                <w:color w:val="008000"/>
                <w:w w:val="86"/>
                <w:vertAlign w:val="superscript"/>
              </w:rPr>
              <w:t>(7)</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04/18/2011</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7"/>
              <w:spacing w:after="0"/>
              <w:rPr>
                <w:sz w:val="20"/>
                <w:szCs w:val="20"/>
                <w:color w:val="auto"/>
              </w:rPr>
            </w:pPr>
            <w:r>
              <w:rPr>
                <w:rFonts w:ascii="Arial" w:cs="Arial" w:eastAsia="Arial" w:hAnsi="Arial"/>
                <w:sz w:val="18"/>
                <w:szCs w:val="18"/>
                <w:color w:val="0000FF"/>
                <w:w w:val="87"/>
              </w:rPr>
              <w:t>10,000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31.188</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w w:val="94"/>
              </w:rPr>
              <w:t>NQ Stock Option (right to buy) w/ tandem Tax</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6"/>
              </w:rPr>
              <w:t>07/21/2005</w:t>
            </w:r>
            <w:r>
              <w:rPr>
                <w:rFonts w:ascii="Arial" w:cs="Arial" w:eastAsia="Arial" w:hAnsi="Arial"/>
                <w:sz w:val="22"/>
                <w:szCs w:val="22"/>
                <w:color w:val="008000"/>
                <w:w w:val="86"/>
                <w:vertAlign w:val="superscript"/>
              </w:rPr>
              <w:t>(2)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07/21/2014</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7"/>
              <w:spacing w:after="0"/>
              <w:rPr>
                <w:sz w:val="20"/>
                <w:szCs w:val="20"/>
                <w:color w:val="auto"/>
              </w:rPr>
            </w:pPr>
            <w:r>
              <w:rPr>
                <w:rFonts w:ascii="Arial" w:cs="Arial" w:eastAsia="Arial" w:hAnsi="Arial"/>
                <w:sz w:val="18"/>
                <w:szCs w:val="18"/>
                <w:color w:val="0000FF"/>
                <w:w w:val="88"/>
              </w:rPr>
              <w:t>4,436</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32.618</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w w:val="94"/>
              </w:rPr>
              <w:t>NQ Stock Option (right to buy) w/ tandem Tax</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6"/>
              </w:rPr>
              <w:t>01/22/2010</w:t>
            </w:r>
            <w:r>
              <w:rPr>
                <w:rFonts w:ascii="Arial" w:cs="Arial" w:eastAsia="Arial" w:hAnsi="Arial"/>
                <w:sz w:val="22"/>
                <w:szCs w:val="22"/>
                <w:color w:val="008000"/>
                <w:w w:val="86"/>
                <w:vertAlign w:val="superscript"/>
              </w:rPr>
              <w:t>(3)</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01/22/2019</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7"/>
              <w:spacing w:after="0"/>
              <w:rPr>
                <w:sz w:val="20"/>
                <w:szCs w:val="20"/>
                <w:color w:val="auto"/>
              </w:rPr>
            </w:pPr>
            <w:r>
              <w:rPr>
                <w:rFonts w:ascii="Arial" w:cs="Arial" w:eastAsia="Arial" w:hAnsi="Arial"/>
                <w:sz w:val="18"/>
                <w:szCs w:val="18"/>
                <w:color w:val="0000FF"/>
                <w:w w:val="87"/>
              </w:rPr>
              <w:t>29,714</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37.845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w w:val="94"/>
              </w:rPr>
              <w:t>NQ Stock Option (right to buy) w/ tandem Tax</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6"/>
              </w:rPr>
              <w:t>10/19/2001</w:t>
            </w:r>
            <w:r>
              <w:rPr>
                <w:rFonts w:ascii="Arial" w:cs="Arial" w:eastAsia="Arial" w:hAnsi="Arial"/>
                <w:sz w:val="22"/>
                <w:szCs w:val="22"/>
                <w:color w:val="008000"/>
                <w:w w:val="86"/>
                <w:vertAlign w:val="superscript"/>
              </w:rPr>
              <w:t>(8)</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10/19/2010</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7"/>
              <w:spacing w:after="0"/>
              <w:rPr>
                <w:sz w:val="20"/>
                <w:szCs w:val="20"/>
                <w:color w:val="auto"/>
              </w:rPr>
            </w:pPr>
            <w:r>
              <w:rPr>
                <w:rFonts w:ascii="Arial" w:cs="Arial" w:eastAsia="Arial" w:hAnsi="Arial"/>
                <w:sz w:val="18"/>
                <w:szCs w:val="18"/>
                <w:color w:val="0000FF"/>
                <w:w w:val="88"/>
              </w:rPr>
              <w:t>8,000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41.141</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w w:val="94"/>
              </w:rPr>
              <w:t>NQ Stock Option (right to buy) w/ tandem Tax</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6"/>
              </w:rPr>
              <w:t>01/18/2007</w:t>
            </w:r>
            <w:r>
              <w:rPr>
                <w:rFonts w:ascii="Arial" w:cs="Arial" w:eastAsia="Arial" w:hAnsi="Arial"/>
                <w:sz w:val="22"/>
                <w:szCs w:val="22"/>
                <w:color w:val="008000"/>
                <w:w w:val="86"/>
                <w:vertAlign w:val="superscript"/>
              </w:rPr>
              <w:t>(4)</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01/18/2016</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7"/>
              <w:spacing w:after="0"/>
              <w:rPr>
                <w:sz w:val="20"/>
                <w:szCs w:val="20"/>
                <w:color w:val="auto"/>
              </w:rPr>
            </w:pPr>
            <w:r>
              <w:rPr>
                <w:rFonts w:ascii="Arial" w:cs="Arial" w:eastAsia="Arial" w:hAnsi="Arial"/>
                <w:sz w:val="18"/>
                <w:szCs w:val="18"/>
                <w:color w:val="0000FF"/>
                <w:w w:val="87"/>
              </w:rPr>
              <w:t>16,316</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54.235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w w:val="94"/>
              </w:rPr>
              <w:t>NQ Stock Option (right to buy) w/ tandem Tax</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6"/>
              </w:rPr>
              <w:t>04/19/2007</w:t>
            </w:r>
            <w:r>
              <w:rPr>
                <w:rFonts w:ascii="Arial" w:cs="Arial" w:eastAsia="Arial" w:hAnsi="Arial"/>
                <w:sz w:val="22"/>
                <w:szCs w:val="22"/>
                <w:color w:val="008000"/>
                <w:w w:val="86"/>
                <w:vertAlign w:val="superscript"/>
              </w:rPr>
              <w:t>(9)</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04/19/2016</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7"/>
              <w:spacing w:after="0"/>
              <w:rPr>
                <w:sz w:val="20"/>
                <w:szCs w:val="20"/>
                <w:color w:val="auto"/>
              </w:rPr>
            </w:pPr>
            <w:r>
              <w:rPr>
                <w:rFonts w:ascii="Arial" w:cs="Arial" w:eastAsia="Arial" w:hAnsi="Arial"/>
                <w:sz w:val="18"/>
                <w:szCs w:val="18"/>
                <w:color w:val="0000FF"/>
                <w:w w:val="87"/>
              </w:rPr>
              <w:t>20,000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66.03</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w w:val="94"/>
              </w:rPr>
              <w:t>NQ Stock Option (right to buy) w/ tandem Tax</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4"/>
              </w:rPr>
              <w:t>01/21/2011</w:t>
            </w:r>
            <w:r>
              <w:rPr>
                <w:rFonts w:ascii="Arial" w:cs="Arial" w:eastAsia="Arial" w:hAnsi="Arial"/>
                <w:sz w:val="22"/>
                <w:szCs w:val="22"/>
                <w:color w:val="008000"/>
                <w:w w:val="84"/>
                <w:vertAlign w:val="superscript"/>
              </w:rPr>
              <w:t>(5)</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01/21/2020</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7"/>
              <w:spacing w:after="0"/>
              <w:rPr>
                <w:sz w:val="20"/>
                <w:szCs w:val="20"/>
                <w:color w:val="auto"/>
              </w:rPr>
            </w:pPr>
            <w:r>
              <w:rPr>
                <w:rFonts w:ascii="Arial" w:cs="Arial" w:eastAsia="Arial" w:hAnsi="Arial"/>
                <w:sz w:val="18"/>
                <w:szCs w:val="18"/>
                <w:color w:val="0000FF"/>
                <w:w w:val="87"/>
              </w:rPr>
              <w:t>28,541</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68.505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w w:val="94"/>
              </w:rPr>
              <w:t>NQ Stock Option (right to buy) w/ tandem Tax</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6"/>
              </w:rPr>
              <w:t>07/19/2008</w:t>
            </w:r>
            <w:r>
              <w:rPr>
                <w:rFonts w:ascii="Arial" w:cs="Arial" w:eastAsia="Arial" w:hAnsi="Arial"/>
                <w:sz w:val="22"/>
                <w:szCs w:val="22"/>
                <w:color w:val="008000"/>
                <w:w w:val="86"/>
                <w:vertAlign w:val="superscript"/>
              </w:rPr>
              <w:t>(6)</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07/19/2017</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7"/>
              <w:spacing w:after="0"/>
              <w:rPr>
                <w:sz w:val="20"/>
                <w:szCs w:val="20"/>
                <w:color w:val="auto"/>
              </w:rPr>
            </w:pPr>
            <w:r>
              <w:rPr>
                <w:rFonts w:ascii="Arial" w:cs="Arial" w:eastAsia="Arial" w:hAnsi="Arial"/>
                <w:sz w:val="18"/>
                <w:szCs w:val="18"/>
                <w:color w:val="0000FF"/>
                <w:w w:val="87"/>
              </w:rPr>
              <w:t>37,842</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5"/>
              </w:rPr>
              <w:t>92.7</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RSU (restricted stock unit)</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3"/>
              </w:rPr>
              <w:t>02/04/2013</w:t>
            </w:r>
            <w:r>
              <w:rPr>
                <w:rFonts w:ascii="Arial" w:cs="Arial" w:eastAsia="Arial" w:hAnsi="Arial"/>
                <w:sz w:val="22"/>
                <w:szCs w:val="22"/>
                <w:color w:val="008000"/>
                <w:w w:val="83"/>
                <w:vertAlign w:val="superscript"/>
              </w:rPr>
              <w:t>(10)</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02/04/2020</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7"/>
              <w:spacing w:after="0"/>
              <w:rPr>
                <w:sz w:val="20"/>
                <w:szCs w:val="20"/>
                <w:color w:val="auto"/>
              </w:rPr>
            </w:pPr>
            <w:r>
              <w:rPr>
                <w:rFonts w:ascii="Arial" w:cs="Arial" w:eastAsia="Arial" w:hAnsi="Arial"/>
                <w:sz w:val="18"/>
                <w:szCs w:val="18"/>
                <w:color w:val="0000FF"/>
                <w:w w:val="88"/>
              </w:rPr>
              <w:t>8,000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Exercisable in five equal annual installments beginning April 17, 2003.</w:t>
      </w:r>
    </w:p>
    <w:p>
      <w:pPr>
        <w:sectPr>
          <w:pgSz w:w="11900" w:h="16899" w:orient="portrait"/>
          <w:cols w:equalWidth="0" w:num="1">
            <w:col w:w="11420"/>
          </w:cols>
          <w:pgMar w:left="240" w:top="226" w:right="239" w:bottom="0" w:gutter="0" w:footer="0" w:header="0"/>
          <w:type w:val="continuous"/>
        </w:sectPr>
      </w:pPr>
    </w:p>
    <w:bookmarkStart w:id="1" w:name="page2"/>
    <w:bookmarkEnd w:id="1"/>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four equal annual installments beginning July 21, 2005</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five equal annual installments beginning January 22, 2010.</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four equal annual installments beginning January 18, 2007.</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five equal annual installments beginning January 21, 2011.</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five equal annual installments beginning July 19, 2008.</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options become exercisable in five equal installments beginning April 18, 2002.</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Exercisable in five equal annual installments beginning October 19, 2001.</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five equal annual installments beginning April 19, 2007.</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restricted stock unit is subject to a 3-year cliff and will become exercisable on February 4, 2013.</w:t>
      </w:r>
    </w:p>
    <w:p>
      <w:pPr>
        <w:spacing w:after="0" w:line="71"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By: /s/Lynda M. Quagliara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95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195070" cy="8890"/>
                    </a:xfrm>
                    <a:prstGeom prst="rect">
                      <a:avLst/>
                    </a:prstGeom>
                    <a:noFill/>
                  </pic:spPr>
                </pic:pic>
              </a:graphicData>
            </a:graphic>
          </wp:anchor>
        </w:drawing>
      </w:r>
    </w:p>
    <w:p>
      <w:pPr>
        <w:ind w:left="6820"/>
        <w:spacing w:after="0"/>
        <w:tabs>
          <w:tab w:leader="none" w:pos="9100" w:val="left"/>
        </w:tabs>
        <w:rPr>
          <w:sz w:val="20"/>
          <w:szCs w:val="20"/>
          <w:color w:val="auto"/>
        </w:rPr>
      </w:pPr>
      <w:r>
        <w:rPr>
          <w:rFonts w:ascii="Arial" w:cs="Arial" w:eastAsia="Arial" w:hAnsi="Arial"/>
          <w:sz w:val="18"/>
          <w:szCs w:val="18"/>
          <w:color w:val="0000FF"/>
        </w:rPr>
        <w:t>Attorney-in-Fact For: Jean-</w:t>
      </w:r>
      <w:r>
        <w:rPr>
          <w:sz w:val="20"/>
          <w:szCs w:val="20"/>
          <w:color w:val="auto"/>
        </w:rPr>
        <w:tab/>
      </w:r>
      <w:r>
        <w:rPr>
          <w:rFonts w:ascii="Arial" w:cs="Arial" w:eastAsia="Arial" w:hAnsi="Arial"/>
          <w:sz w:val="15"/>
          <w:szCs w:val="15"/>
          <w:color w:val="0000FF"/>
        </w:rPr>
        <w:t>05/03/2010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Francois Poupeau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956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95655"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69" w:right="129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SCHLUMBERGER LIMITED</w:t>
      </w:r>
    </w:p>
    <w:p>
      <w:pPr>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5" w:lineRule="exact"/>
        <w:rPr>
          <w:sz w:val="20"/>
          <w:szCs w:val="20"/>
          <w:color w:val="auto"/>
        </w:rPr>
      </w:pPr>
    </w:p>
    <w:p>
      <w:pPr>
        <w:ind w:right="4199" w:firstLine="843"/>
        <w:spacing w:after="0" w:line="271" w:lineRule="auto"/>
        <w:rPr>
          <w:sz w:val="20"/>
          <w:szCs w:val="20"/>
          <w:color w:val="auto"/>
        </w:rPr>
      </w:pPr>
      <w:r>
        <w:rPr>
          <w:rFonts w:ascii="Courier New" w:cs="Courier New" w:eastAsia="Courier New" w:hAnsi="Courier New"/>
          <w:sz w:val="16"/>
          <w:szCs w:val="16"/>
          <w:color w:val="auto"/>
        </w:rPr>
        <w:t>The undersigned, in his capacity as a director or officer, or both, of Schlumberger Limited, a Netherlands Antilles corporation (the Company), does hereby appoint each of Saul R. Laureles and Lynda M. Quagliara, or either of them acting singly, his/her true and lawful attorney in fact with full power of substitution, to (a) prepare, execute in the undersigneds name and on the undersigneds behalf, and submit to the U.S. Securities and Exchange Commission (the SEC)</w:t>
      </w:r>
    </w:p>
    <w:p>
      <w:pPr>
        <w:spacing w:after="0" w:line="186" w:lineRule="exact"/>
        <w:rPr>
          <w:sz w:val="20"/>
          <w:szCs w:val="20"/>
          <w:color w:val="auto"/>
        </w:rPr>
      </w:pPr>
    </w:p>
    <w:p>
      <w:pPr>
        <w:ind w:right="3999"/>
        <w:spacing w:after="0" w:line="237" w:lineRule="auto"/>
        <w:rPr>
          <w:sz w:val="20"/>
          <w:szCs w:val="20"/>
          <w:color w:val="auto"/>
        </w:rPr>
      </w:pPr>
      <w:r>
        <w:rPr>
          <w:rFonts w:ascii="Courier New" w:cs="Courier New" w:eastAsia="Courier New" w:hAnsi="Courier New"/>
          <w:sz w:val="18"/>
          <w:szCs w:val="18"/>
          <w:color w:val="auto"/>
        </w:rPr>
        <w:t>a Form ID, including amendments thereto, and any other documents necessary or appropriate to obtain codes, passwords and passphrases enabling the undersigned to make electronic filings with the SEC of reports required by Section 16(a) of the Securities Exchange Act of 1934, as amended (the Exchange Act), or any rule or regulation of the SEC, and (b) execute for and on behalf of the undersigned, in the undersigneds capacity as a director</w:t>
      </w:r>
    </w:p>
    <w:p>
      <w:pPr>
        <w:spacing w:after="0" w:line="10" w:lineRule="exact"/>
        <w:rPr>
          <w:sz w:val="20"/>
          <w:szCs w:val="20"/>
          <w:color w:val="auto"/>
        </w:rPr>
      </w:pPr>
    </w:p>
    <w:p>
      <w:pPr>
        <w:ind w:right="4199"/>
        <w:spacing w:after="0" w:line="237" w:lineRule="auto"/>
        <w:rPr>
          <w:sz w:val="20"/>
          <w:szCs w:val="20"/>
          <w:color w:val="auto"/>
        </w:rPr>
      </w:pPr>
      <w:r>
        <w:rPr>
          <w:rFonts w:ascii="Courier New" w:cs="Courier New" w:eastAsia="Courier New" w:hAnsi="Courier New"/>
          <w:sz w:val="18"/>
          <w:szCs w:val="18"/>
          <w:color w:val="auto"/>
        </w:rPr>
        <w:t>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6" w:lineRule="exact"/>
        <w:rPr>
          <w:sz w:val="20"/>
          <w:szCs w:val="20"/>
          <w:color w:val="auto"/>
        </w:rPr>
      </w:pPr>
    </w:p>
    <w:p>
      <w:pPr>
        <w:ind w:right="4319" w:firstLine="843"/>
        <w:spacing w:after="0" w:line="237" w:lineRule="auto"/>
        <w:rPr>
          <w:sz w:val="20"/>
          <w:szCs w:val="20"/>
          <w:color w:val="auto"/>
        </w:rPr>
      </w:pPr>
      <w:r>
        <w:rPr>
          <w:rFonts w:ascii="Courier New" w:cs="Courier New" w:eastAsia="Courier New" w:hAnsi="Courier New"/>
          <w:sz w:val="18"/>
          <w:szCs w:val="18"/>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 earlier revoked by the undersigned in a signed writing delivered to the foregoing attorneys in fact. April 30, 2010 /s/ Jean-Francois Poupeau</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358232" TargetMode="External"/><Relationship Id="rId12"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2019-12-18T13:57:53Z</dcterms:created>
  <dcterms:modified xsi:type="dcterms:W3CDTF">2019-12-18T13:57:53Z</dcterms:modified>
</cp:coreProperties>
</file>