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As filed with the Securities and Exchange Commission on February 27,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8" w:lineRule="exact"/>
        <w:rPr>
          <w:sz w:val="24"/>
          <w:szCs w:val="24"/>
          <w:color w:val="auto"/>
        </w:rPr>
      </w:pPr>
    </w:p>
    <w:p>
      <w:pPr>
        <w:ind w:left="460" w:right="5560" w:hanging="452"/>
        <w:spacing w:after="0" w:line="275"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fiscal year ended December 31, 2002</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spacing w:after="0" w:line="207" w:lineRule="exact"/>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TRANSITION REPORT PURSUANT TO SECTION 13 OR 15(d) OF THE</w:t>
      </w:r>
    </w:p>
    <w:p>
      <w:pPr>
        <w:spacing w:after="0" w:line="5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SECURITIES EXCHANGE ACT OF 1934</w:t>
      </w:r>
    </w:p>
    <w:p>
      <w:pPr>
        <w:spacing w:after="0" w:line="138"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1-4601</w:t>
      </w:r>
    </w:p>
    <w:p>
      <w:pPr>
        <w:spacing w:after="0" w:line="12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4840" w:type="dxa"/>
            <w:vAlign w:val="bottom"/>
            <w:gridSpan w:val="3"/>
          </w:tcPr>
          <w:p>
            <w:pPr>
              <w:jc w:val="center"/>
              <w:ind w:right="1252"/>
              <w:spacing w:after="0"/>
              <w:rPr>
                <w:sz w:val="20"/>
                <w:szCs w:val="20"/>
                <w:color w:val="auto"/>
              </w:rPr>
            </w:pPr>
            <w:r>
              <w:rPr>
                <w:rFonts w:ascii="Arial" w:cs="Arial" w:eastAsia="Arial" w:hAnsi="Arial"/>
                <w:sz w:val="18"/>
                <w:szCs w:val="18"/>
                <w:b w:val="1"/>
                <w:bCs w:val="1"/>
                <w:color w:val="auto"/>
                <w:w w:val="88"/>
              </w:rPr>
              <w:t>Netherlands Antilles</w:t>
            </w:r>
          </w:p>
        </w:tc>
        <w:tc>
          <w:tcPr>
            <w:tcW w:w="3380" w:type="dxa"/>
            <w:vAlign w:val="bottom"/>
          </w:tcPr>
          <w:p>
            <w:pPr>
              <w:jc w:val="center"/>
              <w:ind w:left="2097"/>
              <w:spacing w:after="0"/>
              <w:rPr>
                <w:sz w:val="20"/>
                <w:szCs w:val="20"/>
                <w:color w:val="auto"/>
              </w:rPr>
            </w:pPr>
            <w:r>
              <w:rPr>
                <w:rFonts w:ascii="Arial" w:cs="Arial" w:eastAsia="Arial" w:hAnsi="Arial"/>
                <w:sz w:val="18"/>
                <w:szCs w:val="18"/>
                <w:b w:val="1"/>
                <w:bCs w:val="1"/>
                <w:color w:val="auto"/>
                <w:w w:val="87"/>
              </w:rPr>
              <w:t>52-0684746</w:t>
            </w:r>
          </w:p>
        </w:tc>
        <w:tc>
          <w:tcPr>
            <w:tcW w:w="380" w:type="dxa"/>
            <w:vAlign w:val="bottom"/>
          </w:tcPr>
          <w:p>
            <w:pPr>
              <w:spacing w:after="0"/>
              <w:rPr>
                <w:sz w:val="18"/>
                <w:szCs w:val="18"/>
                <w:color w:val="auto"/>
              </w:rPr>
            </w:pPr>
          </w:p>
        </w:tc>
      </w:tr>
      <w:tr>
        <w:trPr>
          <w:trHeight w:val="174"/>
        </w:trPr>
        <w:tc>
          <w:tcPr>
            <w:tcW w:w="4840" w:type="dxa"/>
            <w:vAlign w:val="bottom"/>
            <w:gridSpan w:val="3"/>
          </w:tcPr>
          <w:p>
            <w:pPr>
              <w:jc w:val="center"/>
              <w:ind w:right="1252"/>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760" w:type="dxa"/>
            <w:vAlign w:val="bottom"/>
            <w:gridSpan w:val="2"/>
          </w:tcPr>
          <w:p>
            <w:pPr>
              <w:jc w:val="center"/>
              <w:ind w:left="1717"/>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297"/>
        </w:trPr>
        <w:tc>
          <w:tcPr>
            <w:tcW w:w="4840" w:type="dxa"/>
            <w:vAlign w:val="bottom"/>
            <w:gridSpan w:val="3"/>
          </w:tcPr>
          <w:p>
            <w:pPr>
              <w:jc w:val="center"/>
              <w:ind w:right="1252"/>
              <w:spacing w:after="0"/>
              <w:rPr>
                <w:sz w:val="20"/>
                <w:szCs w:val="20"/>
                <w:color w:val="auto"/>
              </w:rPr>
            </w:pPr>
            <w:r>
              <w:rPr>
                <w:rFonts w:ascii="Arial" w:cs="Arial" w:eastAsia="Arial" w:hAnsi="Arial"/>
                <w:sz w:val="18"/>
                <w:szCs w:val="18"/>
                <w:b w:val="1"/>
                <w:bCs w:val="1"/>
                <w:color w:val="auto"/>
                <w:w w:val="87"/>
              </w:rPr>
              <w:t>153 East 53 Street, 57</w:t>
            </w:r>
            <w:r>
              <w:rPr>
                <w:rFonts w:ascii="Arial" w:cs="Arial" w:eastAsia="Arial" w:hAnsi="Arial"/>
                <w:sz w:val="22"/>
                <w:szCs w:val="22"/>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8"/>
        </w:trPr>
        <w:tc>
          <w:tcPr>
            <w:tcW w:w="4840" w:type="dxa"/>
            <w:vAlign w:val="bottom"/>
            <w:gridSpan w:val="3"/>
          </w:tcPr>
          <w:p>
            <w:pPr>
              <w:jc w:val="center"/>
              <w:ind w:right="1252"/>
              <w:spacing w:after="0"/>
              <w:rPr>
                <w:sz w:val="20"/>
                <w:szCs w:val="20"/>
                <w:color w:val="auto"/>
              </w:rPr>
            </w:pPr>
            <w:r>
              <w:rPr>
                <w:rFonts w:ascii="Arial" w:cs="Arial" w:eastAsia="Arial" w:hAnsi="Arial"/>
                <w:sz w:val="18"/>
                <w:szCs w:val="18"/>
                <w:b w:val="1"/>
                <w:bCs w:val="1"/>
                <w:color w:val="auto"/>
                <w:w w:val="90"/>
              </w:rPr>
              <w:t>New York, New York, U.S.A.</w:t>
            </w:r>
          </w:p>
        </w:tc>
        <w:tc>
          <w:tcPr>
            <w:tcW w:w="3380" w:type="dxa"/>
            <w:vAlign w:val="bottom"/>
          </w:tcPr>
          <w:p>
            <w:pPr>
              <w:jc w:val="center"/>
              <w:ind w:left="2097"/>
              <w:spacing w:after="0"/>
              <w:rPr>
                <w:sz w:val="20"/>
                <w:szCs w:val="20"/>
                <w:color w:val="auto"/>
              </w:rPr>
            </w:pPr>
            <w:r>
              <w:rPr>
                <w:rFonts w:ascii="Arial" w:cs="Arial" w:eastAsia="Arial" w:hAnsi="Arial"/>
                <w:sz w:val="18"/>
                <w:szCs w:val="18"/>
                <w:b w:val="1"/>
                <w:bCs w:val="1"/>
                <w:color w:val="auto"/>
                <w:w w:val="87"/>
              </w:rPr>
              <w:t>10022-4624</w:t>
            </w:r>
          </w:p>
        </w:tc>
        <w:tc>
          <w:tcPr>
            <w:tcW w:w="380" w:type="dxa"/>
            <w:vAlign w:val="bottom"/>
          </w:tcPr>
          <w:p>
            <w:pPr>
              <w:spacing w:after="0"/>
              <w:rPr>
                <w:sz w:val="19"/>
                <w:szCs w:val="19"/>
                <w:color w:val="auto"/>
              </w:rPr>
            </w:pPr>
          </w:p>
        </w:tc>
      </w:tr>
      <w:tr>
        <w:trPr>
          <w:trHeight w:val="312"/>
        </w:trPr>
        <w:tc>
          <w:tcPr>
            <w:tcW w:w="4840" w:type="dxa"/>
            <w:vAlign w:val="bottom"/>
            <w:gridSpan w:val="3"/>
          </w:tcPr>
          <w:p>
            <w:pPr>
              <w:jc w:val="center"/>
              <w:ind w:right="1252"/>
              <w:spacing w:after="0"/>
              <w:rPr>
                <w:sz w:val="20"/>
                <w:szCs w:val="20"/>
                <w:color w:val="auto"/>
              </w:rPr>
            </w:pPr>
            <w:r>
              <w:rPr>
                <w:rFonts w:ascii="Arial" w:cs="Arial" w:eastAsia="Arial" w:hAnsi="Arial"/>
                <w:sz w:val="18"/>
                <w:szCs w:val="18"/>
                <w:b w:val="1"/>
                <w:bCs w:val="1"/>
                <w:color w:val="auto"/>
                <w:w w:val="88"/>
              </w:rPr>
              <w:t>42, rue Saint-Dominique</w:t>
            </w: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8"/>
        </w:trPr>
        <w:tc>
          <w:tcPr>
            <w:tcW w:w="1060" w:type="dxa"/>
            <w:vAlign w:val="bottom"/>
          </w:tcPr>
          <w:p>
            <w:pPr>
              <w:spacing w:after="0"/>
              <w:rPr>
                <w:sz w:val="19"/>
                <w:szCs w:val="19"/>
                <w:color w:val="auto"/>
              </w:rPr>
            </w:pPr>
          </w:p>
        </w:tc>
        <w:tc>
          <w:tcPr>
            <w:tcW w:w="3780" w:type="dxa"/>
            <w:vAlign w:val="bottom"/>
            <w:gridSpan w:val="2"/>
          </w:tcPr>
          <w:p>
            <w:pPr>
              <w:jc w:val="center"/>
              <w:ind w:right="2312"/>
              <w:spacing w:after="0"/>
              <w:rPr>
                <w:sz w:val="20"/>
                <w:szCs w:val="20"/>
                <w:color w:val="auto"/>
              </w:rPr>
            </w:pPr>
            <w:r>
              <w:rPr>
                <w:rFonts w:ascii="Arial" w:cs="Arial" w:eastAsia="Arial" w:hAnsi="Arial"/>
                <w:sz w:val="18"/>
                <w:szCs w:val="18"/>
                <w:b w:val="1"/>
                <w:bCs w:val="1"/>
                <w:color w:val="auto"/>
                <w:w w:val="90"/>
              </w:rPr>
              <w:t>Paris, France</w:t>
            </w:r>
          </w:p>
        </w:tc>
        <w:tc>
          <w:tcPr>
            <w:tcW w:w="3380" w:type="dxa"/>
            <w:vAlign w:val="bottom"/>
          </w:tcPr>
          <w:p>
            <w:pPr>
              <w:jc w:val="center"/>
              <w:ind w:left="2097"/>
              <w:spacing w:after="0"/>
              <w:rPr>
                <w:sz w:val="20"/>
                <w:szCs w:val="20"/>
                <w:color w:val="auto"/>
              </w:rPr>
            </w:pPr>
            <w:r>
              <w:rPr>
                <w:rFonts w:ascii="Arial" w:cs="Arial" w:eastAsia="Arial" w:hAnsi="Arial"/>
                <w:sz w:val="18"/>
                <w:szCs w:val="18"/>
                <w:b w:val="1"/>
                <w:bCs w:val="1"/>
                <w:color w:val="auto"/>
                <w:w w:val="87"/>
              </w:rPr>
              <w:t>75007</w:t>
            </w:r>
          </w:p>
        </w:tc>
        <w:tc>
          <w:tcPr>
            <w:tcW w:w="380" w:type="dxa"/>
            <w:vAlign w:val="bottom"/>
          </w:tcPr>
          <w:p>
            <w:pPr>
              <w:spacing w:after="0"/>
              <w:rPr>
                <w:sz w:val="19"/>
                <w:szCs w:val="19"/>
                <w:color w:val="auto"/>
              </w:rPr>
            </w:pPr>
          </w:p>
        </w:tc>
      </w:tr>
      <w:tr>
        <w:trPr>
          <w:trHeight w:val="312"/>
        </w:trPr>
        <w:tc>
          <w:tcPr>
            <w:tcW w:w="4840" w:type="dxa"/>
            <w:vAlign w:val="bottom"/>
            <w:gridSpan w:val="3"/>
          </w:tcPr>
          <w:p>
            <w:pPr>
              <w:jc w:val="center"/>
              <w:ind w:right="1252"/>
              <w:spacing w:after="0"/>
              <w:rPr>
                <w:sz w:val="20"/>
                <w:szCs w:val="20"/>
                <w:color w:val="auto"/>
              </w:rPr>
            </w:pPr>
            <w:r>
              <w:rPr>
                <w:rFonts w:ascii="Arial" w:cs="Arial" w:eastAsia="Arial" w:hAnsi="Arial"/>
                <w:sz w:val="18"/>
                <w:szCs w:val="18"/>
                <w:b w:val="1"/>
                <w:bCs w:val="1"/>
                <w:color w:val="auto"/>
                <w:w w:val="89"/>
              </w:rPr>
              <w:t>Parkstraat 83, The Hague,</w:t>
            </w: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8"/>
        </w:trPr>
        <w:tc>
          <w:tcPr>
            <w:tcW w:w="1060" w:type="dxa"/>
            <w:vAlign w:val="bottom"/>
          </w:tcPr>
          <w:p>
            <w:pPr>
              <w:spacing w:after="0"/>
              <w:rPr>
                <w:sz w:val="18"/>
                <w:szCs w:val="18"/>
                <w:color w:val="auto"/>
              </w:rPr>
            </w:pPr>
          </w:p>
        </w:tc>
        <w:tc>
          <w:tcPr>
            <w:tcW w:w="3780" w:type="dxa"/>
            <w:vAlign w:val="bottom"/>
            <w:gridSpan w:val="2"/>
          </w:tcPr>
          <w:p>
            <w:pPr>
              <w:jc w:val="center"/>
              <w:ind w:right="2312"/>
              <w:spacing w:after="0"/>
              <w:rPr>
                <w:sz w:val="20"/>
                <w:szCs w:val="20"/>
                <w:color w:val="auto"/>
              </w:rPr>
            </w:pPr>
            <w:r>
              <w:rPr>
                <w:rFonts w:ascii="Arial" w:cs="Arial" w:eastAsia="Arial" w:hAnsi="Arial"/>
                <w:sz w:val="18"/>
                <w:szCs w:val="18"/>
                <w:b w:val="1"/>
                <w:bCs w:val="1"/>
                <w:color w:val="auto"/>
                <w:w w:val="89"/>
              </w:rPr>
              <w:t>The Netherlands</w:t>
            </w:r>
          </w:p>
        </w:tc>
        <w:tc>
          <w:tcPr>
            <w:tcW w:w="3760" w:type="dxa"/>
            <w:vAlign w:val="bottom"/>
            <w:gridSpan w:val="2"/>
          </w:tcPr>
          <w:p>
            <w:pPr>
              <w:jc w:val="center"/>
              <w:ind w:left="1737"/>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840" w:type="dxa"/>
            <w:vAlign w:val="bottom"/>
            <w:gridSpan w:val="3"/>
          </w:tcPr>
          <w:p>
            <w:pPr>
              <w:jc w:val="center"/>
              <w:ind w:right="1252"/>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760" w:type="dxa"/>
            <w:vAlign w:val="bottom"/>
            <w:gridSpan w:val="2"/>
          </w:tcPr>
          <w:p>
            <w:pPr>
              <w:jc w:val="center"/>
              <w:ind w:left="1717"/>
              <w:spacing w:after="0"/>
              <w:rPr>
                <w:sz w:val="20"/>
                <w:szCs w:val="20"/>
                <w:color w:val="auto"/>
              </w:rPr>
            </w:pPr>
            <w:r>
              <w:rPr>
                <w:rFonts w:ascii="Arial" w:cs="Arial" w:eastAsia="Arial" w:hAnsi="Arial"/>
                <w:sz w:val="14"/>
                <w:szCs w:val="14"/>
                <w:b w:val="1"/>
                <w:bCs w:val="1"/>
                <w:color w:val="auto"/>
                <w:w w:val="88"/>
              </w:rPr>
              <w:t>(Zip Codes)</w:t>
            </w:r>
          </w:p>
        </w:tc>
      </w:tr>
      <w:tr>
        <w:trPr>
          <w:trHeight w:val="350"/>
        </w:trPr>
        <w:tc>
          <w:tcPr>
            <w:tcW w:w="1060" w:type="dxa"/>
            <w:vAlign w:val="bottom"/>
          </w:tcPr>
          <w:p>
            <w:pPr>
              <w:spacing w:after="0"/>
              <w:rPr>
                <w:sz w:val="24"/>
                <w:szCs w:val="24"/>
                <w:color w:val="auto"/>
              </w:rPr>
            </w:pPr>
          </w:p>
        </w:tc>
        <w:tc>
          <w:tcPr>
            <w:tcW w:w="75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Registrant’s telephone number in the United States, including area code, is: (212) 350-9400</w:t>
            </w:r>
          </w:p>
        </w:tc>
      </w:tr>
      <w:tr>
        <w:trPr>
          <w:trHeight w:val="365"/>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14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12"/>
        </w:trPr>
        <w:tc>
          <w:tcPr>
            <w:tcW w:w="1060" w:type="dxa"/>
            <w:vAlign w:val="bottom"/>
          </w:tcPr>
          <w:p>
            <w:pPr>
              <w:spacing w:after="0"/>
              <w:rPr>
                <w:sz w:val="24"/>
                <w:szCs w:val="24"/>
                <w:color w:val="auto"/>
              </w:rPr>
            </w:pPr>
          </w:p>
        </w:tc>
        <w:tc>
          <w:tcPr>
            <w:tcW w:w="3780" w:type="dxa"/>
            <w:vAlign w:val="bottom"/>
            <w:gridSpan w:val="2"/>
          </w:tcPr>
          <w:p>
            <w:pPr>
              <w:jc w:val="center"/>
              <w:ind w:right="2312"/>
              <w:spacing w:after="0"/>
              <w:rPr>
                <w:sz w:val="20"/>
                <w:szCs w:val="20"/>
                <w:color w:val="auto"/>
              </w:rPr>
            </w:pPr>
            <w:r>
              <w:rPr>
                <w:rFonts w:ascii="Arial" w:cs="Arial" w:eastAsia="Arial" w:hAnsi="Arial"/>
                <w:sz w:val="14"/>
                <w:szCs w:val="14"/>
                <w:b w:val="1"/>
                <w:bCs w:val="1"/>
                <w:color w:val="auto"/>
                <w:w w:val="84"/>
              </w:rPr>
              <w:t>Title of each class</w:t>
            </w: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95"/>
        </w:trPr>
        <w:tc>
          <w:tcPr>
            <w:tcW w:w="106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r>
      <w:tr>
        <w:trPr>
          <w:trHeight w:val="309"/>
        </w:trPr>
        <w:tc>
          <w:tcPr>
            <w:tcW w:w="4840" w:type="dxa"/>
            <w:vAlign w:val="bottom"/>
            <w:gridSpan w:val="3"/>
          </w:tcPr>
          <w:p>
            <w:pPr>
              <w:jc w:val="center"/>
              <w:ind w:right="1252"/>
              <w:spacing w:after="0"/>
              <w:rPr>
                <w:sz w:val="20"/>
                <w:szCs w:val="20"/>
                <w:color w:val="auto"/>
              </w:rPr>
            </w:pPr>
            <w:r>
              <w:rPr>
                <w:rFonts w:ascii="Arial" w:cs="Arial" w:eastAsia="Arial" w:hAnsi="Arial"/>
                <w:sz w:val="18"/>
                <w:szCs w:val="18"/>
                <w:color w:val="auto"/>
                <w:w w:val="86"/>
              </w:rPr>
              <w:t>Common Stock, par value $0.01 per share</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New York Stock Exchange</w:t>
            </w:r>
          </w:p>
        </w:tc>
      </w:tr>
      <w:tr>
        <w:trPr>
          <w:trHeight w:val="216"/>
        </w:trPr>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Euronext Paris</w:t>
            </w:r>
          </w:p>
        </w:tc>
      </w:tr>
      <w:tr>
        <w:trPr>
          <w:trHeight w:val="216"/>
        </w:trPr>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Euronext Amsterdam</w:t>
            </w:r>
          </w:p>
        </w:tc>
      </w:tr>
      <w:tr>
        <w:trPr>
          <w:trHeight w:val="216"/>
        </w:trPr>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The London Stock Exchange</w:t>
            </w:r>
          </w:p>
        </w:tc>
      </w:tr>
      <w:tr>
        <w:trPr>
          <w:trHeight w:val="222"/>
        </w:trPr>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SWX Swiss Exchange</w:t>
            </w:r>
          </w:p>
        </w:tc>
      </w:tr>
    </w:tbl>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64" w:lineRule="exact"/>
        <w:rPr>
          <w:sz w:val="24"/>
          <w:szCs w:val="24"/>
          <w:color w:val="auto"/>
        </w:rPr>
      </w:pPr>
    </w:p>
    <w:p>
      <w:pPr>
        <w:jc w:val="both"/>
        <w:ind w:right="40"/>
        <w:spacing w:after="0" w:line="225"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9" w:lineRule="exact"/>
        <w:rPr>
          <w:sz w:val="24"/>
          <w:szCs w:val="24"/>
          <w:color w:val="auto"/>
        </w:rPr>
      </w:pPr>
    </w:p>
    <w:p>
      <w:pPr>
        <w:spacing w:after="0" w:line="184" w:lineRule="exact"/>
        <w:tabs>
          <w:tab w:leader="none" w:pos="824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As of June 28, 2002, the aggregate market value of the common stock of the registrant held by non-affiliates of the registrant was approximately $26 billion.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20, 2003, Number of Shares of Common Stock Outstanding: 582,204,604.</w:t>
      </w:r>
    </w:p>
    <w:p>
      <w:pPr>
        <w:spacing w:after="0" w:line="1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Portions of the following documents have been incorporated herein by reference into the Parts indicated: Definitive Proxy Statement for the Annual General Meeting of Stockholders to be held April 11, 2003 (“Proxy Statement”), Part III.</w:t>
      </w:r>
    </w:p>
    <w:p>
      <w:pPr>
        <w:sectPr>
          <w:pgSz w:w="11900" w:h="16838" w:orient="portrait"/>
          <w:cols w:equalWidth="0" w:num="1">
            <w:col w:w="11320"/>
          </w:cols>
          <w:pgMar w:left="240" w:top="230" w:right="339" w:bottom="491" w:gutter="0" w:footer="0" w:header="0"/>
        </w:sectPr>
      </w:pP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20"/>
          </w:cols>
          <w:pgMar w:left="240" w:top="230" w:right="339" w:bottom="491"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900" w:type="dxa"/>
            <w:vAlign w:val="bottom"/>
            <w:gridSpan w:val="11"/>
          </w:tcPr>
          <w:p>
            <w:pPr>
              <w:jc w:val="center"/>
              <w:ind w:right="2680"/>
              <w:spacing w:after="0"/>
              <w:rPr>
                <w:sz w:val="20"/>
                <w:szCs w:val="20"/>
                <w:color w:val="auto"/>
              </w:rPr>
            </w:pPr>
            <w:r>
              <w:rPr>
                <w:rFonts w:ascii="Arial" w:cs="Arial" w:eastAsia="Arial" w:hAnsi="Arial"/>
                <w:sz w:val="18"/>
                <w:szCs w:val="18"/>
                <w:b w:val="1"/>
                <w:bCs w:val="1"/>
                <w:color w:val="auto"/>
              </w:rPr>
              <w:t>SCHLUMBERGER LIMITED</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7"/>
          </w:tcPr>
          <w:p>
            <w:pPr>
              <w:jc w:val="center"/>
              <w:ind w:right="4580"/>
              <w:spacing w:after="0"/>
              <w:rPr>
                <w:sz w:val="20"/>
                <w:szCs w:val="20"/>
                <w:color w:val="auto"/>
              </w:rPr>
            </w:pPr>
            <w:r>
              <w:rPr>
                <w:rFonts w:ascii="Arial" w:cs="Arial" w:eastAsia="Arial" w:hAnsi="Arial"/>
                <w:sz w:val="18"/>
                <w:szCs w:val="18"/>
                <w:color w:val="auto"/>
                <w:w w:val="87"/>
              </w:rPr>
              <w:t>Table of Contents</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980" w:type="dxa"/>
            <w:vAlign w:val="bottom"/>
            <w:gridSpan w:val="7"/>
          </w:tcPr>
          <w:p>
            <w:pPr>
              <w:jc w:val="center"/>
              <w:ind w:right="4600"/>
              <w:spacing w:after="0"/>
              <w:rPr>
                <w:sz w:val="20"/>
                <w:szCs w:val="20"/>
                <w:color w:val="auto"/>
              </w:rPr>
            </w:pPr>
            <w:r>
              <w:rPr>
                <w:rFonts w:ascii="Arial" w:cs="Arial" w:eastAsia="Arial" w:hAnsi="Arial"/>
                <w:sz w:val="18"/>
                <w:szCs w:val="18"/>
                <w:color w:val="auto"/>
                <w:w w:val="91"/>
              </w:rPr>
              <w:t>Form 10-K</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95"/>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Properties</w:t>
              </w:r>
            </w:hyperlink>
          </w:p>
        </w:tc>
        <w:tc>
          <w:tcPr>
            <w:tcW w:w="8940" w:type="dxa"/>
            <w:vAlign w:val="bottom"/>
            <w:gridSpan w:val="1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Submission of Matters to a Vote of Security Holders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3"/>
        </w:trPr>
        <w:tc>
          <w:tcPr>
            <w:tcW w:w="13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966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Market for Schlumberger’s Common Stock and Related Stockholder Matters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Selected Financial Data</w:t>
              </w:r>
            </w:hyperlink>
          </w:p>
        </w:tc>
        <w:tc>
          <w:tcPr>
            <w:tcW w:w="3720" w:type="dxa"/>
            <w:vAlign w:val="bottom"/>
            <w:tcBorders>
              <w:top w:val="single" w:sz="8" w:color="0000EE"/>
            </w:tcBorders>
            <w:gridSpan w:val="8"/>
          </w:tcPr>
          <w:p>
            <w:pPr>
              <w:spacing w:after="0"/>
              <w:rPr>
                <w:sz w:val="24"/>
                <w:szCs w:val="24"/>
                <w:color w:val="auto"/>
              </w:rPr>
            </w:pPr>
          </w:p>
        </w:tc>
        <w:tc>
          <w:tcPr>
            <w:tcW w:w="426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7.</w:t>
            </w:r>
          </w:p>
        </w:tc>
        <w:tc>
          <w:tcPr>
            <w:tcW w:w="966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36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Financial Statements and Supplementary Data</w:t>
              </w:r>
            </w:hyperlink>
          </w:p>
        </w:tc>
        <w:tc>
          <w:tcPr>
            <w:tcW w:w="640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1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43"/>
        </w:trPr>
        <w:tc>
          <w:tcPr>
            <w:tcW w:w="13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Directors and Executive Officers of Schlumberger</w:t>
              </w:r>
            </w:hyperlink>
          </w:p>
        </w:tc>
        <w:tc>
          <w:tcPr>
            <w:tcW w:w="612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11.</w:t>
            </w:r>
          </w:p>
        </w:tc>
        <w:tc>
          <w:tcPr>
            <w:tcW w:w="9660" w:type="dxa"/>
            <w:vAlign w:val="bottom"/>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Security Ownership of Certain Beneficial Owners and Management and Related Stockholder Matters</w:t>
              </w:r>
            </w:hyperlink>
          </w:p>
        </w:tc>
        <w:tc>
          <w:tcPr>
            <w:tcW w:w="25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13.</w:t>
            </w:r>
          </w:p>
        </w:tc>
        <w:tc>
          <w:tcPr>
            <w:tcW w:w="33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Certain Relationships and Related Transactions</w:t>
              </w:r>
            </w:hyperlink>
          </w:p>
        </w:tc>
        <w:tc>
          <w:tcPr>
            <w:tcW w:w="632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14.</w:t>
            </w:r>
          </w:p>
        </w:tc>
        <w:tc>
          <w:tcPr>
            <w:tcW w:w="9660" w:type="dxa"/>
            <w:vAlign w:val="bottom"/>
            <w:gridSpan w:val="1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43"/>
        </w:trPr>
        <w:tc>
          <w:tcPr>
            <w:tcW w:w="13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color w:val="auto"/>
              </w:rPr>
              <w:t>Item 15.</w:t>
            </w:r>
          </w:p>
        </w:tc>
        <w:tc>
          <w:tcPr>
            <w:tcW w:w="966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 Financial Statement Schedules and Reports on Form 8-K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4680" w:type="dxa"/>
            <w:vAlign w:val="bottom"/>
            <w:tcBorders>
              <w:top w:val="single" w:sz="8" w:color="0000EE"/>
            </w:tcBorders>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498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9660" w:type="dxa"/>
            <w:vAlign w:val="bottom"/>
            <w:gridSpan w:val="1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Certifications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w w:val="86"/>
              </w:rPr>
              <w:t>75-76</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960" w:type="dxa"/>
            <w:vAlign w:val="bottom"/>
            <w:tcBorders>
              <w:top w:val="single" w:sz="8" w:color="0000EE"/>
            </w:tcBorders>
            <w:gridSpan w:val="4"/>
          </w:tcPr>
          <w:p>
            <w:pPr>
              <w:spacing w:after="0"/>
              <w:rPr>
                <w:sz w:val="24"/>
                <w:szCs w:val="24"/>
                <w:color w:val="auto"/>
              </w:rPr>
            </w:pPr>
          </w:p>
        </w:tc>
        <w:tc>
          <w:tcPr>
            <w:tcW w:w="3720" w:type="dxa"/>
            <w:vAlign w:val="bottom"/>
            <w:gridSpan w:val="9"/>
          </w:tcPr>
          <w:p>
            <w:pPr>
              <w:jc w:val="center"/>
              <w:ind w:left="3032"/>
              <w:spacing w:after="0"/>
              <w:rPr>
                <w:sz w:val="20"/>
                <w:szCs w:val="20"/>
                <w:color w:val="auto"/>
              </w:rPr>
            </w:pPr>
            <w:r>
              <w:rPr>
                <w:rFonts w:ascii="Arial" w:cs="Arial" w:eastAsia="Arial" w:hAnsi="Arial"/>
                <w:sz w:val="18"/>
                <w:szCs w:val="18"/>
                <w:color w:val="auto"/>
                <w:w w:val="79"/>
              </w:rPr>
              <w:t>2</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references herein to “Registrant”, “Company” and “Schlumberger” refer to Schlumberger Limited and its consolidated subsidiaries. The following discussion of results should be read in conjunction with the Consolidated Financial Statements.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Founded in 1927, Schlumberger Limited is a global technology services company consisting of three business segments: first, Schlumberger Oilfield Services, one of the leading providers of technology services and solutions to the international petroleum industry; second, SchlumbergerSema, an IT services company providing consulting and systems integration services, and network and infrastructure solutions, primarily to the global energy sector, including oil and gas, and other regional markets spanning the telecommunications, finance and public sectors and third, the Other business segment which principally comprises the Cards, Terminals, Meters North America and NPTest activities. With approximately 78,500 employees and operations in over 100 countries, Schlumberger has principal executive offices in Paris, New York and The Hague. The following summary describes the services and products for each business segment.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Schlumberger Oilfield Services </w:t>
      </w:r>
      <w:r>
        <w:rPr>
          <w:rFonts w:ascii="Arial" w:cs="Arial" w:eastAsia="Arial" w:hAnsi="Arial"/>
          <w:sz w:val="18"/>
          <w:szCs w:val="18"/>
          <w:color w:val="auto"/>
        </w:rPr>
        <w:t>is one of the leading providers of technology services and solutions to the international petroleum industry.</w:t>
      </w:r>
    </w:p>
    <w:p>
      <w:pPr>
        <w:spacing w:after="0" w:line="16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With 48,000 employees, Schlumberger Oilfield Services manages its business through 27 Oilfield Services GeoMarket* regions, which are grouped into four geographic areas: North America; Latin America; Europe, CIS and West Africa; and the Middle East &amp; Asia. The GeoMarket regions offer customers a single point of contact at the local level for field operations and bring together geographically focused teams to meet local needs and deliver customized solutions.</w:t>
      </w:r>
    </w:p>
    <w:p>
      <w:pPr>
        <w:spacing w:after="0" w:line="93"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Schlumberger invented wireline logging in 1927 as a technique for obtaining downhole data in oil and gas wells. Today, Schlumberger Oilfield Services operates in each of the major oilfield service markets covering the entire life cycle of the reservoir. These services are organized into seven technology segments, in which Schlumberger holds a number of market leading positions, to capitalize on technical synergies and introduce innovative solutions within the GeoMarket regions.</w:t>
      </w:r>
    </w:p>
    <w:p>
      <w:pPr>
        <w:spacing w:after="0" w:line="75" w:lineRule="exact"/>
        <w:rPr>
          <w:sz w:val="20"/>
          <w:szCs w:val="20"/>
          <w:color w:val="auto"/>
        </w:rPr>
      </w:pPr>
    </w:p>
    <w:p>
      <w:pPr>
        <w:ind w:left="760" w:right="400" w:hanging="306"/>
        <w:spacing w:after="0" w:line="203" w:lineRule="auto"/>
        <w:tabs>
          <w:tab w:leader="none" w:pos="76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Wireline – services that provide the information necessary to evaluate the reservoir, plan and monitor well construction, and monitor and evaluate production, divided into open-hole and cased-hole wireline logging.</w:t>
      </w:r>
    </w:p>
    <w:p>
      <w:pPr>
        <w:ind w:left="760" w:hanging="306"/>
        <w:spacing w:after="0" w:line="219" w:lineRule="auto"/>
        <w:tabs>
          <w:tab w:leader="none" w:pos="76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Drilling &amp; Measurements – directional drilling, measurement-while-drilling and logging-while-drilling services.</w:t>
      </w:r>
    </w:p>
    <w:p>
      <w:pPr>
        <w:spacing w:after="0" w:line="102" w:lineRule="exact"/>
        <w:rPr>
          <w:rFonts w:ascii="Arial" w:cs="Arial" w:eastAsia="Arial" w:hAnsi="Arial"/>
          <w:sz w:val="27"/>
          <w:szCs w:val="27"/>
          <w:color w:val="auto"/>
          <w:vertAlign w:val="superscript"/>
        </w:rPr>
      </w:pPr>
    </w:p>
    <w:p>
      <w:pPr>
        <w:ind w:left="760" w:right="260" w:hanging="306"/>
        <w:spacing w:after="0" w:line="196" w:lineRule="auto"/>
        <w:tabs>
          <w:tab w:leader="none" w:pos="76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Well Services – services to construct oil and gas wells, as well as maintain optimal production through the life of an oil and gas field. These include pressure pumping, well stimulation services, coiled tubing, cementing and engineering services.</w:t>
      </w:r>
    </w:p>
    <w:p>
      <w:pPr>
        <w:spacing w:after="0" w:line="63" w:lineRule="exact"/>
        <w:rPr>
          <w:rFonts w:ascii="Arial" w:cs="Arial" w:eastAsia="Arial" w:hAnsi="Arial"/>
          <w:sz w:val="27"/>
          <w:szCs w:val="27"/>
          <w:color w:val="auto"/>
          <w:vertAlign w:val="superscript"/>
        </w:rPr>
      </w:pPr>
    </w:p>
    <w:p>
      <w:pPr>
        <w:ind w:left="760" w:right="20" w:hanging="306"/>
        <w:spacing w:after="0" w:line="203" w:lineRule="auto"/>
        <w:tabs>
          <w:tab w:leader="none" w:pos="76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Well Completions &amp; Productivity – services for testing, completing and producing oil and gas wells ranging from well testing and perforating services, completions systems, intelligent completions to a full spectrum of artificial lift services.</w:t>
      </w:r>
    </w:p>
    <w:p>
      <w:pPr>
        <w:spacing w:after="0" w:line="62" w:lineRule="exact"/>
        <w:rPr>
          <w:rFonts w:ascii="Arial" w:cs="Arial" w:eastAsia="Arial" w:hAnsi="Arial"/>
          <w:sz w:val="27"/>
          <w:szCs w:val="27"/>
          <w:color w:val="auto"/>
          <w:vertAlign w:val="superscript"/>
        </w:rPr>
      </w:pPr>
    </w:p>
    <w:p>
      <w:pPr>
        <w:ind w:left="760" w:right="620" w:hanging="306"/>
        <w:spacing w:after="0" w:line="203" w:lineRule="auto"/>
        <w:tabs>
          <w:tab w:leader="none" w:pos="76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Integrated Project Management – consulting, project management and engineering services leveraging the expertise from the other technology segments for the E&amp;P industry.</w:t>
      </w:r>
    </w:p>
    <w:p>
      <w:pPr>
        <w:spacing w:after="0" w:line="62" w:lineRule="exact"/>
        <w:rPr>
          <w:rFonts w:ascii="Arial" w:cs="Arial" w:eastAsia="Arial" w:hAnsi="Arial"/>
          <w:sz w:val="27"/>
          <w:szCs w:val="27"/>
          <w:color w:val="auto"/>
          <w:vertAlign w:val="superscript"/>
        </w:rPr>
      </w:pPr>
    </w:p>
    <w:p>
      <w:pPr>
        <w:ind w:left="760" w:right="260" w:hanging="306"/>
        <w:spacing w:after="0" w:line="203" w:lineRule="auto"/>
        <w:tabs>
          <w:tab w:leader="none" w:pos="76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Schlumberger Information Solutions – integrated business solutions comprising GeoQuest software, information management services, information technology and a complete range of expert services.</w:t>
      </w:r>
    </w:p>
    <w:p>
      <w:pPr>
        <w:ind w:left="760" w:hanging="306"/>
        <w:spacing w:after="0" w:line="219" w:lineRule="auto"/>
        <w:tabs>
          <w:tab w:leader="none" w:pos="76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WesternGeco Joint Venture (70% Schlumberger, 30% Baker Hughes) – land and marine seismic acquisition and processing.</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technology segments are also responsible for overseeing operational processes, resource allocation, personnel and quality, health, safety and environmental matters in the GeoMarket.</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Supporting the service technology segments are 13 technology centers and five research centers. Through its research and product development, Schlumberger is committed to advanced technology programs that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will enhance oilfield efficiency, lower finding and producing costs, improve productivity, maximize reserve recovery, increase asset value and accomplish all of these goals in a safe, environmentally sound manner.</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Schlumberger is a minority owner in M-I Drilling Fluids, a joint venture with Smith International that offers drilling and completion fluids utilized to stabilize rock strata during the drilling process and minimize formation damage during completion and workover operations.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Schlumberger also owns several jack up rigs, two of which were sold in the fourth quarter of 2002. In addition, the Reed Hycalog drillbits business was sold to Grant Prideco in December 2002 and has been treated as a discontinued operation.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Schlumberger’s oilfield services are marketed by its own personnel. The customer base, business risks and opportunities for growth are essentially uniform across all services. There is a sharing of manufacturing and engineering facilities as well as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Schlumberger believes that it is an industry leader in providing seismic services, measurements-while-drilling and logging-while-drilling services, and fully computerized logging and geoscience software and computing services. Land and marine seismic operations and technologies are managed and developed by WesternGeco. A large proportion of Schlumberger’s oilfield services are non-rig related; consequently, revenue does not necessarily correlate to rig count fluctuations.</w:t>
      </w:r>
    </w:p>
    <w:p>
      <w:pPr>
        <w:spacing w:after="0" w:line="10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focus of Schlumberger Oilfield Services is on increasing the productivity of oil and gas reservoirs, which is being enhanced through the delivery, and application of real-time data. As oil and gas operators face declining production and challenges in adding new reserves economically, they are increasing their focus on improving recovery rates from existing and new reserves while reducing overall costs. As a result, the long-term objective is to fully integrate SchlumbergerSema IT solutions and services with oilfield operations to provide real-time reservoir management services that allow customers to optimize production and the recovery of their hydrocarbon reserves.</w:t>
      </w:r>
    </w:p>
    <w:p>
      <w:pPr>
        <w:spacing w:after="0" w:line="123"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color w:val="auto"/>
        </w:rPr>
        <w:t xml:space="preserve">SchlumbergerSema </w:t>
      </w:r>
      <w:r>
        <w:rPr>
          <w:rFonts w:ascii="Arial" w:cs="Arial" w:eastAsia="Arial" w:hAnsi="Arial"/>
          <w:sz w:val="16"/>
          <w:szCs w:val="16"/>
          <w:color w:val="auto"/>
        </w:rPr>
        <w:t>provides IT consulting, systems integration, managed services together with network and infrastructure solutions, primarily in the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energy market which includes the oil and gas industry where Schlumberger holds a leadership position and the energy and utilities market. In addition, SchlumbergerSema provides these services in specific regional markets spanning the telecommunications, finance, transport and public sectors.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2002 SchlumbergerSema underwent two organizational changes:</w:t>
      </w:r>
    </w:p>
    <w:p>
      <w:pPr>
        <w:spacing w:after="0" w:line="158" w:lineRule="exact"/>
        <w:rPr>
          <w:sz w:val="20"/>
          <w:szCs w:val="20"/>
          <w:color w:val="auto"/>
        </w:rPr>
      </w:pPr>
    </w:p>
    <w:p>
      <w:pPr>
        <w:ind w:left="760" w:right="720" w:hanging="306"/>
        <w:spacing w:after="0" w:line="212" w:lineRule="auto"/>
        <w:tabs>
          <w:tab w:leader="none" w:pos="76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First, Schlumberger Network Solutions, previously under Oilfield Services, was combined with the Global Infrastructure Services business of SchlumbergerSema to create today’s Network &amp; Infrastructure Solutions division of SchlumbergerSema.</w:t>
      </w:r>
    </w:p>
    <w:p>
      <w:pPr>
        <w:spacing w:after="0" w:line="62" w:lineRule="exact"/>
        <w:rPr>
          <w:rFonts w:ascii="Arial" w:cs="Arial" w:eastAsia="Arial" w:hAnsi="Arial"/>
          <w:sz w:val="26"/>
          <w:szCs w:val="26"/>
          <w:color w:val="auto"/>
          <w:vertAlign w:val="superscript"/>
        </w:rPr>
      </w:pPr>
    </w:p>
    <w:p>
      <w:pPr>
        <w:ind w:left="760" w:hanging="306"/>
        <w:spacing w:after="0" w:line="224" w:lineRule="auto"/>
        <w:tabs>
          <w:tab w:leader="none" w:pos="76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Second, on December 10, 2002 Schlumberger announced that it would separate the products businesses from the services businesses in SchlumbergerSema. The products businesses are now reported in the ‘Other’ business segment, which includes Payment Systems, Cards, Point of Sales Terminals, Electricity Metering and Parking Meters. Telecom software products remain part of the SchlumbergerSema segment but are managed separately.</w:t>
      </w:r>
    </w:p>
    <w:p>
      <w:pPr>
        <w:spacing w:after="0" w:line="14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objective of the reorganizations is to maximize the synergies between SchlumbergerSema and Oilfield Services by rapidly developing IT services for the Energy sector.</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With approximately 25,000 people serving customers in 65 countries, SchlumbergerSema is organized into 19 GeoMarkets grouped into three major geographic areas: North and South America; Europe, Africa, Middle East; and Asia.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SchlumbergerSema services are organized as follows:</w:t>
      </w:r>
    </w:p>
    <w:p>
      <w:pPr>
        <w:spacing w:after="0" w:line="158" w:lineRule="exact"/>
        <w:rPr>
          <w:sz w:val="20"/>
          <w:szCs w:val="20"/>
          <w:color w:val="auto"/>
        </w:rPr>
      </w:pPr>
    </w:p>
    <w:p>
      <w:pPr>
        <w:ind w:left="760" w:right="20" w:hanging="306"/>
        <w:spacing w:after="0" w:line="216" w:lineRule="auto"/>
        <w:tabs>
          <w:tab w:leader="none" w:pos="76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Network &amp; Infrastructure Solutions that combines specialized technologies, domain experience and global infrastructure to enable the digital enterprise through their DeXa Suite of Services and provides secure global IP infrastructure, integrated information security solutions, wireless and remote network connectivity and complete network managed services.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60" w:right="320" w:hanging="306"/>
        <w:spacing w:after="0" w:line="274" w:lineRule="auto"/>
        <w:tabs>
          <w:tab w:leader="none" w:pos="76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Consulting &amp; Systems Integration which offers consulting services, business systems and large-scale technical systems designed to operate to the highest levels of reliability in demanding conditions. The knowledge, skills and methods used by Schlumberger consultants around the world, combined with technical, systems integration and outsourced managed services capability within SchlumbergerSema, enable the development, implementation and management of major business and IT programs that are core to the strategic goals and long-term success of all businesses.</w:t>
      </w:r>
    </w:p>
    <w:p>
      <w:pPr>
        <w:spacing w:after="0" w:line="55" w:lineRule="exact"/>
        <w:rPr>
          <w:rFonts w:ascii="Arial" w:cs="Arial" w:eastAsia="Arial" w:hAnsi="Arial"/>
          <w:sz w:val="23"/>
          <w:szCs w:val="23"/>
          <w:color w:val="auto"/>
          <w:vertAlign w:val="superscript"/>
        </w:rPr>
      </w:pPr>
    </w:p>
    <w:p>
      <w:pPr>
        <w:ind w:left="760" w:hanging="306"/>
        <w:spacing w:after="0"/>
        <w:tabs>
          <w:tab w:leader="none" w:pos="7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Telecom Products, which provides telecommunications enterprise software systems, such as billing, customer relationship management (CRM).</w:t>
      </w:r>
    </w:p>
    <w:p>
      <w:pPr>
        <w:spacing w:after="0" w:line="16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SchlumbergerSema was formed in April 2001, when Schlumberger Limited acquired Sema plc, and combined it with part of its former Test &amp; Transactions business and other recent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Schlumberger Volume Products offers a broad portfolio of hardware and software products that provide the foundation of the company’s best-in-class services and solutions. With more than 20 years experience as the smart card industry leader, Schlumberger was the first company to introduce Java-based smart card technology, and has sold more than 2.5 billion smart cards to date. Product expertise includes:</w:t>
      </w:r>
    </w:p>
    <w:p>
      <w:pPr>
        <w:spacing w:after="0" w:line="5" w:lineRule="exact"/>
        <w:rPr>
          <w:sz w:val="20"/>
          <w:szCs w:val="20"/>
          <w:color w:val="auto"/>
        </w:rPr>
      </w:pPr>
    </w:p>
    <w:p>
      <w:pPr>
        <w:ind w:left="760" w:hanging="306"/>
        <w:spacing w:after="0"/>
        <w:tabs>
          <w:tab w:leader="none" w:pos="76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Cards</w:t>
      </w:r>
    </w:p>
    <w:p>
      <w:pPr>
        <w:spacing w:after="0" w:line="102" w:lineRule="exact"/>
        <w:rPr>
          <w:rFonts w:ascii="Arial" w:cs="Arial" w:eastAsia="Arial" w:hAnsi="Arial"/>
          <w:sz w:val="27"/>
          <w:szCs w:val="27"/>
          <w:color w:val="auto"/>
          <w:vertAlign w:val="superscript"/>
        </w:rPr>
      </w:pPr>
    </w:p>
    <w:p>
      <w:pPr>
        <w:ind w:left="760" w:hanging="306"/>
        <w:spacing w:after="0" w:line="181" w:lineRule="auto"/>
        <w:tabs>
          <w:tab w:leader="none" w:pos="76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Payphones</w:t>
      </w:r>
    </w:p>
    <w:p>
      <w:pPr>
        <w:spacing w:after="0" w:line="102" w:lineRule="exact"/>
        <w:rPr>
          <w:rFonts w:ascii="Arial" w:cs="Arial" w:eastAsia="Arial" w:hAnsi="Arial"/>
          <w:sz w:val="24"/>
          <w:szCs w:val="24"/>
          <w:color w:val="auto"/>
          <w:vertAlign w:val="superscript"/>
        </w:rPr>
      </w:pPr>
    </w:p>
    <w:p>
      <w:pPr>
        <w:ind w:left="760" w:hanging="306"/>
        <w:spacing w:after="0" w:line="181" w:lineRule="auto"/>
        <w:tabs>
          <w:tab w:leader="none" w:pos="76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Point-of-sale (POS) terminals</w:t>
      </w:r>
    </w:p>
    <w:p>
      <w:pPr>
        <w:spacing w:after="0" w:line="102" w:lineRule="exact"/>
        <w:rPr>
          <w:rFonts w:ascii="Arial" w:cs="Arial" w:eastAsia="Arial" w:hAnsi="Arial"/>
          <w:sz w:val="24"/>
          <w:szCs w:val="24"/>
          <w:color w:val="auto"/>
          <w:vertAlign w:val="superscript"/>
        </w:rPr>
      </w:pPr>
    </w:p>
    <w:p>
      <w:pPr>
        <w:ind w:left="760" w:hanging="306"/>
        <w:spacing w:after="0" w:line="181" w:lineRule="auto"/>
        <w:tabs>
          <w:tab w:leader="none" w:pos="76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Parking and mass transit terminals</w:t>
      </w:r>
    </w:p>
    <w:p>
      <w:pPr>
        <w:spacing w:after="0" w:line="102" w:lineRule="exact"/>
        <w:rPr>
          <w:rFonts w:ascii="Arial" w:cs="Arial" w:eastAsia="Arial" w:hAnsi="Arial"/>
          <w:sz w:val="24"/>
          <w:szCs w:val="24"/>
          <w:color w:val="auto"/>
          <w:vertAlign w:val="superscript"/>
        </w:rPr>
      </w:pPr>
    </w:p>
    <w:p>
      <w:pPr>
        <w:ind w:left="760" w:hanging="306"/>
        <w:spacing w:after="0" w:line="181" w:lineRule="auto"/>
        <w:tabs>
          <w:tab w:leader="none" w:pos="76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Meters</w:t>
      </w:r>
    </w:p>
    <w:p>
      <w:pPr>
        <w:spacing w:after="0" w:line="102" w:lineRule="exact"/>
        <w:rPr>
          <w:rFonts w:ascii="Arial" w:cs="Arial" w:eastAsia="Arial" w:hAnsi="Arial"/>
          <w:sz w:val="24"/>
          <w:szCs w:val="24"/>
          <w:color w:val="auto"/>
          <w:vertAlign w:val="superscript"/>
        </w:rPr>
      </w:pPr>
    </w:p>
    <w:p>
      <w:pPr>
        <w:ind w:left="760" w:hanging="306"/>
        <w:spacing w:after="0" w:line="181" w:lineRule="auto"/>
        <w:tabs>
          <w:tab w:leader="none" w:pos="76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Trading systems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Also included in this segment is NPTest, which provides advanced test and diagnostic systems as well as engineering services to the semiconductor industry. These devices range from microprocessors, graphics processors, chipsets, devices for high-speed data transfer and communication applications to those used in increasingly complex consumer electronics such as DVDs and set-top boxes.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Information on acquisitions made by Schlumberger or its subsidiaries appears under the heading “Acquisitions” on page 47 of this Report within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Research to support the engineering and development efforts of Schlumberger’s activities is conducted at Schlumberger Doll Research, Ridgefield, Connecticut, USA; Schlumberger Cambridge Research, Cambridge, England, and at Stavanger, Norway; Moscow, Russia and Dhahran, Saudi Arabia.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While Schlumberger seeks and holds numerous patents, no particular patent or group of patents is considered material to Schlumberger’s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predominantly in the Northern Hemisphere, severe weather can temporarily affect the delivery of such services and products.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Backlog of Orders</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No single customer exceeded 10% of consolidated revenue. Oilfield Services has no backlog since it is primarily service rather than product related. SchlumbergerSema backlog at December 31, 2002 was $4.7 billion of which $1.5 billion is the subsequent twelve month backlog. At December 31, 2001, the SchlumbergerSema backlog was $4.3 billion of which $1.5 billion was the subsequent twelve month backlog. The orders are believed to be firm but there is no assurance that any of the current backlog will actually result in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 material portion of Schlumberger’s business is subject to renegotiation of profits or termination of contracts by the US or other governments.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2002, Schlumberger had approximately 78,500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Operations</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Schlumberger, management believes these risks to be acceptable.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Protection</w:t>
      </w:r>
    </w:p>
    <w:p>
      <w:pPr>
        <w:spacing w:after="0" w:line="8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Compliance with governmental provisions relating to the protection of the environment does not materially affect Schlumberger’s capital expenditures, earnings or competitive position. Management believes that Schlumberger is currently in substantial compliance with applicable environmental laws and regulations. For more information, see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on page 30.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Financial information by business segment for the years ended December 31, 2002, 2001 and 2000 is given on pages 58-59 of this Report, within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Website</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Schlumberger’s internet website can be found at </w:t>
      </w:r>
      <w:r>
        <w:rPr>
          <w:rFonts w:ascii="Arial" w:cs="Arial" w:eastAsia="Arial" w:hAnsi="Arial"/>
          <w:sz w:val="18"/>
          <w:szCs w:val="18"/>
          <w:u w:val="single" w:color="auto"/>
          <w:color w:val="auto"/>
        </w:rPr>
        <w:t>www.slb.com</w:t>
      </w:r>
      <w:r>
        <w:rPr>
          <w:rFonts w:ascii="Arial" w:cs="Arial" w:eastAsia="Arial" w:hAnsi="Arial"/>
          <w:sz w:val="18"/>
          <w:szCs w:val="18"/>
          <w:color w:val="auto"/>
        </w:rPr>
        <w:t xml:space="preserve">. Schlumberger makes available free of charge, or through our internet website at </w:t>
      </w:r>
      <w:r>
        <w:rPr>
          <w:rFonts w:ascii="Arial" w:cs="Arial" w:eastAsia="Arial" w:hAnsi="Arial"/>
          <w:sz w:val="18"/>
          <w:szCs w:val="18"/>
          <w:u w:val="single" w:color="auto"/>
          <w:color w:val="auto"/>
        </w:rPr>
        <w:t>investorcenter.slb.com</w:t>
      </w:r>
      <w:r>
        <w:rPr>
          <w:rFonts w:ascii="Arial" w:cs="Arial" w:eastAsia="Arial" w:hAnsi="Arial"/>
          <w:sz w:val="18"/>
          <w:szCs w:val="18"/>
          <w:color w:val="auto"/>
        </w:rPr>
        <w:t>, access to its annual report on Form 10-K, quarterly reports on Form 10-Q, current reports on Form 8-K, and amendments to those reports filed pursuant to Section 13(a) or 15(d) of the Exchange Act as soon as reasonably practicable after such material is filed, or furnished to the Securities and Exchange Commission.</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Properties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Schlumberger owns or leases manufacturing facilities, administrative offices, service centers, research centers, sales offices and warehouses in North and South America, Europe, Africa, Asia and Australia. Some facilities are owned and some are held through long-term leases. No significant lease is scheduled to terminate in the near future, and Schlumberger believes comparable space is readily obtainable should any lease expire without renewal. Schlumberger believes all of its properties are generally well maintained and adequate for the intended use.</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Outside the United States the principal owned or leased facilities of Oilfield Services are located in Hassi Massoud, Algeria; Luanda, Angola; Perth, Australia; Baku, Azerbaijhan; Rio de Janeiro, Brazil; Calgary and Edmonton, Canada; Bogota, Colombia; Cairo, Egypt; Clamart and Paris, France; Jakarta, Indonesia; Milan, Italy; Fuchinobe, Japan; Atyrau, Kazakhstan; Kuwait City, Kuwait; Kuala Lumpur, Malaysia; Mexico City, Mexico; Port Harcourt, Nigeria; Belfast, Northern Ireland; Bergen and Stavanger, Norway;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Doha, Qatar; Moscow, Russia; Al-Khobar, Saudi Arabia; Singapore; Bangkok, Thailand; Abu Dhabi and Dubai, United Arab Emirates; Aberdeen, Gatwick, Inverurie, Stonehouse and Southampton, United Kingdom; Caracas, Venezuela.</w:t>
      </w:r>
    </w:p>
    <w:p>
      <w:pPr>
        <w:spacing w:after="0" w:line="11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Within the United States, the principal owned or leased facilities of Oilfield Services are located in Anchorage, Alaska; Lawrence, Kansas; New Orleans, Louisiana; Bartlesville, Oklahoma; Austin, Houston, La Marque, Rosharon and Sugar Land, Texas.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Within the United States, the principal owned or leased facilities of SchlumbergerSema are located in San Carlos, California; Denver, Colorado; Miami, Florida; Atlanta, Georgia; Owings Mills, Maryland; Boston, Massachusetts; Jersey City and Moorestown, New Jersey; Oconee, South Carolina; Austin and Houston, Texas.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Outside the United States, the principal owned or leased facilities of SchlumbergerSema are located in Buenos Aires, Argentina; Sydney, Australia; Brussels, Belgium; Curitiba and Sao Paulo, Brazil; Toronto and Quebec, Canada; Santiago, Chile; Beijing, Changsha, Guangzho, Hong Kong and Shanghai, China; Bogota, Colombia; San Jose, Costa Rica; Copenhagen, Denmark; Chambray-les-Tours, Louveciennes, Montrouge, Paris and Sophia Antopolis, France; Dreiech, Dusseldorf, Hamburg, Koln and Munich, Germany; Calcutta, Mumbai and New Delhi, India; Jakarta, Indonesia; Dublin, Ireland; Milan, Pont St. Martin, Naples and Rome, Italy; Tokyo, Japan; Seoul, Korea; Kuala Lumpur, Malaysia; Mexico City, Mexico; Asker and Oslo, Norway; Singapore; Cape Town and Johannesburg, South Africa; Barcelona and Madrid, Spain; Gothenburg, Kiruna, Malmo and Stockholm, Sweden; Geneva and Zurich, Switzerland; Taipei, Taiwan; Bangkok, Thailand; Birmingham, Crewe, Docklands, Glasgow, Nottingham, London, Reading and Wilmslow, United Kingdom.</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8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The information with respect to Item 3 is set forth under the heading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on page 57 of this Report,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Schlumberger’s security holders during the fourth quarter of the fiscal year covered by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of Schlumberger</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Information with respect to the executive officers of Schlumberger and their ages as of February 28, 2003 is set forth below. The positions have been held for at least five years, except where stated.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8840" w:type="dxa"/>
            <w:vAlign w:val="bottom"/>
            <w:gridSpan w:val="3"/>
          </w:tcPr>
          <w:p>
            <w:pPr>
              <w:ind w:left="16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46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r>
      <w:tr>
        <w:trPr>
          <w:trHeight w:val="210"/>
        </w:trPr>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08"/>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Gould</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8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Chairman and Chief Executive Officer, since February 2003;</w:t>
            </w:r>
          </w:p>
        </w:tc>
      </w:tr>
      <w:tr>
        <w:trPr>
          <w:trHeight w:val="216"/>
        </w:trPr>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Operating Officer, March 2002 to February 2003;</w:t>
            </w:r>
          </w:p>
        </w:tc>
      </w:tr>
      <w:tr>
        <w:trPr>
          <w:trHeight w:val="216"/>
        </w:trPr>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Vice President – Oilfield Services, January 1999 to March 2002; and</w:t>
            </w:r>
          </w:p>
        </w:tc>
      </w:tr>
      <w:tr>
        <w:trPr>
          <w:trHeight w:val="224"/>
        </w:trPr>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Vice President – OFS Products, February 1998 to January 1999.</w:t>
            </w:r>
          </w:p>
        </w:tc>
      </w:tr>
      <w:tr>
        <w:trPr>
          <w:trHeight w:val="316"/>
        </w:trPr>
        <w:tc>
          <w:tcPr>
            <w:tcW w:w="1960" w:type="dxa"/>
            <w:vAlign w:val="bottom"/>
            <w:gridSpan w:val="2"/>
          </w:tcPr>
          <w:p>
            <w:pPr>
              <w:spacing w:after="0"/>
              <w:rPr>
                <w:sz w:val="20"/>
                <w:szCs w:val="20"/>
                <w:color w:val="auto"/>
              </w:rPr>
            </w:pPr>
            <w:r>
              <w:rPr>
                <w:rFonts w:ascii="Arial" w:cs="Arial" w:eastAsia="Arial" w:hAnsi="Arial"/>
                <w:sz w:val="18"/>
                <w:szCs w:val="18"/>
                <w:color w:val="auto"/>
              </w:rPr>
              <w:t>Jean-Marc Perraud</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Financial Officer, since March 2002;</w:t>
            </w:r>
          </w:p>
        </w:tc>
      </w:tr>
      <w:tr>
        <w:trPr>
          <w:trHeight w:val="216"/>
        </w:trPr>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Controller and Chief Accounting Officer, April 2001 to March 2002;</w:t>
            </w:r>
          </w:p>
        </w:tc>
      </w:tr>
      <w:tr>
        <w:trPr>
          <w:trHeight w:val="216"/>
        </w:trPr>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Treasurer, January 1999 to May 2001; and</w:t>
            </w:r>
          </w:p>
        </w:tc>
      </w:tr>
      <w:tr>
        <w:trPr>
          <w:trHeight w:val="222"/>
        </w:trPr>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Vice President – Director of Taxes, May 1993 to January 1999.</w:t>
            </w:r>
          </w:p>
        </w:tc>
      </w:tr>
      <w:tr>
        <w:trPr>
          <w:trHeight w:val="110"/>
        </w:trPr>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4660" w:type="dxa"/>
            <w:vAlign w:val="bottom"/>
          </w:tcPr>
          <w:p>
            <w:pPr>
              <w:spacing w:after="0"/>
              <w:rPr>
                <w:sz w:val="9"/>
                <w:szCs w:val="9"/>
                <w:color w:val="auto"/>
              </w:rPr>
            </w:pPr>
          </w:p>
        </w:tc>
      </w:tr>
      <w:tr>
        <w:trPr>
          <w:trHeight w:val="208"/>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Xavier Flinois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8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Vice President, since February 2003;</w:t>
            </w:r>
          </w:p>
        </w:tc>
      </w:tr>
      <w:tr>
        <w:trPr>
          <w:trHeight w:val="216"/>
        </w:trPr>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SchlumbergerSema, July 2002 to February 2003;</w:t>
            </w:r>
          </w:p>
        </w:tc>
      </w:tr>
      <w:tr>
        <w:trPr>
          <w:trHeight w:val="224"/>
        </w:trPr>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Network &amp; Infrastructure Solutions, April 2002 to July 2002;</w:t>
            </w:r>
          </w:p>
        </w:tc>
      </w:tr>
      <w:tr>
        <w:trPr>
          <w:trHeight w:val="363"/>
        </w:trPr>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2"/>
          </w:tcPr>
          <w:p>
            <w:pPr>
              <w:jc w:val="right"/>
              <w:ind w:right="1000"/>
              <w:spacing w:after="0"/>
              <w:rPr>
                <w:sz w:val="20"/>
                <w:szCs w:val="20"/>
                <w:color w:val="auto"/>
              </w:rPr>
            </w:pPr>
            <w:r>
              <w:rPr>
                <w:rFonts w:ascii="Arial" w:cs="Arial" w:eastAsia="Arial" w:hAnsi="Arial"/>
                <w:sz w:val="18"/>
                <w:szCs w:val="18"/>
                <w:color w:val="auto"/>
              </w:rPr>
              <w:t>7</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Age</w:t>
            </w:r>
          </w:p>
        </w:tc>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46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r>
      <w:tr>
        <w:trPr>
          <w:trHeight w:val="210"/>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08"/>
        </w:trPr>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Network Solutions, March 2000 to April 2002;</w:t>
            </w:r>
          </w:p>
        </w:tc>
      </w:tr>
      <w:tr>
        <w:trPr>
          <w:trHeight w:val="216"/>
        </w:trPr>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Omnes, October 1999 to March 2000; and</w:t>
            </w:r>
          </w:p>
        </w:tc>
      </w:tr>
      <w:tr>
        <w:trPr>
          <w:trHeight w:val="224"/>
        </w:trPr>
        <w:tc>
          <w:tcPr>
            <w:tcW w:w="4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Technology, Test &amp; Transactions, March 1998 to October 1999.</w:t>
            </w: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Chakib Sbiti</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7980" w:type="dxa"/>
            <w:vAlign w:val="bottom"/>
            <w:gridSpan w:val="2"/>
          </w:tcPr>
          <w:p>
            <w:pPr>
              <w:spacing w:after="0"/>
              <w:rPr>
                <w:sz w:val="20"/>
                <w:szCs w:val="20"/>
                <w:color w:val="auto"/>
              </w:rPr>
            </w:pPr>
            <w:r>
              <w:rPr>
                <w:rFonts w:ascii="Arial" w:cs="Arial" w:eastAsia="Arial" w:hAnsi="Arial"/>
                <w:sz w:val="18"/>
                <w:szCs w:val="18"/>
                <w:color w:val="auto"/>
              </w:rPr>
              <w:t>Executive Vice President, since February 2003;</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President Oilfield Services Middle East &amp; Asia, July 2001 to February 2003;</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President Oilfield Services Asia, August 2000 to July 2001; and</w:t>
            </w:r>
          </w:p>
        </w:tc>
      </w:tr>
      <w:tr>
        <w:trPr>
          <w:trHeight w:val="222"/>
        </w:trPr>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Oilfield Services Director of Personnel, January 1998 to August 2000.</w:t>
            </w:r>
          </w:p>
        </w:tc>
      </w:tr>
      <w:tr>
        <w:trPr>
          <w:trHeight w:val="110"/>
        </w:trPr>
        <w:tc>
          <w:tcPr>
            <w:tcW w:w="4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980" w:type="dxa"/>
            <w:vAlign w:val="bottom"/>
          </w:tcPr>
          <w:p>
            <w:pPr>
              <w:spacing w:after="0"/>
              <w:rPr>
                <w:sz w:val="9"/>
                <w:szCs w:val="9"/>
                <w:color w:val="auto"/>
              </w:rPr>
            </w:pPr>
          </w:p>
        </w:tc>
      </w:tr>
      <w:tr>
        <w:trPr>
          <w:trHeight w:val="208"/>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Summer</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Secretary and General Counsel, since March 2002;</w:t>
            </w:r>
          </w:p>
        </w:tc>
      </w:tr>
      <w:tr>
        <w:trPr>
          <w:trHeight w:val="216"/>
        </w:trPr>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of Legal Services, April 2001 to March 2002; and</w:t>
            </w:r>
          </w:p>
        </w:tc>
      </w:tr>
      <w:tr>
        <w:trPr>
          <w:trHeight w:val="224"/>
        </w:trPr>
        <w:tc>
          <w:tcPr>
            <w:tcW w:w="4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Deputy General Counsel, March 2001 and prior.</w:t>
            </w: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Simon Ayat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7980" w:type="dxa"/>
            <w:vAlign w:val="bottom"/>
            <w:gridSpan w:val="2"/>
          </w:tcPr>
          <w:p>
            <w:pPr>
              <w:spacing w:after="0"/>
              <w:rPr>
                <w:sz w:val="20"/>
                <w:szCs w:val="20"/>
                <w:color w:val="auto"/>
              </w:rPr>
            </w:pPr>
            <w:r>
              <w:rPr>
                <w:rFonts w:ascii="Arial" w:cs="Arial" w:eastAsia="Arial" w:hAnsi="Arial"/>
                <w:sz w:val="18"/>
                <w:szCs w:val="18"/>
                <w:color w:val="auto"/>
              </w:rPr>
              <w:t>Vice President, Controller and Business Processes, since December 2002;</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Vice President Finance SchlumbergerSema, April 2001 to December 2002;</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Oilfield Services Controller, September 1998 to April 2001; and</w:t>
            </w:r>
          </w:p>
        </w:tc>
      </w:tr>
      <w:tr>
        <w:trPr>
          <w:trHeight w:val="222"/>
        </w:trPr>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GeoMarket Manager Indonesia, February 1998 to September 1998.</w:t>
            </w:r>
          </w:p>
        </w:tc>
      </w:tr>
      <w:tr>
        <w:trPr>
          <w:trHeight w:val="110"/>
        </w:trPr>
        <w:tc>
          <w:tcPr>
            <w:tcW w:w="4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980" w:type="dxa"/>
            <w:vAlign w:val="bottom"/>
          </w:tcPr>
          <w:p>
            <w:pPr>
              <w:spacing w:after="0"/>
              <w:rPr>
                <w:sz w:val="9"/>
                <w:szCs w:val="9"/>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E. Bismuth</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 Personnel.</w:t>
            </w: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Mark Danton</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7980" w:type="dxa"/>
            <w:vAlign w:val="bottom"/>
            <w:gridSpan w:val="2"/>
          </w:tcPr>
          <w:p>
            <w:pPr>
              <w:spacing w:after="0"/>
              <w:rPr>
                <w:sz w:val="20"/>
                <w:szCs w:val="20"/>
                <w:color w:val="auto"/>
              </w:rPr>
            </w:pPr>
            <w:r>
              <w:rPr>
                <w:rFonts w:ascii="Arial" w:cs="Arial" w:eastAsia="Arial" w:hAnsi="Arial"/>
                <w:sz w:val="18"/>
                <w:szCs w:val="18"/>
                <w:color w:val="auto"/>
              </w:rPr>
              <w:t>Vice President – Director of Taxes, since January 1, 1999; and</w:t>
            </w:r>
          </w:p>
        </w:tc>
      </w:tr>
      <w:tr>
        <w:trPr>
          <w:trHeight w:val="222"/>
        </w:trPr>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Deputy Director of Taxes, January 1995 to January 1999.</w:t>
            </w:r>
          </w:p>
        </w:tc>
      </w:tr>
      <w:tr>
        <w:trPr>
          <w:trHeight w:val="110"/>
        </w:trPr>
        <w:tc>
          <w:tcPr>
            <w:tcW w:w="4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980" w:type="dxa"/>
            <w:vAlign w:val="bottom"/>
          </w:tcPr>
          <w:p>
            <w:pPr>
              <w:spacing w:after="0"/>
              <w:rPr>
                <w:sz w:val="9"/>
                <w:szCs w:val="9"/>
                <w:color w:val="auto"/>
              </w:rPr>
            </w:pPr>
          </w:p>
        </w:tc>
      </w:tr>
      <w:tr>
        <w:trPr>
          <w:trHeight w:val="208"/>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 Erlich</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Information Officer, since May 2002;</w:t>
            </w:r>
          </w:p>
        </w:tc>
      </w:tr>
      <w:tr>
        <w:trPr>
          <w:trHeight w:val="216"/>
        </w:trPr>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Technology and General Manager, April 2001 to May 2002;</w:t>
            </w:r>
          </w:p>
        </w:tc>
      </w:tr>
      <w:tr>
        <w:trPr>
          <w:trHeight w:val="216"/>
        </w:trPr>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Business Development, October 1999 to April 2001; and</w:t>
            </w:r>
          </w:p>
        </w:tc>
      </w:tr>
      <w:tr>
        <w:trPr>
          <w:trHeight w:val="224"/>
        </w:trPr>
        <w:tc>
          <w:tcPr>
            <w:tcW w:w="4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and General Manager SRPC, September 1997 to October 1999.</w:t>
            </w: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Rene Huck</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7980" w:type="dxa"/>
            <w:vAlign w:val="bottom"/>
            <w:gridSpan w:val="2"/>
          </w:tcPr>
          <w:p>
            <w:pPr>
              <w:spacing w:after="0"/>
              <w:rPr>
                <w:sz w:val="20"/>
                <w:szCs w:val="20"/>
                <w:color w:val="auto"/>
              </w:rPr>
            </w:pPr>
            <w:r>
              <w:rPr>
                <w:rFonts w:ascii="Arial" w:cs="Arial" w:eastAsia="Arial" w:hAnsi="Arial"/>
                <w:sz w:val="18"/>
                <w:szCs w:val="18"/>
                <w:color w:val="auto"/>
              </w:rPr>
              <w:t>Vice President QHSE &amp; Industry Affairs, since March 2002;</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President Reservoir Evaluation and Development, Oilfield Services, January 2001 to March 2002;</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President Reservoir Development, Oilfield Services, December 1999 to January 2001;</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President Camco International, September 1998 to December 1999; and</w:t>
            </w:r>
          </w:p>
        </w:tc>
      </w:tr>
      <w:tr>
        <w:trPr>
          <w:trHeight w:val="222"/>
        </w:trPr>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President European-Caspian Area, Oilfield Services, January 1998 to September 1998.</w:t>
            </w:r>
          </w:p>
        </w:tc>
      </w:tr>
      <w:tr>
        <w:trPr>
          <w:trHeight w:val="110"/>
        </w:trPr>
        <w:tc>
          <w:tcPr>
            <w:tcW w:w="4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980" w:type="dxa"/>
            <w:vAlign w:val="bottom"/>
          </w:tcPr>
          <w:p>
            <w:pPr>
              <w:spacing w:after="0"/>
              <w:rPr>
                <w:sz w:val="9"/>
                <w:szCs w:val="9"/>
                <w:color w:val="auto"/>
              </w:rPr>
            </w:pPr>
          </w:p>
        </w:tc>
      </w:tr>
      <w:tr>
        <w:trPr>
          <w:trHeight w:val="208"/>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Philippe Lacour-Gayet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and Chief Scientist, since January 2001; and</w:t>
            </w:r>
          </w:p>
        </w:tc>
      </w:tr>
      <w:tr>
        <w:trPr>
          <w:trHeight w:val="224"/>
        </w:trPr>
        <w:tc>
          <w:tcPr>
            <w:tcW w:w="4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Scientist, July 1997 to January 2001.</w:t>
            </w: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Jean-Dominique Percevault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7980" w:type="dxa"/>
            <w:vAlign w:val="bottom"/>
            <w:gridSpan w:val="2"/>
          </w:tcPr>
          <w:p>
            <w:pPr>
              <w:spacing w:after="0"/>
              <w:rPr>
                <w:sz w:val="20"/>
                <w:szCs w:val="20"/>
                <w:color w:val="auto"/>
              </w:rPr>
            </w:pPr>
            <w:r>
              <w:rPr>
                <w:rFonts w:ascii="Arial" w:cs="Arial" w:eastAsia="Arial" w:hAnsi="Arial"/>
                <w:sz w:val="18"/>
                <w:szCs w:val="18"/>
                <w:color w:val="auto"/>
              </w:rPr>
              <w:t>Vice President – European Affairs and Chairman France, since January 2002;</w:t>
            </w:r>
          </w:p>
        </w:tc>
      </w:tr>
      <w:tr>
        <w:trPr>
          <w:trHeight w:val="222"/>
        </w:trPr>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Vice President – European Affairs, December 2001 and prior.</w:t>
            </w:r>
          </w:p>
        </w:tc>
      </w:tr>
      <w:tr>
        <w:trPr>
          <w:trHeight w:val="110"/>
        </w:trPr>
        <w:tc>
          <w:tcPr>
            <w:tcW w:w="4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980" w:type="dxa"/>
            <w:vAlign w:val="bottom"/>
          </w:tcPr>
          <w:p>
            <w:pPr>
              <w:spacing w:after="0"/>
              <w:rPr>
                <w:sz w:val="9"/>
                <w:szCs w:val="9"/>
                <w:color w:val="auto"/>
              </w:rPr>
            </w:pPr>
          </w:p>
        </w:tc>
      </w:tr>
      <w:tr>
        <w:trPr>
          <w:trHeight w:val="208"/>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Sorgie</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Accounting Officer, since May 2002; and</w:t>
            </w:r>
          </w:p>
        </w:tc>
      </w:tr>
      <w:tr>
        <w:trPr>
          <w:trHeight w:val="224"/>
        </w:trPr>
        <w:tc>
          <w:tcPr>
            <w:tcW w:w="4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of Financial Reporting, January 1993 to May 2002.</w:t>
            </w: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Michel Soublin</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7980" w:type="dxa"/>
            <w:vAlign w:val="bottom"/>
            <w:gridSpan w:val="2"/>
          </w:tcPr>
          <w:p>
            <w:pPr>
              <w:spacing w:after="0"/>
              <w:rPr>
                <w:sz w:val="20"/>
                <w:szCs w:val="20"/>
                <w:color w:val="auto"/>
              </w:rPr>
            </w:pPr>
            <w:r>
              <w:rPr>
                <w:rFonts w:ascii="Arial" w:cs="Arial" w:eastAsia="Arial" w:hAnsi="Arial"/>
                <w:sz w:val="18"/>
                <w:szCs w:val="18"/>
                <w:color w:val="auto"/>
              </w:rPr>
              <w:t>Treasurer, since May 2001;</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Seconded as Chief Financial Officer to Yukos, January 1999 to May 2001;</w:t>
            </w:r>
          </w:p>
        </w:tc>
      </w:tr>
      <w:tr>
        <w:trPr>
          <w:trHeight w:val="216"/>
        </w:trPr>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Director Business Information Systems, September 1998 to January 1999;</w:t>
            </w:r>
          </w:p>
        </w:tc>
      </w:tr>
      <w:tr>
        <w:trPr>
          <w:trHeight w:val="222"/>
        </w:trPr>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and Vice President and Controller, Oilfield Services, January 1996 to September 1998.</w:t>
            </w:r>
          </w:p>
        </w:tc>
      </w:tr>
      <w:tr>
        <w:trPr>
          <w:trHeight w:val="513"/>
        </w:trPr>
        <w:tc>
          <w:tcPr>
            <w:tcW w:w="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ind w:left="2240"/>
              <w:spacing w:after="0"/>
              <w:rPr>
                <w:sz w:val="20"/>
                <w:szCs w:val="20"/>
                <w:color w:val="auto"/>
              </w:rPr>
            </w:pPr>
            <w:r>
              <w:rPr>
                <w:rFonts w:ascii="Arial" w:cs="Arial" w:eastAsia="Arial" w:hAnsi="Arial"/>
                <w:sz w:val="18"/>
                <w:szCs w:val="18"/>
                <w:color w:val="auto"/>
              </w:rPr>
              <w:t>8</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Market for Schlumberger’s Common Stock and Related Stockholder Matters</w:t>
      </w:r>
    </w:p>
    <w:p>
      <w:pPr>
        <w:spacing w:after="0" w:line="83"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As of December 31, 2002, there were 582,173,115 shares of the Common Stock of Schlumberger outstanding, exclusive of 84,931,553 shares held in Treasury, and approximately 24,825 stockholders of record. The principal United States market for Schlumberger’s Common Stock is the New York Stock Exchange.</w:t>
      </w:r>
    </w:p>
    <w:p>
      <w:pPr>
        <w:spacing w:after="0" w:line="49" w:lineRule="exact"/>
        <w:rPr>
          <w:sz w:val="20"/>
          <w:szCs w:val="20"/>
          <w:color w:val="auto"/>
        </w:rPr>
      </w:pPr>
    </w:p>
    <w:p>
      <w:pPr>
        <w:ind w:right="1900"/>
        <w:spacing w:after="0" w:line="375" w:lineRule="auto"/>
        <w:rPr>
          <w:sz w:val="20"/>
          <w:szCs w:val="20"/>
          <w:color w:val="auto"/>
        </w:rPr>
      </w:pPr>
      <w:r>
        <w:rPr>
          <w:rFonts w:ascii="Arial" w:cs="Arial" w:eastAsia="Arial" w:hAnsi="Arial"/>
          <w:sz w:val="18"/>
          <w:szCs w:val="18"/>
          <w:color w:val="auto"/>
        </w:rPr>
        <w:t xml:space="preserve">Schlumberger’s Common Stock is also traded on the Euronext Paris, Euronext Amsterdam, London and SWX Swiss stock exchanges. </w:t>
      </w:r>
      <w:r>
        <w:rPr>
          <w:rFonts w:ascii="Arial" w:cs="Arial" w:eastAsia="Arial" w:hAnsi="Arial"/>
          <w:sz w:val="18"/>
          <w:szCs w:val="18"/>
          <w:b w:val="1"/>
          <w:bCs w:val="1"/>
          <w:u w:val="single" w:color="auto"/>
          <w:color w:val="auto"/>
        </w:rPr>
        <w:t>Common Stock, Market Prices and Dividends Declared per Share</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information with respect to this portion of Item 5 is set forth under the heading </w:t>
      </w:r>
      <w:r>
        <w:rPr>
          <w:rFonts w:ascii="Arial" w:cs="Arial" w:eastAsia="Arial" w:hAnsi="Arial"/>
          <w:sz w:val="18"/>
          <w:szCs w:val="18"/>
          <w:i w:val="1"/>
          <w:iCs w:val="1"/>
          <w:color w:val="auto"/>
        </w:rPr>
        <w:t>Common Stock, Market Prices and Dividends Declared per Share</w:t>
      </w:r>
      <w:r>
        <w:rPr>
          <w:rFonts w:ascii="Arial" w:cs="Arial" w:eastAsia="Arial" w:hAnsi="Arial"/>
          <w:sz w:val="18"/>
          <w:szCs w:val="18"/>
          <w:color w:val="auto"/>
        </w:rPr>
        <w:t xml:space="preserve"> on page 30 of this Report.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Selected Financial Data</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FIVE-YEAR SUMMARY</w:t>
      </w:r>
    </w:p>
    <w:p>
      <w:pPr>
        <w:spacing w:after="0" w:line="155" w:lineRule="exact"/>
        <w:rPr>
          <w:sz w:val="20"/>
          <w:szCs w:val="20"/>
          <w:color w:val="auto"/>
        </w:rPr>
      </w:pPr>
    </w:p>
    <w:p>
      <w:pPr>
        <w:ind w:left="8820"/>
        <w:spacing w:after="0"/>
        <w:rPr>
          <w:sz w:val="20"/>
          <w:szCs w:val="20"/>
          <w:color w:val="auto"/>
        </w:rPr>
      </w:pPr>
      <w:r>
        <w:rPr>
          <w:rFonts w:ascii="Arial" w:cs="Arial" w:eastAsia="Arial" w:hAnsi="Arial"/>
          <w:sz w:val="12"/>
          <w:szCs w:val="12"/>
          <w:i w:val="1"/>
          <w:iCs w:val="1"/>
          <w:color w:val="auto"/>
        </w:rPr>
        <w:t>(Stated in millions except per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8"/>
          </w:tcPr>
          <w:p>
            <w:pPr>
              <w:ind w:left="200"/>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7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r>
      <w:tr>
        <w:trPr>
          <w:trHeight w:val="382"/>
        </w:trPr>
        <w:tc>
          <w:tcPr>
            <w:tcW w:w="7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 xml:space="preserve">2001 </w:t>
            </w:r>
            <w:r>
              <w:rPr>
                <w:rFonts w:ascii="Arial" w:cs="Arial" w:eastAsia="Arial" w:hAnsi="Arial"/>
                <w:sz w:val="22"/>
                <w:szCs w:val="22"/>
                <w:b w:val="1"/>
                <w:bCs w:val="1"/>
                <w:color w:val="auto"/>
                <w:w w:val="87"/>
                <w:vertAlign w:val="superscript"/>
              </w:rPr>
              <w:t>1</w:t>
            </w:r>
          </w:p>
        </w:tc>
        <w:tc>
          <w:tcPr>
            <w:tcW w:w="46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 xml:space="preserve">2000 </w:t>
            </w:r>
            <w:r>
              <w:rPr>
                <w:rFonts w:ascii="Arial" w:cs="Arial" w:eastAsia="Arial" w:hAnsi="Arial"/>
                <w:sz w:val="22"/>
                <w:szCs w:val="22"/>
                <w:b w:val="1"/>
                <w:bCs w:val="1"/>
                <w:color w:val="auto"/>
                <w:w w:val="83"/>
                <w:vertAlign w:val="superscript"/>
              </w:rPr>
              <w:t>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w w:val="78"/>
              </w:rPr>
              <w:t xml:space="preserve">1999 </w:t>
            </w:r>
            <w:r>
              <w:rPr>
                <w:rFonts w:ascii="Arial" w:cs="Arial" w:eastAsia="Arial" w:hAnsi="Arial"/>
                <w:sz w:val="22"/>
                <w:szCs w:val="22"/>
                <w:b w:val="1"/>
                <w:bCs w:val="1"/>
                <w:color w:val="auto"/>
                <w:w w:val="78"/>
                <w:vertAlign w:val="superscript"/>
              </w:rPr>
              <w:t>1</w:t>
            </w:r>
          </w:p>
        </w:tc>
        <w:tc>
          <w:tcPr>
            <w:tcW w:w="4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 xml:space="preserve">1998 </w:t>
            </w:r>
            <w:r>
              <w:rPr>
                <w:rFonts w:ascii="Arial" w:cs="Arial" w:eastAsia="Arial" w:hAnsi="Arial"/>
                <w:sz w:val="22"/>
                <w:szCs w:val="22"/>
                <w:b w:val="1"/>
                <w:bCs w:val="1"/>
                <w:color w:val="auto"/>
                <w:w w:val="92"/>
                <w:vertAlign w:val="superscript"/>
              </w:rPr>
              <w:t>1</w:t>
            </w:r>
          </w:p>
        </w:tc>
        <w:tc>
          <w:tcPr>
            <w:tcW w:w="160" w:type="dxa"/>
            <w:vAlign w:val="bottom"/>
          </w:tcPr>
          <w:p>
            <w:pPr>
              <w:spacing w:after="0"/>
              <w:rPr>
                <w:sz w:val="24"/>
                <w:szCs w:val="24"/>
                <w:color w:val="auto"/>
              </w:rPr>
            </w:pPr>
          </w:p>
        </w:tc>
      </w:tr>
      <w:tr>
        <w:trPr>
          <w:trHeight w:val="105"/>
        </w:trPr>
        <w:tc>
          <w:tcPr>
            <w:tcW w:w="72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OPERATIONS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726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Oilfield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9,347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7,253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6,043</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8,029</w:t>
            </w:r>
          </w:p>
        </w:tc>
        <w:tc>
          <w:tcPr>
            <w:tcW w:w="160" w:type="dxa"/>
            <w:vAlign w:val="bottom"/>
            <w:shd w:val="clear" w:color="auto" w:fill="CCEEFF"/>
          </w:tcPr>
          <w:p>
            <w:pPr>
              <w:spacing w:after="0"/>
              <w:rPr>
                <w:sz w:val="12"/>
                <w:szCs w:val="12"/>
                <w:color w:val="auto"/>
              </w:rPr>
            </w:pPr>
          </w:p>
        </w:tc>
      </w:tr>
      <w:tr>
        <w:trPr>
          <w:trHeight w:val="176"/>
        </w:trPr>
        <w:tc>
          <w:tcPr>
            <w:tcW w:w="7260" w:type="dxa"/>
            <w:vAlign w:val="bottom"/>
          </w:tcPr>
          <w:p>
            <w:pPr>
              <w:ind w:left="280"/>
              <w:spacing w:after="0" w:line="176" w:lineRule="exact"/>
              <w:rPr>
                <w:sz w:val="20"/>
                <w:szCs w:val="20"/>
                <w:color w:val="auto"/>
              </w:rPr>
            </w:pPr>
            <w:r>
              <w:rPr>
                <w:rFonts w:ascii="Arial" w:cs="Arial" w:eastAsia="Arial" w:hAnsi="Arial"/>
                <w:sz w:val="13"/>
                <w:szCs w:val="13"/>
                <w:color w:val="auto"/>
              </w:rPr>
              <w:t xml:space="preserve">SchlumbergerSema </w:t>
            </w:r>
            <w:r>
              <w:rPr>
                <w:rFonts w:ascii="Arial" w:cs="Arial" w:eastAsia="Arial" w:hAnsi="Arial"/>
                <w:sz w:val="20"/>
                <w:szCs w:val="20"/>
                <w:color w:val="auto"/>
                <w:vertAlign w:val="superscript"/>
              </w:rPr>
              <w:t>2</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2,991</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2,258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238</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76"/>
        </w:trPr>
        <w:tc>
          <w:tcPr>
            <w:tcW w:w="7260" w:type="dxa"/>
            <w:vAlign w:val="bottom"/>
            <w:shd w:val="clear" w:color="auto" w:fill="CCEEFF"/>
          </w:tcPr>
          <w:p>
            <w:pPr>
              <w:ind w:left="280"/>
              <w:spacing w:after="0" w:line="176"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20"/>
                <w:szCs w:val="20"/>
                <w:color w:val="auto"/>
                <w:vertAlign w:val="superscript"/>
              </w:rPr>
              <w:t>3</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1,442</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2,468</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2,480</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2,932</w:t>
            </w:r>
          </w:p>
        </w:tc>
        <w:tc>
          <w:tcPr>
            <w:tcW w:w="160" w:type="dxa"/>
            <w:vAlign w:val="bottom"/>
            <w:shd w:val="clear" w:color="auto" w:fill="CCEEFF"/>
          </w:tcPr>
          <w:p>
            <w:pPr>
              <w:spacing w:after="0"/>
              <w:rPr>
                <w:sz w:val="15"/>
                <w:szCs w:val="15"/>
                <w:color w:val="auto"/>
              </w:rPr>
            </w:pPr>
          </w:p>
        </w:tc>
      </w:tr>
      <w:tr>
        <w:trPr>
          <w:trHeight w:val="174"/>
        </w:trPr>
        <w:tc>
          <w:tcPr>
            <w:tcW w:w="7260" w:type="dxa"/>
            <w:vAlign w:val="bottom"/>
          </w:tcPr>
          <w:p>
            <w:pPr>
              <w:ind w:left="280"/>
              <w:spacing w:after="0"/>
              <w:rPr>
                <w:sz w:val="20"/>
                <w:szCs w:val="20"/>
                <w:color w:val="auto"/>
              </w:rPr>
            </w:pPr>
            <w:r>
              <w:rPr>
                <w:rFonts w:ascii="Arial" w:cs="Arial" w:eastAsia="Arial" w:hAnsi="Arial"/>
                <w:sz w:val="14"/>
                <w:szCs w:val="14"/>
                <w:color w:val="auto"/>
              </w:rPr>
              <w:t>Eliminations and other</w:t>
            </w:r>
          </w:p>
        </w:tc>
        <w:tc>
          <w:tcPr>
            <w:tcW w:w="6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(306)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(203)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82"/>
        </w:trPr>
        <w:tc>
          <w:tcPr>
            <w:tcW w:w="7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13,474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14,058</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9,831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8,573</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10,961</w:t>
            </w:r>
          </w:p>
        </w:tc>
        <w:tc>
          <w:tcPr>
            <w:tcW w:w="160" w:type="dxa"/>
            <w:vAlign w:val="bottom"/>
            <w:shd w:val="clear" w:color="auto" w:fill="CCEEFF"/>
          </w:tcPr>
          <w:p>
            <w:pPr>
              <w:spacing w:after="0"/>
              <w:rPr>
                <w:sz w:val="12"/>
                <w:szCs w:val="12"/>
                <w:color w:val="auto"/>
              </w:rPr>
            </w:pPr>
          </w:p>
        </w:tc>
      </w:tr>
      <w:tr>
        <w:trPr>
          <w:trHeight w:val="132"/>
        </w:trPr>
        <w:tc>
          <w:tcPr>
            <w:tcW w:w="7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5"/>
        </w:trPr>
        <w:tc>
          <w:tcPr>
            <w:tcW w:w="7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r>
      <w:tr>
        <w:trPr>
          <w:trHeight w:val="149"/>
        </w:trPr>
        <w:tc>
          <w:tcPr>
            <w:tcW w:w="7260" w:type="dxa"/>
            <w:vAlign w:val="bottom"/>
          </w:tcPr>
          <w:p>
            <w:pPr>
              <w:spacing w:after="0" w:line="149" w:lineRule="exact"/>
              <w:rPr>
                <w:sz w:val="20"/>
                <w:szCs w:val="20"/>
                <w:color w:val="auto"/>
              </w:rPr>
            </w:pPr>
            <w:r>
              <w:rPr>
                <w:rFonts w:ascii="Arial" w:cs="Arial" w:eastAsia="Arial" w:hAnsi="Arial"/>
                <w:sz w:val="14"/>
                <w:szCs w:val="14"/>
                <w:color w:val="auto"/>
              </w:rPr>
              <w:t>Pretax segment income: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Oilfield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1,328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1,041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w:t>
            </w:r>
          </w:p>
        </w:tc>
        <w:tc>
          <w:tcPr>
            <w:tcW w:w="160" w:type="dxa"/>
            <w:vAlign w:val="bottom"/>
            <w:shd w:val="clear" w:color="auto" w:fill="CCEEFF"/>
          </w:tcPr>
          <w:p>
            <w:pPr>
              <w:spacing w:after="0"/>
              <w:rPr>
                <w:sz w:val="12"/>
                <w:szCs w:val="12"/>
                <w:color w:val="auto"/>
              </w:rPr>
            </w:pPr>
          </w:p>
        </w:tc>
      </w:tr>
      <w:tr>
        <w:trPr>
          <w:trHeight w:val="176"/>
        </w:trPr>
        <w:tc>
          <w:tcPr>
            <w:tcW w:w="7260" w:type="dxa"/>
            <w:vAlign w:val="bottom"/>
          </w:tcPr>
          <w:p>
            <w:pPr>
              <w:ind w:left="280"/>
              <w:spacing w:after="0" w:line="176" w:lineRule="exact"/>
              <w:rPr>
                <w:sz w:val="20"/>
                <w:szCs w:val="20"/>
                <w:color w:val="auto"/>
              </w:rPr>
            </w:pPr>
            <w:r>
              <w:rPr>
                <w:rFonts w:ascii="Arial" w:cs="Arial" w:eastAsia="Arial" w:hAnsi="Arial"/>
                <w:sz w:val="13"/>
                <w:szCs w:val="13"/>
                <w:color w:val="auto"/>
              </w:rPr>
              <w:t xml:space="preserve">SchlumbergerSema </w:t>
            </w:r>
            <w:r>
              <w:rPr>
                <w:rFonts w:ascii="Arial" w:cs="Arial" w:eastAsia="Arial" w:hAnsi="Arial"/>
                <w:sz w:val="20"/>
                <w:szCs w:val="20"/>
                <w:color w:val="auto"/>
                <w:vertAlign w:val="superscript"/>
              </w:rPr>
              <w:t>2</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r>
      <w:tr>
        <w:trPr>
          <w:trHeight w:val="176"/>
        </w:trPr>
        <w:tc>
          <w:tcPr>
            <w:tcW w:w="7260" w:type="dxa"/>
            <w:vAlign w:val="bottom"/>
            <w:shd w:val="clear" w:color="auto" w:fill="CCEEFF"/>
          </w:tcPr>
          <w:p>
            <w:pPr>
              <w:ind w:left="280"/>
              <w:spacing w:after="0" w:line="176"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20"/>
                <w:szCs w:val="20"/>
                <w:color w:val="auto"/>
                <w:vertAlign w:val="superscript"/>
              </w:rPr>
              <w:t>3</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spacing w:after="0"/>
              <w:rPr>
                <w:sz w:val="15"/>
                <w:szCs w:val="15"/>
                <w:color w:val="auto"/>
              </w:rPr>
            </w:pPr>
          </w:p>
        </w:tc>
      </w:tr>
      <w:tr>
        <w:trPr>
          <w:trHeight w:val="284"/>
        </w:trPr>
        <w:tc>
          <w:tcPr>
            <w:tcW w:w="7260" w:type="dxa"/>
            <w:vAlign w:val="bottom"/>
          </w:tcPr>
          <w:p>
            <w:pPr>
              <w:ind w:left="280"/>
              <w:spacing w:after="0"/>
              <w:rPr>
                <w:sz w:val="20"/>
                <w:szCs w:val="20"/>
                <w:color w:val="auto"/>
              </w:rPr>
            </w:pPr>
            <w:r>
              <w:rPr>
                <w:rFonts w:ascii="Arial" w:cs="Arial" w:eastAsia="Arial" w:hAnsi="Arial"/>
                <w:sz w:val="14"/>
                <w:szCs w:val="14"/>
                <w:color w:val="auto"/>
              </w:rPr>
              <w:t xml:space="preserve">Eliminations </w:t>
            </w:r>
            <w:r>
              <w:rPr>
                <w:rFonts w:ascii="Arial" w:cs="Arial" w:eastAsia="Arial" w:hAnsi="Arial"/>
                <w:sz w:val="22"/>
                <w:szCs w:val="22"/>
                <w:color w:val="auto"/>
                <w:vertAlign w:val="superscript"/>
              </w:rPr>
              <w:t>4</w:t>
            </w:r>
          </w:p>
        </w:tc>
        <w:tc>
          <w:tcPr>
            <w:tcW w:w="6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(148)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(420)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24"/>
                <w:szCs w:val="2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color w:val="auto"/>
                <w:w w:val="97"/>
              </w:rPr>
              <w:t>(169)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(198)</w:t>
            </w:r>
          </w:p>
        </w:tc>
      </w:tr>
      <w:tr>
        <w:trPr>
          <w:trHeight w:val="102"/>
        </w:trPr>
        <w:tc>
          <w:tcPr>
            <w:tcW w:w="72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 before minority interest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w:t>
            </w:r>
          </w:p>
        </w:tc>
        <w:tc>
          <w:tcPr>
            <w:tcW w:w="160" w:type="dxa"/>
            <w:vAlign w:val="bottom"/>
            <w:shd w:val="clear" w:color="auto" w:fill="CCEEFF"/>
          </w:tcPr>
          <w:p>
            <w:pPr>
              <w:spacing w:after="0"/>
              <w:rPr>
                <w:sz w:val="12"/>
                <w:szCs w:val="12"/>
                <w:color w:val="auto"/>
              </w:rPr>
            </w:pPr>
          </w:p>
        </w:tc>
      </w:tr>
      <w:tr>
        <w:trPr>
          <w:trHeight w:val="174"/>
        </w:trPr>
        <w:tc>
          <w:tcPr>
            <w:tcW w:w="7260" w:type="dxa"/>
            <w:vAlign w:val="bottom"/>
          </w:tcPr>
          <w:p>
            <w:pPr>
              <w:ind w:left="280"/>
              <w:spacing w:after="0"/>
              <w:rPr>
                <w:sz w:val="20"/>
                <w:szCs w:val="20"/>
                <w:color w:val="auto"/>
              </w:rPr>
            </w:pPr>
            <w:r>
              <w:rPr>
                <w:rFonts w:ascii="Arial" w:cs="Arial" w:eastAsia="Arial" w:hAnsi="Arial"/>
                <w:sz w:val="14"/>
                <w:szCs w:val="14"/>
                <w:color w:val="auto"/>
              </w:rPr>
              <w:t>Minority interest</w:t>
            </w:r>
          </w:p>
        </w:tc>
        <w:tc>
          <w:tcPr>
            <w:tcW w:w="60" w:type="dxa"/>
            <w:vAlign w:val="bottom"/>
          </w:tcPr>
          <w:p>
            <w:pPr>
              <w:spacing w:after="0"/>
              <w:rPr>
                <w:sz w:val="15"/>
                <w:szCs w:val="15"/>
                <w:color w:val="auto"/>
              </w:rPr>
            </w:pPr>
          </w:p>
        </w:tc>
        <w:tc>
          <w:tcPr>
            <w:tcW w:w="9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5"/>
                <w:szCs w:val="15"/>
                <w:color w:val="auto"/>
              </w:rPr>
            </w:pPr>
          </w:p>
        </w:tc>
      </w:tr>
      <w:tr>
        <w:trPr>
          <w:trHeight w:val="82"/>
        </w:trPr>
        <w:tc>
          <w:tcPr>
            <w:tcW w:w="7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pretax segment income, before charges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w:t>
            </w:r>
          </w:p>
        </w:tc>
        <w:tc>
          <w:tcPr>
            <w:tcW w:w="160" w:type="dxa"/>
            <w:vAlign w:val="bottom"/>
            <w:shd w:val="clear" w:color="auto" w:fill="CCEEFF"/>
          </w:tcPr>
          <w:p>
            <w:pPr>
              <w:spacing w:after="0"/>
              <w:rPr>
                <w:sz w:val="12"/>
                <w:szCs w:val="12"/>
                <w:color w:val="auto"/>
              </w:rPr>
            </w:pPr>
          </w:p>
        </w:tc>
      </w:tr>
      <w:tr>
        <w:trPr>
          <w:trHeight w:val="108"/>
        </w:trPr>
        <w:tc>
          <w:tcPr>
            <w:tcW w:w="7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49"/>
        </w:trPr>
        <w:tc>
          <w:tcPr>
            <w:tcW w:w="726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68</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60" w:type="dxa"/>
            <w:vAlign w:val="bottom"/>
          </w:tcPr>
          <w:p>
            <w:pPr>
              <w:spacing w:after="0"/>
              <w:rPr>
                <w:sz w:val="12"/>
                <w:szCs w:val="12"/>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60" w:type="dxa"/>
            <w:vAlign w:val="bottom"/>
            <w:shd w:val="clear" w:color="auto" w:fill="CCEEFF"/>
          </w:tcPr>
          <w:p>
            <w:pPr>
              <w:spacing w:after="0"/>
              <w:rPr>
                <w:sz w:val="12"/>
                <w:szCs w:val="12"/>
                <w:color w:val="auto"/>
              </w:rPr>
            </w:pPr>
          </w:p>
        </w:tc>
      </w:tr>
      <w:tr>
        <w:trPr>
          <w:trHeight w:val="176"/>
        </w:trPr>
        <w:tc>
          <w:tcPr>
            <w:tcW w:w="7260" w:type="dxa"/>
            <w:vAlign w:val="bottom"/>
          </w:tcPr>
          <w:p>
            <w:pPr>
              <w:spacing w:after="0" w:line="176" w:lineRule="exact"/>
              <w:rPr>
                <w:sz w:val="20"/>
                <w:szCs w:val="20"/>
                <w:color w:val="auto"/>
              </w:rPr>
            </w:pPr>
            <w:r>
              <w:rPr>
                <w:rFonts w:ascii="Arial" w:cs="Arial" w:eastAsia="Arial" w:hAnsi="Arial"/>
                <w:sz w:val="13"/>
                <w:szCs w:val="13"/>
                <w:color w:val="auto"/>
              </w:rPr>
              <w:t xml:space="preserve">Charges (net of minority interest) </w:t>
            </w:r>
            <w:r>
              <w:rPr>
                <w:rFonts w:ascii="Arial" w:cs="Arial" w:eastAsia="Arial" w:hAnsi="Arial"/>
                <w:sz w:val="20"/>
                <w:szCs w:val="20"/>
                <w:color w:val="auto"/>
                <w:vertAlign w:val="superscript"/>
              </w:rPr>
              <w:t>5</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3,077</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120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432</w:t>
            </w:r>
          </w:p>
        </w:tc>
        <w:tc>
          <w:tcPr>
            <w:tcW w:w="160" w:type="dxa"/>
            <w:vAlign w:val="bottom"/>
          </w:tcPr>
          <w:p>
            <w:pPr>
              <w:spacing w:after="0"/>
              <w:rPr>
                <w:sz w:val="15"/>
                <w:szCs w:val="15"/>
                <w:color w:val="auto"/>
              </w:rPr>
            </w:pPr>
          </w:p>
        </w:tc>
      </w:tr>
      <w:tr>
        <w:trPr>
          <w:trHeight w:val="176"/>
        </w:trPr>
        <w:tc>
          <w:tcPr>
            <w:tcW w:w="72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Taxes on income </w:t>
            </w:r>
            <w:r>
              <w:rPr>
                <w:rFonts w:ascii="Arial" w:cs="Arial" w:eastAsia="Arial" w:hAnsi="Arial"/>
                <w:sz w:val="20"/>
                <w:szCs w:val="20"/>
                <w:color w:val="auto"/>
                <w:vertAlign w:val="superscript"/>
              </w:rPr>
              <w:t>6</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spacing w:after="0"/>
              <w:rPr>
                <w:sz w:val="15"/>
                <w:szCs w:val="15"/>
                <w:color w:val="auto"/>
              </w:rPr>
            </w:pPr>
          </w:p>
        </w:tc>
      </w:tr>
      <w:tr>
        <w:trPr>
          <w:trHeight w:val="108"/>
        </w:trPr>
        <w:tc>
          <w:tcPr>
            <w:tcW w:w="7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continuing operations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(2,418)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160" w:type="dxa"/>
            <w:vAlign w:val="bottom"/>
            <w:shd w:val="clear" w:color="auto" w:fill="CCEEFF"/>
          </w:tcPr>
          <w:p>
            <w:pPr>
              <w:spacing w:after="0"/>
              <w:rPr>
                <w:sz w:val="12"/>
                <w:szCs w:val="12"/>
                <w:color w:val="auto"/>
              </w:rPr>
            </w:pPr>
          </w:p>
        </w:tc>
      </w:tr>
      <w:tr>
        <w:trPr>
          <w:trHeight w:val="108"/>
        </w:trPr>
        <w:tc>
          <w:tcPr>
            <w:tcW w:w="7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r>
      <w:tr>
        <w:trPr>
          <w:trHeight w:val="108"/>
        </w:trPr>
        <w:tc>
          <w:tcPr>
            <w:tcW w:w="7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discontinued operations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2"/>
                <w:szCs w:val="12"/>
                <w:color w:val="auto"/>
              </w:rPr>
            </w:pPr>
          </w:p>
        </w:tc>
      </w:tr>
      <w:tr>
        <w:trPr>
          <w:trHeight w:val="108"/>
        </w:trPr>
        <w:tc>
          <w:tcPr>
            <w:tcW w:w="7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(2,320)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w:t>
            </w:r>
          </w:p>
        </w:tc>
        <w:tc>
          <w:tcPr>
            <w:tcW w:w="160" w:type="dxa"/>
            <w:vAlign w:val="bottom"/>
            <w:shd w:val="clear" w:color="auto" w:fill="CCEEFF"/>
          </w:tcPr>
          <w:p>
            <w:pPr>
              <w:spacing w:after="0"/>
              <w:rPr>
                <w:sz w:val="12"/>
                <w:szCs w:val="12"/>
                <w:color w:val="auto"/>
              </w:rPr>
            </w:pPr>
          </w:p>
        </w:tc>
      </w:tr>
      <w:tr>
        <w:trPr>
          <w:trHeight w:val="132"/>
        </w:trPr>
        <w:tc>
          <w:tcPr>
            <w:tcW w:w="7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5"/>
        </w:trPr>
        <w:tc>
          <w:tcPr>
            <w:tcW w:w="7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r>
      <w:tr>
        <w:trPr>
          <w:trHeight w:val="149"/>
        </w:trPr>
        <w:tc>
          <w:tcPr>
            <w:tcW w:w="7260" w:type="dxa"/>
            <w:vAlign w:val="bottom"/>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Continuing operations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(4.18)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0.85</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r>
      <w:tr>
        <w:trPr>
          <w:trHeight w:val="174"/>
        </w:trPr>
        <w:tc>
          <w:tcPr>
            <w:tcW w:w="7260" w:type="dxa"/>
            <w:vAlign w:val="bottom"/>
          </w:tcPr>
          <w:p>
            <w:pPr>
              <w:ind w:left="280"/>
              <w:spacing w:after="0"/>
              <w:rPr>
                <w:sz w:val="20"/>
                <w:szCs w:val="20"/>
                <w:color w:val="auto"/>
              </w:rPr>
            </w:pPr>
            <w:r>
              <w:rPr>
                <w:rFonts w:ascii="Arial" w:cs="Arial" w:eastAsia="Arial" w:hAnsi="Arial"/>
                <w:sz w:val="14"/>
                <w:szCs w:val="14"/>
                <w:color w:val="auto"/>
              </w:rPr>
              <w:t>Discontinued operations</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0.17</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0.06</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0.03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0.78</w:t>
            </w:r>
          </w:p>
        </w:tc>
        <w:tc>
          <w:tcPr>
            <w:tcW w:w="160" w:type="dxa"/>
            <w:vAlign w:val="bottom"/>
          </w:tcPr>
          <w:p>
            <w:pPr>
              <w:spacing w:after="0"/>
              <w:rPr>
                <w:sz w:val="15"/>
                <w:szCs w:val="15"/>
                <w:color w:val="auto"/>
              </w:rPr>
            </w:pPr>
          </w:p>
        </w:tc>
      </w:tr>
      <w:tr>
        <w:trPr>
          <w:trHeight w:val="82"/>
        </w:trPr>
        <w:tc>
          <w:tcPr>
            <w:tcW w:w="7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(4.01)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0.67</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160" w:type="dxa"/>
            <w:vAlign w:val="bottom"/>
            <w:shd w:val="clear" w:color="auto" w:fill="CCEEFF"/>
          </w:tcPr>
          <w:p>
            <w:pPr>
              <w:spacing w:after="0"/>
              <w:rPr>
                <w:sz w:val="12"/>
                <w:szCs w:val="12"/>
                <w:color w:val="auto"/>
              </w:rPr>
            </w:pPr>
          </w:p>
        </w:tc>
      </w:tr>
      <w:tr>
        <w:trPr>
          <w:trHeight w:val="174"/>
        </w:trPr>
        <w:tc>
          <w:tcPr>
            <w:tcW w:w="7260" w:type="dxa"/>
            <w:vAlign w:val="bottom"/>
          </w:tcPr>
          <w:p>
            <w:pPr>
              <w:ind w:left="280"/>
              <w:spacing w:after="0"/>
              <w:rPr>
                <w:sz w:val="20"/>
                <w:szCs w:val="20"/>
                <w:color w:val="auto"/>
              </w:rPr>
            </w:pPr>
            <w:r>
              <w:rPr>
                <w:rFonts w:ascii="Arial" w:cs="Arial" w:eastAsia="Arial" w:hAnsi="Arial"/>
                <w:sz w:val="14"/>
                <w:szCs w:val="14"/>
                <w:color w:val="auto"/>
              </w:rPr>
              <w:t>Add back amortization of goodwill</w:t>
            </w:r>
          </w:p>
        </w:tc>
        <w:tc>
          <w:tcPr>
            <w:tcW w:w="60" w:type="dxa"/>
            <w:vAlign w:val="bottom"/>
          </w:tcPr>
          <w:p>
            <w:pPr>
              <w:spacing w:after="0"/>
              <w:rPr>
                <w:sz w:val="15"/>
                <w:szCs w:val="15"/>
                <w:color w:val="auto"/>
              </w:rPr>
            </w:pP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0.17</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0.16</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0.13</w:t>
            </w:r>
          </w:p>
        </w:tc>
        <w:tc>
          <w:tcPr>
            <w:tcW w:w="160" w:type="dxa"/>
            <w:vAlign w:val="bottom"/>
          </w:tcPr>
          <w:p>
            <w:pPr>
              <w:spacing w:after="0"/>
              <w:rPr>
                <w:sz w:val="15"/>
                <w:szCs w:val="15"/>
                <w:color w:val="auto"/>
              </w:rPr>
            </w:pPr>
          </w:p>
        </w:tc>
      </w:tr>
      <w:tr>
        <w:trPr>
          <w:trHeight w:val="82"/>
        </w:trPr>
        <w:tc>
          <w:tcPr>
            <w:tcW w:w="7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Adjusted earnings (loss)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(4.01)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0.83</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60" w:type="dxa"/>
            <w:vAlign w:val="bottom"/>
            <w:shd w:val="clear" w:color="auto" w:fill="CCEEFF"/>
          </w:tcPr>
          <w:p>
            <w:pPr>
              <w:spacing w:after="0"/>
              <w:rPr>
                <w:sz w:val="12"/>
                <w:szCs w:val="12"/>
                <w:color w:val="auto"/>
              </w:rPr>
            </w:pPr>
          </w:p>
        </w:tc>
      </w:tr>
      <w:tr>
        <w:trPr>
          <w:trHeight w:val="132"/>
        </w:trPr>
        <w:tc>
          <w:tcPr>
            <w:tcW w:w="7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5"/>
        </w:trPr>
        <w:tc>
          <w:tcPr>
            <w:tcW w:w="7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(loss) per share: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7260" w:type="dxa"/>
            <w:vAlign w:val="bottom"/>
          </w:tcPr>
          <w:p>
            <w:pPr>
              <w:ind w:left="280"/>
              <w:spacing w:after="0" w:line="149" w:lineRule="exact"/>
              <w:rPr>
                <w:sz w:val="20"/>
                <w:szCs w:val="20"/>
                <w:color w:val="auto"/>
              </w:rPr>
            </w:pPr>
            <w:r>
              <w:rPr>
                <w:rFonts w:ascii="Arial" w:cs="Arial" w:eastAsia="Arial" w:hAnsi="Arial"/>
                <w:sz w:val="14"/>
                <w:szCs w:val="14"/>
                <w:color w:val="auto"/>
              </w:rPr>
              <w:t>Continuing operations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(4.18)</w:t>
            </w: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4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0.55</w:t>
            </w:r>
          </w:p>
        </w:tc>
        <w:tc>
          <w:tcPr>
            <w:tcW w:w="4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tcPr>
          <w:p>
            <w:pPr>
              <w:spacing w:after="0"/>
              <w:rPr>
                <w:sz w:val="12"/>
                <w:szCs w:val="12"/>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Discontinued operations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0.77</w:t>
            </w:r>
          </w:p>
        </w:tc>
        <w:tc>
          <w:tcPr>
            <w:tcW w:w="160" w:type="dxa"/>
            <w:vAlign w:val="bottom"/>
            <w:shd w:val="clear" w:color="auto" w:fill="CCEEFF"/>
          </w:tcPr>
          <w:p>
            <w:pPr>
              <w:spacing w:after="0"/>
              <w:rPr>
                <w:sz w:val="12"/>
                <w:szCs w:val="12"/>
                <w:color w:val="auto"/>
              </w:rPr>
            </w:pPr>
          </w:p>
        </w:tc>
      </w:tr>
      <w:tr>
        <w:trPr>
          <w:trHeight w:val="108"/>
        </w:trPr>
        <w:tc>
          <w:tcPr>
            <w:tcW w:w="7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(4.01)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160" w:type="dxa"/>
            <w:vAlign w:val="bottom"/>
            <w:shd w:val="clear" w:color="auto" w:fill="CCEEFF"/>
          </w:tcPr>
          <w:p>
            <w:pPr>
              <w:spacing w:after="0"/>
              <w:rPr>
                <w:sz w:val="12"/>
                <w:szCs w:val="12"/>
                <w:color w:val="auto"/>
              </w:rPr>
            </w:pPr>
          </w:p>
        </w:tc>
      </w:tr>
      <w:tr>
        <w:trPr>
          <w:trHeight w:val="174"/>
        </w:trPr>
        <w:tc>
          <w:tcPr>
            <w:tcW w:w="7260" w:type="dxa"/>
            <w:vAlign w:val="bottom"/>
          </w:tcPr>
          <w:p>
            <w:pPr>
              <w:ind w:left="280"/>
              <w:spacing w:after="0"/>
              <w:rPr>
                <w:sz w:val="20"/>
                <w:szCs w:val="20"/>
                <w:color w:val="auto"/>
              </w:rPr>
            </w:pPr>
            <w:r>
              <w:rPr>
                <w:rFonts w:ascii="Arial" w:cs="Arial" w:eastAsia="Arial" w:hAnsi="Arial"/>
                <w:sz w:val="14"/>
                <w:szCs w:val="14"/>
                <w:color w:val="auto"/>
              </w:rPr>
              <w:t>Add back amortization of goodwill</w:t>
            </w:r>
          </w:p>
        </w:tc>
        <w:tc>
          <w:tcPr>
            <w:tcW w:w="60" w:type="dxa"/>
            <w:vAlign w:val="bottom"/>
          </w:tcPr>
          <w:p>
            <w:pPr>
              <w:spacing w:after="0"/>
              <w:rPr>
                <w:sz w:val="15"/>
                <w:szCs w:val="15"/>
                <w:color w:val="auto"/>
              </w:rPr>
            </w:pP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0.17</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0.15</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5"/>
                <w:szCs w:val="15"/>
                <w:color w:val="auto"/>
              </w:rPr>
            </w:pPr>
          </w:p>
        </w:tc>
      </w:tr>
      <w:tr>
        <w:trPr>
          <w:trHeight w:val="82"/>
        </w:trPr>
        <w:tc>
          <w:tcPr>
            <w:tcW w:w="7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r>
      <w:tr>
        <w:trPr>
          <w:trHeight w:val="102"/>
        </w:trPr>
        <w:tc>
          <w:tcPr>
            <w:tcW w:w="7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Adjusted earnings (loss)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(4.01)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0.80</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60" w:type="dxa"/>
            <w:vAlign w:val="bottom"/>
            <w:shd w:val="clear" w:color="auto" w:fill="CCEEFF"/>
          </w:tcPr>
          <w:p>
            <w:pPr>
              <w:spacing w:after="0"/>
              <w:rPr>
                <w:sz w:val="12"/>
                <w:szCs w:val="12"/>
                <w:color w:val="auto"/>
              </w:rPr>
            </w:pPr>
          </w:p>
        </w:tc>
      </w:tr>
      <w:tr>
        <w:trPr>
          <w:trHeight w:val="132"/>
        </w:trPr>
        <w:tc>
          <w:tcPr>
            <w:tcW w:w="7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5"/>
        </w:trPr>
        <w:tc>
          <w:tcPr>
            <w:tcW w:w="7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0.75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160" w:type="dxa"/>
            <w:vAlign w:val="bottom"/>
            <w:shd w:val="clear" w:color="auto" w:fill="CCEEFF"/>
          </w:tcPr>
          <w:p>
            <w:pPr>
              <w:spacing w:after="0"/>
              <w:rPr>
                <w:sz w:val="12"/>
                <w:szCs w:val="12"/>
                <w:color w:val="auto"/>
              </w:rPr>
            </w:pPr>
          </w:p>
        </w:tc>
      </w:tr>
      <w:tr>
        <w:trPr>
          <w:trHeight w:val="132"/>
        </w:trPr>
        <w:tc>
          <w:tcPr>
            <w:tcW w:w="7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-5389245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-5389245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-5389245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-5389245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-5389245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-5389245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-5389245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-5389245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-5389245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-5389245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-5389245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-5389245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-5389245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-5389245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-5389245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-2421890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-2421890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-2421890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-2421890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-2421890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-2421890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-2421890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-2421890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-2421890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-2421890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-2421890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-2421890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-2421890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-2421890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-2421890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-1306830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-1306830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-1306830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-1306830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-1306830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-1306830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-1306830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-1306830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-1306830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-1306830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-1306830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-1306830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-1306830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-1306830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-1306830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-286385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-286385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-286385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-286385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-286385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-286385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-286385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-286385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-286385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-286385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-286385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-286385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-286385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-286385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-286385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8860"/>
        <w:spacing w:after="0"/>
        <w:rPr>
          <w:sz w:val="20"/>
          <w:szCs w:val="20"/>
          <w:color w:val="auto"/>
        </w:rPr>
      </w:pPr>
      <w:r>
        <w:rPr>
          <w:rFonts w:ascii="Arial" w:cs="Arial" w:eastAsia="Arial" w:hAnsi="Arial"/>
          <w:sz w:val="12"/>
          <w:szCs w:val="12"/>
          <w:i w:val="1"/>
          <w:iCs w:val="1"/>
          <w:color w:val="auto"/>
        </w:rPr>
        <w:t>(Stated in millions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8"/>
          </w:tcPr>
          <w:p>
            <w:pPr>
              <w:jc w:val="right"/>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1"/>
        </w:trPr>
        <w:tc>
          <w:tcPr>
            <w:tcW w:w="5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r>
      <w:tr>
        <w:trPr>
          <w:trHeight w:val="382"/>
        </w:trPr>
        <w:tc>
          <w:tcPr>
            <w:tcW w:w="5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2002</w:t>
            </w:r>
          </w:p>
        </w:tc>
        <w:tc>
          <w:tcPr>
            <w:tcW w:w="3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2001 </w:t>
            </w:r>
            <w:r>
              <w:rPr>
                <w:rFonts w:ascii="Arial" w:cs="Arial" w:eastAsia="Arial" w:hAnsi="Arial"/>
                <w:sz w:val="22"/>
                <w:szCs w:val="22"/>
                <w:b w:val="1"/>
                <w:bCs w:val="1"/>
                <w:color w:val="auto"/>
                <w:vertAlign w:val="superscript"/>
              </w:rPr>
              <w:t>1</w:t>
            </w:r>
          </w:p>
        </w:tc>
        <w:tc>
          <w:tcPr>
            <w:tcW w:w="2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2000 </w:t>
            </w:r>
            <w:r>
              <w:rPr>
                <w:rFonts w:ascii="Arial" w:cs="Arial" w:eastAsia="Arial" w:hAnsi="Arial"/>
                <w:sz w:val="22"/>
                <w:szCs w:val="22"/>
                <w:b w:val="1"/>
                <w:bCs w:val="1"/>
                <w:color w:val="auto"/>
                <w:vertAlign w:val="superscript"/>
              </w:rPr>
              <w:t>1</w:t>
            </w:r>
          </w:p>
        </w:tc>
        <w:tc>
          <w:tcPr>
            <w:tcW w:w="2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1999 </w:t>
            </w:r>
            <w:r>
              <w:rPr>
                <w:rFonts w:ascii="Arial" w:cs="Arial" w:eastAsia="Arial" w:hAnsi="Arial"/>
                <w:sz w:val="22"/>
                <w:szCs w:val="22"/>
                <w:b w:val="1"/>
                <w:bCs w:val="1"/>
                <w:color w:val="auto"/>
                <w:vertAlign w:val="superscript"/>
              </w:rPr>
              <w:t>1</w:t>
            </w:r>
          </w:p>
        </w:tc>
        <w:tc>
          <w:tcPr>
            <w:tcW w:w="4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 xml:space="preserve">1998 </w:t>
            </w:r>
            <w:r>
              <w:rPr>
                <w:rFonts w:ascii="Arial" w:cs="Arial" w:eastAsia="Arial" w:hAnsi="Arial"/>
                <w:sz w:val="22"/>
                <w:szCs w:val="22"/>
                <w:b w:val="1"/>
                <w:bCs w:val="1"/>
                <w:color w:val="auto"/>
                <w:w w:val="87"/>
                <w:vertAlign w:val="superscript"/>
              </w:rPr>
              <w:t>1</w:t>
            </w:r>
          </w:p>
        </w:tc>
        <w:tc>
          <w:tcPr>
            <w:tcW w:w="120" w:type="dxa"/>
            <w:vAlign w:val="bottom"/>
          </w:tcPr>
          <w:p>
            <w:pPr>
              <w:spacing w:after="0"/>
              <w:rPr>
                <w:sz w:val="24"/>
                <w:szCs w:val="24"/>
                <w:color w:val="auto"/>
              </w:rPr>
            </w:pPr>
          </w:p>
        </w:tc>
      </w:tr>
      <w:tr>
        <w:trPr>
          <w:trHeight w:val="105"/>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FINANCIAL DATA</w:t>
            </w: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4"/>
        </w:trPr>
        <w:tc>
          <w:tcPr>
            <w:tcW w:w="5820" w:type="dxa"/>
            <w:vAlign w:val="bottom"/>
          </w:tcPr>
          <w:p>
            <w:pPr>
              <w:spacing w:after="0"/>
              <w:rPr>
                <w:sz w:val="20"/>
                <w:szCs w:val="20"/>
                <w:color w:val="auto"/>
              </w:rPr>
            </w:pPr>
            <w:r>
              <w:rPr>
                <w:rFonts w:ascii="Arial" w:cs="Arial" w:eastAsia="Arial" w:hAnsi="Arial"/>
                <w:sz w:val="14"/>
                <w:szCs w:val="14"/>
                <w:color w:val="auto"/>
              </w:rPr>
              <w:t>Income as % of operating revenue, continuing operations</w:t>
            </w: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82"/>
        </w:trPr>
        <w:tc>
          <w:tcPr>
            <w:tcW w:w="5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as % of operating revenue, continuing operations excluding charges</w:t>
            </w: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stockholders’ equity, continuing operations</w:t>
            </w: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stockholders’ equity, continuing operations excluding charges</w:t>
            </w: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 additions</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1,366</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2,044</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2"/>
                <w:szCs w:val="12"/>
                <w:color w:val="auto"/>
              </w:rPr>
            </w:pP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1,256</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1,178</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936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923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w:t>
            </w:r>
          </w:p>
        </w:tc>
        <w:tc>
          <w:tcPr>
            <w:tcW w:w="120" w:type="dxa"/>
            <w:vAlign w:val="bottom"/>
            <w:shd w:val="clear" w:color="auto" w:fill="CCEEFF"/>
          </w:tcPr>
          <w:p>
            <w:pPr>
              <w:spacing w:after="0"/>
              <w:rPr>
                <w:sz w:val="12"/>
                <w:szCs w:val="12"/>
                <w:color w:val="auto"/>
              </w:rPr>
            </w:pP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Avg. number of shares outstanding:</w:t>
            </w: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4"/>
        </w:trPr>
        <w:tc>
          <w:tcPr>
            <w:tcW w:w="5820" w:type="dxa"/>
            <w:vAlign w:val="bottom"/>
          </w:tcPr>
          <w:p>
            <w:pPr>
              <w:ind w:left="280"/>
              <w:spacing w:after="0"/>
              <w:rPr>
                <w:sz w:val="20"/>
                <w:szCs w:val="20"/>
                <w:color w:val="auto"/>
              </w:rPr>
            </w:pPr>
            <w:r>
              <w:rPr>
                <w:rFonts w:ascii="Arial" w:cs="Arial" w:eastAsia="Arial" w:hAnsi="Arial"/>
                <w:sz w:val="14"/>
                <w:szCs w:val="14"/>
                <w:color w:val="auto"/>
              </w:rPr>
              <w:t>Basic</w:t>
            </w: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579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574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570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549</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5"/>
                <w:szCs w:val="15"/>
                <w:color w:val="auto"/>
              </w:rPr>
            </w:pPr>
          </w:p>
        </w:tc>
      </w:tr>
      <w:tr>
        <w:trPr>
          <w:trHeight w:val="82"/>
        </w:trPr>
        <w:tc>
          <w:tcPr>
            <w:tcW w:w="5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Assuming dilution</w:t>
            </w: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579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564</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2"/>
                <w:szCs w:val="12"/>
                <w:color w:val="auto"/>
              </w:rPr>
            </w:pP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DECEMBER 31:</w:t>
            </w: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84"/>
        </w:trPr>
        <w:tc>
          <w:tcPr>
            <w:tcW w:w="5820" w:type="dxa"/>
            <w:vAlign w:val="bottom"/>
          </w:tcPr>
          <w:p>
            <w:pPr>
              <w:spacing w:after="0"/>
              <w:rPr>
                <w:sz w:val="20"/>
                <w:szCs w:val="20"/>
                <w:color w:val="auto"/>
              </w:rPr>
            </w:pPr>
            <w:r>
              <w:rPr>
                <w:rFonts w:ascii="Arial" w:cs="Arial" w:eastAsia="Arial" w:hAnsi="Arial"/>
                <w:sz w:val="14"/>
                <w:szCs w:val="14"/>
                <w:color w:val="auto"/>
              </w:rPr>
              <w:t xml:space="preserve">Liquidity </w:t>
            </w:r>
            <w:r>
              <w:rPr>
                <w:rFonts w:ascii="Arial" w:cs="Arial" w:eastAsia="Arial" w:hAnsi="Arial"/>
                <w:sz w:val="22"/>
                <w:szCs w:val="22"/>
                <w:color w:val="auto"/>
                <w:vertAlign w:val="superscript"/>
              </w:rPr>
              <w:t>7</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(5,021)</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(5,037)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422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1,231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4"/>
                <w:szCs w:val="24"/>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735</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1,487</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3,502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4,787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4,681</w:t>
            </w:r>
          </w:p>
        </w:tc>
        <w:tc>
          <w:tcPr>
            <w:tcW w:w="120" w:type="dxa"/>
            <w:vAlign w:val="bottom"/>
            <w:shd w:val="clear" w:color="auto" w:fill="CCEEFF"/>
          </w:tcPr>
          <w:p>
            <w:pPr>
              <w:spacing w:after="0"/>
              <w:rPr>
                <w:sz w:val="12"/>
                <w:szCs w:val="12"/>
                <w:color w:val="auto"/>
              </w:rPr>
            </w:pP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19,435</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22,326</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17,173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15,081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16,078</w:t>
            </w:r>
          </w:p>
        </w:tc>
        <w:tc>
          <w:tcPr>
            <w:tcW w:w="120" w:type="dxa"/>
            <w:vAlign w:val="bottom"/>
            <w:shd w:val="clear" w:color="auto" w:fill="CCEEFF"/>
          </w:tcPr>
          <w:p>
            <w:pPr>
              <w:spacing w:after="0"/>
              <w:rPr>
                <w:sz w:val="12"/>
                <w:szCs w:val="12"/>
                <w:color w:val="auto"/>
              </w:rPr>
            </w:pP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6,029</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6,216</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3,573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3,285</w:t>
            </w:r>
          </w:p>
        </w:tc>
        <w:tc>
          <w:tcPr>
            <w:tcW w:w="120" w:type="dxa"/>
            <w:vAlign w:val="bottom"/>
            <w:shd w:val="clear" w:color="auto" w:fill="CCEEFF"/>
          </w:tcPr>
          <w:p>
            <w:pPr>
              <w:spacing w:after="0"/>
              <w:rPr>
                <w:sz w:val="12"/>
                <w:szCs w:val="12"/>
                <w:color w:val="auto"/>
              </w:rPr>
            </w:pP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5,606</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8,378</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8,295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7,721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8,119</w:t>
            </w:r>
          </w:p>
        </w:tc>
        <w:tc>
          <w:tcPr>
            <w:tcW w:w="120" w:type="dxa"/>
            <w:vAlign w:val="bottom"/>
            <w:shd w:val="clear" w:color="auto" w:fill="CCEEFF"/>
          </w:tcPr>
          <w:p>
            <w:pPr>
              <w:spacing w:after="0"/>
              <w:rPr>
                <w:sz w:val="12"/>
                <w:szCs w:val="12"/>
                <w:color w:val="auto"/>
              </w:rPr>
            </w:pP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employees continuing operations</w:t>
            </w: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78,500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80,000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59,000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54,000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58,000</w:t>
            </w:r>
          </w:p>
        </w:tc>
        <w:tc>
          <w:tcPr>
            <w:tcW w:w="120" w:type="dxa"/>
            <w:vAlign w:val="bottom"/>
            <w:shd w:val="clear" w:color="auto" w:fill="CCEEFF"/>
          </w:tcPr>
          <w:p>
            <w:pPr>
              <w:spacing w:after="0"/>
              <w:rPr>
                <w:sz w:val="12"/>
                <w:szCs w:val="12"/>
                <w:color w:val="auto"/>
              </w:rPr>
            </w:pPr>
          </w:p>
        </w:tc>
      </w:tr>
      <w:tr>
        <w:trPr>
          <w:trHeight w:val="108"/>
        </w:trPr>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245"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Restated, in part, for organization changes and discontinued operations.</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Sema plc was acquired on April 1, 2001.</w:t>
      </w:r>
    </w:p>
    <w:p>
      <w:pPr>
        <w:ind w:left="660" w:hanging="314"/>
        <w:spacing w:after="0"/>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color w:val="auto"/>
        </w:rPr>
        <w:t>Principally includes the Cards, Terminals, Meters North America, NPTest and the divested Resource Management Systems (sold in 2001) and Retail Petroleum Services (sold in 1998) businesses.</w:t>
      </w:r>
    </w:p>
    <w:p>
      <w:pPr>
        <w:spacing w:after="0" w:line="10" w:lineRule="exact"/>
        <w:rPr>
          <w:rFonts w:ascii="Arial" w:cs="Arial" w:eastAsia="Arial" w:hAnsi="Arial"/>
          <w:sz w:val="12"/>
          <w:szCs w:val="12"/>
          <w:color w:val="auto"/>
        </w:rPr>
      </w:pP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amortization of goodwill and other acquisition related intangibles.</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details of Charges, see pages 23-24 of this Report.</w:t>
      </w:r>
    </w:p>
    <w:p>
      <w:pPr>
        <w:ind w:left="660" w:right="80" w:hanging="314"/>
        <w:spacing w:after="0" w:line="258" w:lineRule="auto"/>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2002, the provision for income tax before the net tax expense on the charges was $246 million. In 2001, the provision for income taxes, before the tax expense on the charges was $391 million. In 2000, the provision for income taxes, before the tax benefit on the charges was $208 million. In 1999, the provision for income taxes, before the tax benefit on the charge and the tax expense on the gain on the sale of RPS financial instruments, was $124 million. In 1998, the provision for income taxes, before the tax benefit charge, was $324 million.</w:t>
      </w:r>
    </w:p>
    <w:p>
      <w:pPr>
        <w:ind w:left="660" w:hanging="314"/>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defined on page 27 of this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auto"/>
        </w:rPr>
        <w:t>and Results of Operations</w:t>
      </w:r>
    </w:p>
    <w:p>
      <w:pPr>
        <w:spacing w:after="0" w:line="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Schlumberger operates three business segments: Oilfield Services, SchlumbergerSema and Other. The following discussion and analysis of results of operations should be read in conjunction with the Consolidated Financial Statements.</w:t>
      </w:r>
    </w:p>
    <w:p>
      <w:pPr>
        <w:spacing w:after="0" w:line="118" w:lineRule="exact"/>
        <w:rPr>
          <w:sz w:val="20"/>
          <w:szCs w:val="20"/>
          <w:color w:val="auto"/>
        </w:rPr>
      </w:pPr>
    </w:p>
    <w:p>
      <w:pPr>
        <w:ind w:left="10080"/>
        <w:spacing w:after="0"/>
        <w:rPr>
          <w:sz w:val="20"/>
          <w:szCs w:val="20"/>
          <w:color w:val="auto"/>
        </w:rPr>
      </w:pPr>
      <w:r>
        <w:rPr>
          <w:rFonts w:ascii="Arial" w:cs="Arial" w:eastAsia="Arial" w:hAnsi="Arial"/>
          <w:sz w:val="16"/>
          <w:szCs w:val="16"/>
          <w:i w:val="1"/>
          <w:iCs w:val="1"/>
          <w:color w:val="auto"/>
        </w:rPr>
        <w:t>(Stated in millions)</w:t>
      </w:r>
    </w:p>
    <w:p>
      <w:pPr>
        <w:spacing w:after="0" w:line="90" w:lineRule="exact"/>
        <w:rPr>
          <w:sz w:val="20"/>
          <w:szCs w:val="20"/>
          <w:color w:val="auto"/>
        </w:rPr>
      </w:pPr>
    </w:p>
    <w:p>
      <w:pPr>
        <w:spacing w:after="0"/>
        <w:tabs>
          <w:tab w:leader="none" w:pos="8940" w:val="left"/>
          <w:tab w:leader="none" w:pos="9720" w:val="left"/>
          <w:tab w:leader="none" w:pos="10560" w:val="left"/>
        </w:tabs>
        <w:rPr>
          <w:sz w:val="20"/>
          <w:szCs w:val="20"/>
          <w:color w:val="auto"/>
        </w:rPr>
      </w:pPr>
      <w:r>
        <w:rPr>
          <w:rFonts w:ascii="Arial" w:cs="Arial" w:eastAsia="Arial" w:hAnsi="Arial"/>
          <w:sz w:val="14"/>
          <w:szCs w:val="14"/>
          <w:b w:val="1"/>
          <w:bCs w:val="1"/>
          <w:color w:val="auto"/>
        </w:rPr>
        <w:t>OILFIELD SERVICES</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4"/>
          <w:szCs w:val="14"/>
          <w:b w:val="1"/>
          <w:bCs w:val="1"/>
          <w:color w:val="auto"/>
        </w:rPr>
        <w:t xml:space="preserve">2001 </w:t>
      </w:r>
      <w:r>
        <w:rPr>
          <w:rFonts w:ascii="Arial" w:cs="Arial" w:eastAsia="Arial" w:hAnsi="Arial"/>
          <w:sz w:val="22"/>
          <w:szCs w:val="22"/>
          <w:b w:val="1"/>
          <w:bCs w:val="1"/>
          <w:color w:val="auto"/>
          <w:vertAlign w:val="superscript"/>
        </w:rPr>
        <w:t>1</w:t>
      </w:r>
      <w:r>
        <w:rPr>
          <w:sz w:val="20"/>
          <w:szCs w:val="20"/>
          <w:color w:val="auto"/>
        </w:rPr>
        <w:tab/>
      </w:r>
      <w:r>
        <w:rPr>
          <w:rFonts w:ascii="Arial" w:cs="Arial" w:eastAsia="Arial" w:hAnsi="Arial"/>
          <w:sz w:val="12"/>
          <w:szCs w:val="12"/>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w w:val="84"/>
              </w:rPr>
              <w:t>9,347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84"/>
              </w:rPr>
              <w:t>9,867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93"/>
        </w:trPr>
        <w:tc>
          <w:tcPr>
            <w:tcW w:w="5320" w:type="dxa"/>
            <w:vAlign w:val="bottom"/>
          </w:tcPr>
          <w:p>
            <w:pPr>
              <w:ind w:left="20"/>
              <w:spacing w:after="0"/>
              <w:rPr>
                <w:sz w:val="20"/>
                <w:szCs w:val="20"/>
                <w:color w:val="auto"/>
              </w:rPr>
            </w:pPr>
            <w:r>
              <w:rPr>
                <w:rFonts w:ascii="Arial" w:cs="Arial" w:eastAsia="Arial" w:hAnsi="Arial"/>
                <w:sz w:val="18"/>
                <w:szCs w:val="18"/>
                <w:color w:val="auto"/>
              </w:rPr>
              <w:t xml:space="preserve">Pretax Segment Income </w:t>
            </w:r>
            <w:r>
              <w:rPr>
                <w:rFonts w:ascii="Arial" w:cs="Arial" w:eastAsia="Arial" w:hAnsi="Arial"/>
                <w:sz w:val="22"/>
                <w:szCs w:val="22"/>
                <w:color w:val="auto"/>
                <w:vertAlign w:val="superscript"/>
              </w:rPr>
              <w:t>2</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77"/>
              <w:spacing w:after="0"/>
              <w:rPr>
                <w:sz w:val="20"/>
                <w:szCs w:val="20"/>
                <w:color w:val="auto"/>
              </w:rPr>
            </w:pPr>
            <w:r>
              <w:rPr>
                <w:rFonts w:ascii="Arial" w:cs="Arial" w:eastAsia="Arial" w:hAnsi="Arial"/>
                <w:sz w:val="18"/>
                <w:szCs w:val="18"/>
                <w:b w:val="1"/>
                <w:bCs w:val="1"/>
                <w:color w:val="auto"/>
                <w:w w:val="84"/>
              </w:rPr>
              <w:t>1,328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7"/>
              <w:spacing w:after="0"/>
              <w:rPr>
                <w:sz w:val="20"/>
                <w:szCs w:val="20"/>
                <w:color w:val="auto"/>
              </w:rPr>
            </w:pPr>
            <w:r>
              <w:rPr>
                <w:rFonts w:ascii="Arial" w:cs="Arial" w:eastAsia="Arial" w:hAnsi="Arial"/>
                <w:sz w:val="18"/>
                <w:szCs w:val="18"/>
                <w:color w:val="auto"/>
                <w:w w:val="84"/>
              </w:rPr>
              <w:t>1,803</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9"/>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SCHLUMBERGERSEMA </w:t>
            </w:r>
            <w:r>
              <w:rPr>
                <w:rFonts w:ascii="Arial" w:cs="Arial" w:eastAsia="Arial" w:hAnsi="Arial"/>
                <w:sz w:val="22"/>
                <w:szCs w:val="22"/>
                <w:b w:val="1"/>
                <w:bCs w:val="1"/>
                <w:color w:val="auto"/>
                <w:vertAlign w:val="superscript"/>
              </w:rPr>
              <w:t>3</w:t>
            </w:r>
          </w:p>
        </w:tc>
        <w:tc>
          <w:tcPr>
            <w:tcW w:w="3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3"/>
              </w:rPr>
              <w:t>2002</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3"/>
              </w:rPr>
              <w:t>2001</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 Change</w:t>
            </w:r>
          </w:p>
        </w:tc>
      </w:tr>
      <w:tr>
        <w:trPr>
          <w:trHeight w:val="105"/>
        </w:trPr>
        <w:tc>
          <w:tcPr>
            <w:tcW w:w="53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w w:val="84"/>
              </w:rPr>
              <w:t>2,991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84"/>
              </w:rPr>
              <w:t>2,258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93"/>
        </w:trPr>
        <w:tc>
          <w:tcPr>
            <w:tcW w:w="5320" w:type="dxa"/>
            <w:vAlign w:val="bottom"/>
          </w:tcPr>
          <w:p>
            <w:pPr>
              <w:ind w:left="20"/>
              <w:spacing w:after="0"/>
              <w:rPr>
                <w:sz w:val="20"/>
                <w:szCs w:val="20"/>
                <w:color w:val="auto"/>
              </w:rPr>
            </w:pPr>
            <w:r>
              <w:rPr>
                <w:rFonts w:ascii="Arial" w:cs="Arial" w:eastAsia="Arial" w:hAnsi="Arial"/>
                <w:sz w:val="18"/>
                <w:szCs w:val="18"/>
                <w:color w:val="auto"/>
              </w:rPr>
              <w:t xml:space="preserve">Pretax Segment Income </w:t>
            </w:r>
            <w:r>
              <w:rPr>
                <w:rFonts w:ascii="Arial" w:cs="Arial" w:eastAsia="Arial" w:hAnsi="Arial"/>
                <w:sz w:val="22"/>
                <w:szCs w:val="22"/>
                <w:color w:val="auto"/>
                <w:vertAlign w:val="superscript"/>
              </w:rPr>
              <w:t>2</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77"/>
              <w:spacing w:after="0"/>
              <w:rPr>
                <w:sz w:val="20"/>
                <w:szCs w:val="20"/>
                <w:color w:val="auto"/>
              </w:rPr>
            </w:pPr>
            <w:r>
              <w:rPr>
                <w:rFonts w:ascii="Arial" w:cs="Arial" w:eastAsia="Arial" w:hAnsi="Arial"/>
                <w:sz w:val="18"/>
                <w:szCs w:val="18"/>
                <w:b w:val="1"/>
                <w:bCs w:val="1"/>
                <w:color w:val="auto"/>
              </w:rPr>
              <w:t>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7"/>
              <w:spacing w:after="0"/>
              <w:rPr>
                <w:sz w:val="20"/>
                <w:szCs w:val="20"/>
                <w:color w:val="auto"/>
              </w:rPr>
            </w:pPr>
            <w:r>
              <w:rPr>
                <w:rFonts w:ascii="Arial" w:cs="Arial" w:eastAsia="Arial" w:hAnsi="Arial"/>
                <w:sz w:val="18"/>
                <w:szCs w:val="18"/>
                <w:color w:val="auto"/>
              </w:rPr>
              <w:t>(33)</w:t>
            </w: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339"/>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22"/>
                <w:szCs w:val="22"/>
                <w:b w:val="1"/>
                <w:bCs w:val="1"/>
                <w:color w:val="auto"/>
                <w:vertAlign w:val="superscript"/>
              </w:rPr>
              <w:t>4</w:t>
            </w:r>
          </w:p>
        </w:tc>
        <w:tc>
          <w:tcPr>
            <w:tcW w:w="3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3"/>
              </w:rPr>
              <w:t>2002</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3"/>
              </w:rPr>
              <w:t>2001</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 Change</w:t>
            </w:r>
          </w:p>
        </w:tc>
      </w:tr>
      <w:tr>
        <w:trPr>
          <w:trHeight w:val="105"/>
        </w:trPr>
        <w:tc>
          <w:tcPr>
            <w:tcW w:w="53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w w:val="84"/>
              </w:rPr>
              <w:t>1,442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84"/>
              </w:rPr>
              <w:t>2,136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93"/>
        </w:trPr>
        <w:tc>
          <w:tcPr>
            <w:tcW w:w="5320" w:type="dxa"/>
            <w:vAlign w:val="bottom"/>
          </w:tcPr>
          <w:p>
            <w:pPr>
              <w:ind w:left="20"/>
              <w:spacing w:after="0"/>
              <w:rPr>
                <w:sz w:val="20"/>
                <w:szCs w:val="20"/>
                <w:color w:val="auto"/>
              </w:rPr>
            </w:pPr>
            <w:r>
              <w:rPr>
                <w:rFonts w:ascii="Arial" w:cs="Arial" w:eastAsia="Arial" w:hAnsi="Arial"/>
                <w:sz w:val="18"/>
                <w:szCs w:val="18"/>
                <w:color w:val="auto"/>
              </w:rPr>
              <w:t xml:space="preserve">Pretax Segment Income </w:t>
            </w:r>
            <w:r>
              <w:rPr>
                <w:rFonts w:ascii="Arial" w:cs="Arial" w:eastAsia="Arial" w:hAnsi="Arial"/>
                <w:sz w:val="22"/>
                <w:szCs w:val="22"/>
                <w:color w:val="auto"/>
                <w:vertAlign w:val="superscript"/>
              </w:rPr>
              <w:t>2</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77"/>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7"/>
              <w:spacing w:after="0"/>
              <w:rPr>
                <w:sz w:val="20"/>
                <w:szCs w:val="20"/>
                <w:color w:val="auto"/>
              </w:rPr>
            </w:pPr>
            <w:r>
              <w:rPr>
                <w:rFonts w:ascii="Arial" w:cs="Arial" w:eastAsia="Arial" w:hAnsi="Arial"/>
                <w:sz w:val="18"/>
                <w:szCs w:val="18"/>
                <w:color w:val="auto"/>
              </w:rPr>
              <w:t>93</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5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Restated, in part, for organizational changes and discontinued operations.</w:t>
      </w:r>
    </w:p>
    <w:p>
      <w:pPr>
        <w:spacing w:after="0" w:line="15"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Pretax segment income represents income before taxes and minority interest, excluding interest income, interest expense, gain on sale of securities and amortization of intangibles and charges, net (see pages 23-24 of this Report).</w:t>
      </w:r>
    </w:p>
    <w:p>
      <w:pPr>
        <w:spacing w:after="0" w:line="1" w:lineRule="exact"/>
        <w:rPr>
          <w:sz w:val="20"/>
          <w:szCs w:val="20"/>
          <w:color w:val="auto"/>
        </w:rPr>
      </w:pPr>
    </w:p>
    <w:p>
      <w:pPr>
        <w:ind w:right="1260"/>
        <w:spacing w:after="0" w:line="250" w:lineRule="auto"/>
        <w:rPr>
          <w:sz w:val="20"/>
          <w:szCs w:val="20"/>
          <w:color w:val="auto"/>
        </w:rPr>
      </w:pPr>
      <w:r>
        <w:rPr>
          <w:rFonts w:ascii="Arial" w:cs="Arial" w:eastAsia="Arial" w:hAnsi="Arial"/>
          <w:sz w:val="18"/>
          <w:szCs w:val="18"/>
          <w:color w:val="auto"/>
        </w:rPr>
        <w:t>Sema plc was acquired April 1, 2001. Compared to 2001 and on a pro forma basis (assuming the acquisition occurred on January 1, 2001) SchlumbergerSema revenue for 2002 was up 7%.</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Principally comprises the Cards, Terminals, Meters North America and NPTest activities and in 2001, the divested Resource Management Services businesses.</w:t>
      </w:r>
    </w:p>
    <w:p>
      <w:pPr>
        <w:spacing w:after="0" w:line="118" w:lineRule="exact"/>
        <w:rPr>
          <w:sz w:val="20"/>
          <w:szCs w:val="20"/>
          <w:color w:val="auto"/>
        </w:rPr>
      </w:pPr>
    </w:p>
    <w:p>
      <w:pPr>
        <w:sectPr>
          <w:pgSz w:w="11900" w:h="16838" w:orient="portrait"/>
          <w:cols w:equalWidth="0" w:num="2">
            <w:col w:w="60" w:space="400"/>
            <w:col w:w="109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Oilfield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 for 2002 was $9.3 billion versus $9.9 billion in 2001 reflecting a 5% decrease due to reduced activity in North America and Latin America, which were 24% and 7% lower respectively. This was partially mitigated by higher activity in Europe/CIS/West Africa, up 14% and the Middle East &amp; Asia, where revenue increased 10%. The M-I rig count fell 17%. Pretax operating income decreased 26% primarily from reduced margins in wireline, well services and seismic technologies as activity declined in North America.</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 sharp fall in revenue at the beginning of 2002 reflected declining activity levels in North America, which remained depressed for the remainder of the year, together with political and economic uncertainty in Latin America. In the second and third quarters, robust activity in Europe/CIS/West Africa, and signs of a possible recovery in Asia, mitigated the effects of low North American drilling levels resulting in increased revenues. However, this trend was short-lived as slower activity outside North America due mainly to seasonal influences coupled with budget cuts resulted in lower fourth quarter revenues. In 2002, the Caspian, Russia and Mexico GeoMarkets posted the highest double-digit revenue growth of 89%, 62% and 48% respectively versus 2001.</w:t>
      </w:r>
    </w:p>
    <w:p>
      <w:pPr>
        <w:spacing w:after="0" w:line="1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a technology standpoint, the strongest performer was Well Completions &amp; Productivity where acquisitions, testing, advanced completions systems and artificial lift technology market share gains resulted in 8% revenue growth. During the year Schlumberger acquired A. Comeau &amp; Associates a leading provider of electrical engineering products and services for artificially lifted wells. This latest addition, combined with the successful integration of Sensa and Phoenix technologies into the Schlumberger Artificial Lift services portfolio, contributed to higher sales in 2002 particularly in the Eastern Hemisphere. The Drilling &amp; Measurements technology segment also recorded solid revenue growth of 7% fuelled largely by the continued penetration of the PowerDrive475* rotary steerable system into new GeoMarkets.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A. Comeau &amp; Associates Limited, Schlumberger made two further acquisitions during the year to bolster its real-time reservoir management suite of services. In January, Schlumberger acquired Norwegian-based Inside Reality AS providing new 3D virtual reality systems that create a unique and powerful environment for interactive well planning and real-time geosteering analysis. Schlumberger also acquired the software and services business of Technoguide AS a leader in the reservoir modeling domain.</w:t>
      </w:r>
    </w:p>
    <w:p>
      <w:pPr>
        <w:spacing w:after="0" w:line="13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seismic downturn continued throughout 2002 resulting in significantly lower activity levels, a reduction in multiclient license sales and extreme pricing pressures for WesternGeco. As a result, Schlumberger announced operating losses in the third quarter related to contracts in India and Mexico, and in the fourth quarter, workforce reductions of 1,700 people coupled with the closure of its land-based seismic operations in the US lower 48 states and Canada. WesternGeco revenue of $1.5 billion decreased 13% and pretax operating income of $71 million fell 68%.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North America revenue of $2.8 billion decreased 24% versus 2001 while the M-I rig count dropped 27%.</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 steep revenue decline at the outset of the year reflected a continued lackluster drilling environment and unseasonably mild weather conditions. Throughout the remainder of the year activity levels remained depressed resulting in essentially flat revenue for 2002. Other factors contributing to reduced revenues included lower non-rig related activity resulting in lower wireline, well services and well completions &amp; productivity revenues, the effects of the tropical storms in the third quarter, a slow pick-up in Canadian activity post spring break-up and the previously stated closure of US land-based and Canadian seismic operations.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Pretax operating income of $409 million decreased 52% due to pricing pressures across all services, particularly in well services, well completions &amp; productivity and seismic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WesternGeco revenue of $548 million and pretax operating income of $131 million fell 36% and 40%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Latin America revenue of $1.5 billion decreased 7% versus 2001 while the M-I rig count decreased 20%.</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Ongoing political and economic uncertainty in the region continued to affect business conditions, particularly in Venezuela and Argentina. This particularly impacted results in the first half of the year. In sharp contrast, the second half of 2002 saw solid growth partly as a result of higher demand for drilling &amp; measurements and well completions technologies connected to contracts in the Burgos Basin. In addition, the completion of an IPM project that involved the sale of production facilities in Ecuador for $26.5 million in the fourth quarter contributed to end-of-year higher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of $175 million declined 13% as a result of decreased activity in Venezuela and Argentina.</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WesternGeco revenue of $169 million increased 25%; however, pretax operating income of $4.9 million dropped 71% due to the recognition of land seismic contract losses in Mexico in the third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Europe/CIS/West Africa revenue of $2.7 billion increased 14% versus 2001 as the M-I rig count decreased 5%.</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Strong revenue growth was recorded in the first three quarters reflecting increased activity levels and market share gains particularly in the Caspian and Russia GeoMarkets in respect to artificial lift and drilling technologies. The Well Completions &amp; Productivity technology segment recorded the strongest growth of 27% followed by Drilling &amp; Measurements, which grew 24%.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This growth was partially mitigated by a steep revenue drop in the fourth quarter due to exceptionally severe winter weather conditions in the North Sea and Russia that affected all services, particularly seismic and fracturing activities. In addition, operator budget cuts in the Nigeria GeoMarket and refocused investment decisions in the UK contributed to lower fourth quarter revenues.</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Pretax operating income of $322 million decreased 6% due to softening in pricing towards the end of the year and restructuring in the region to reduce support infrastructure to match slowing activity levels.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WesternGeco revenue of $267 million decreased 5% and the pretax operating loss of $52 million was 67% higher than 2001.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Middle East &amp; Asia revenue of $2.4 billion increased 10% outpacing the M-I rig count, which grew 6% for the same period.</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After a decline at the beginning of the year resulting from exceptional artificial lift sales at the end of 2001, the Asian market showed signs of recovery highlighted by strong revenue growth in the second quarter. Over the year, the India and Malaysia/Brunei/Philippines GeoMarkets recorded the strongest growth due to increased activity in these countries. In addition, the Wireline and Well Services technology segments posted the highest growth, up 14% and 10% respectively.</w:t>
      </w:r>
    </w:p>
    <w:p>
      <w:pPr>
        <w:spacing w:after="0" w:line="13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This was partly offset, however, by a slowdown in activity in the second half of 2002 due to a number of major projects nearing completion, lower equipment sales and a significant reduction in seismic activity throughout the Area.</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Pretax operating income of $457 million was flat despite the revenue growth due to marine seismic contract losses incurred in India in the third quarter coupled with softening pricing in well completions and productivity services.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WesternGeco revenue of $490 million increased 15%; however, pretax operating income of $3.2 million declined 93% due to the recognition of marine seismic contract losses in India.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Results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Record Oilfield Services operating revenue of $9.9 billion increased 36% over 2000 in sharp contrast with the worldwide M-I rig count, which grew only 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Increased non-rig related activity, partly attributable to the WesternGeco Joint Venture, and higher pricing levels contributed to the growth.</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Operating revenue started to grow in the first quarter, due to continued high activity in North America and increased demand internationally. The latter continued throughout 2001 and was reflected in the Europe/CIS/West Africa and Middle East &amp; Asia Area results. However, softening North American drilling activity in the third quarter, as a result of slower economic growth and declining natural gas drilling activity, offset international growth.</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WesternGeco Joint Venture in its first full financial reporting year was the largest contributor to double-digit growth in all Areas with the Malaysia/Brunei/Philippines, Alaska, Gulf Coast and West &amp; South Africa GeoMarkets recording the strongest results versus 2000. Market share gains, improved pricing levels and the introduction of new technology contributed to strong growth in the Drilling &amp; Measurements technology business. In addition, improved Reda submersible pump sales and the continued expansion of the PowerSTIM* well production optimization solution contributed to significant growth in the Well Completions &amp; Productivity technology segment.</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2001 was a significant year as Oilfield Services acquired several key technologies as part of its continuing focus to build a complete suite of real-time reservoir optimization services. In April 2001, Schlumberger acquired Baker Jardine, a leading provider of software tools, IT consulting and integrated solutions that help operators increase oil and gas production. Secondly, a unique Distributing Temperature Sensing technique was added to the Schlumberger real-time offering through the acquisition of Sensa.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recognized leader in fiber optic sensing technologies, Sensa provides operators with a continuous measurement for the monitoring of producing wells. Thirdly, Schlumberger acquired Phoenix, a leading provider of technologies and techniques for optimizing production from artificially lifted wells, in October 2001.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North American operating revenue increased 49% versus 2000 outpacing the M-I rig count, which grew 17%. The strong operating revenue growth that continued in the first quarter of 2001 plateaued in the middle of the year. This was due to slower economic conditions and declining natural gas prices, which resulted in reduced activity towards the end of the year. The Alaska and Gulf Coast GeoMarkets recorded the strongest revenue growth due to increased demand for drilling and measurements and well services, wireline technologies and higher seismic activity.</w:t>
      </w:r>
    </w:p>
    <w:p>
      <w:pPr>
        <w:spacing w:after="0" w:line="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Pretax operating income increased 124% particularly due to strong demand for well services technologies and the significant impact of the WesternGeco Joint Venture.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Operating revenue increased 32% exceeding the M-I rig count growth of 13%. Increased activity across all services contributed to double-digit growth in the GeoMarkets. Growth was led by the Peru/Colombia/Ecuador and Latin America South GeoMarkets as a result of increased drilling and measurements and well services. Further, higher well completions services during the year, and an increase in land seismic activity in Bolivia during the fourth quarter contributed to growth in these GeoMarkets.</w:t>
      </w:r>
    </w:p>
    <w:p>
      <w:pPr>
        <w:spacing w:after="0" w:line="130" w:lineRule="exact"/>
        <w:rPr>
          <w:sz w:val="20"/>
          <w:szCs w:val="20"/>
          <w:color w:val="auto"/>
        </w:rPr>
      </w:pPr>
    </w:p>
    <w:p>
      <w:pPr>
        <w:ind w:right="1340"/>
        <w:spacing w:after="0" w:line="375" w:lineRule="auto"/>
        <w:rPr>
          <w:sz w:val="20"/>
          <w:szCs w:val="20"/>
          <w:color w:val="auto"/>
        </w:rPr>
      </w:pPr>
      <w:r>
        <w:rPr>
          <w:rFonts w:ascii="Arial" w:cs="Arial" w:eastAsia="Arial" w:hAnsi="Arial"/>
          <w:sz w:val="18"/>
          <w:szCs w:val="18"/>
          <w:color w:val="auto"/>
        </w:rPr>
        <w:t xml:space="preserve">Pretax operating income increased 133% principally as a result of increases in IPM, Wireline and the impact of the WesternGeco Joint Venture. </w:t>
      </w:r>
      <w:r>
        <w:rPr>
          <w:rFonts w:ascii="Arial" w:cs="Arial" w:eastAsia="Arial" w:hAnsi="Arial"/>
          <w:sz w:val="18"/>
          <w:szCs w:val="18"/>
          <w:b w:val="1"/>
          <w:bCs w:val="1"/>
          <w:color w:val="auto"/>
        </w:rPr>
        <w:t>Europe/CIS/West Africa</w:t>
      </w:r>
    </w:p>
    <w:p>
      <w:pPr>
        <w:spacing w:after="0" w:line="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Operating revenue increased 41% in the Europe/CIS/West Africa Area, more than double the M-I rig count growth, which rose 15%. Overall moderate growth was recorded for the year led by high demand for well completions services in Nigeria and strong growth in drilling and measurements and wireline services in the Russia GeoMarket. In particular, strong growth was seen in the West and South Africa GeoMarket partly due to an Early Production Facility Project for IPM during the year.</w:t>
      </w:r>
    </w:p>
    <w:p>
      <w:pPr>
        <w:spacing w:after="0" w:line="130" w:lineRule="exact"/>
        <w:rPr>
          <w:sz w:val="20"/>
          <w:szCs w:val="20"/>
          <w:color w:val="auto"/>
        </w:rPr>
      </w:pPr>
    </w:p>
    <w:p>
      <w:pPr>
        <w:ind w:right="300"/>
        <w:spacing w:after="0" w:line="375" w:lineRule="auto"/>
        <w:rPr>
          <w:sz w:val="20"/>
          <w:szCs w:val="20"/>
          <w:color w:val="auto"/>
        </w:rPr>
      </w:pPr>
      <w:r>
        <w:rPr>
          <w:rFonts w:ascii="Arial" w:cs="Arial" w:eastAsia="Arial" w:hAnsi="Arial"/>
          <w:sz w:val="18"/>
          <w:szCs w:val="18"/>
          <w:color w:val="auto"/>
        </w:rPr>
        <w:t xml:space="preserve">Pretax operating income increased 59% due mainly to the Well Completions &amp; Productivity segment, which recorded strong growth across most GeoMarkets. </w:t>
      </w:r>
      <w:r>
        <w:rPr>
          <w:rFonts w:ascii="Arial" w:cs="Arial" w:eastAsia="Arial" w:hAnsi="Arial"/>
          <w:sz w:val="18"/>
          <w:szCs w:val="18"/>
          <w:b w:val="1"/>
          <w:bCs w:val="1"/>
          <w:color w:val="auto"/>
        </w:rPr>
        <w:t>Middle East &amp; Asia</w:t>
      </w:r>
    </w:p>
    <w:p>
      <w:pPr>
        <w:spacing w:after="0" w:line="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 26% increase in operating revenue surpassed the M-I rig count four-fold in 2001. Almost all GeoMarkets in the region recorded strong double-digit growth led by seismic, drilling and measurements and well services activities in the Malaysia, Brunei and Philippines GeoMarket, and as a result of new contract wins in the Gulf GeoMarket. Moderate sequential growth was recorded throughout the year reflecting the pick up in international activity.</w:t>
      </w:r>
    </w:p>
    <w:p>
      <w:pPr>
        <w:spacing w:after="0" w:line="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Pretax operating income increased 50% comprised mostly of an increase in Drilling &amp; Measurements and in the Well Completions &amp; Productivity technology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Results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Moderate growth was recorded during the first half of the year with sharp sequential growth in the second half of the year led by increased activity in North America and higher demand for drilling &amp; measurements technologies, up 29%, and well services up 25%. The seismic down cycle, which started at the beginning of 1999, continued through the first half of the year. The second half of 2000 saw significant improvement leading to higher Schlumberger activity due to the introduction of new generation seismic Q* Marine technology and increased multiclient data sales.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Oilfield Services operating revenue increased 20% compared with 1999 as the worldwide M-I rig count grew 30%.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North America operating revenue increased 46% versus 1999, in line with the M-I rig count, which grew 47%. Increased activity, which started in the third quarter of 1999, continued into the beginning of 2000 with a significant increase in drilling activity due to the continued shift to natural gas exploration and development. Well Services posted the strongest revenue growth, up 56% followed by Drilling &amp; Measurements, up 46% and Wireline, which increased 40%. Pretax operating income increased 233%.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Latin America operating revenue increased 23% for the year, consistent with a 23% increase in the M-I rig count. There was strong growth in the second half of 2000 across most technology segments. Pretax operating segment income increased 390% due to improved profitability led by Drilling &amp; Measurements and Well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revenue increased 7% in Europe/CIS/West Africa during 2000, consistent with a 10% increase in the M-I rig count. Results in the first quarter were lower year over year due to continued flat activity and a sharp decline in seismic activity in this region for the same period. The increase in activity in the second half of the year was moderate compared with the other Areas. Pretax operating income increased 86% as a result of increased pricing for wireline and drilling &amp; measurements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Operating revenue in Middle East &amp; Asia increased 5%, in line with a 5% increase in the M-I rig count. Lower first quarter results resulted from the continued industry down cycle, and the growth was moderate for the remainder of the year due to a slow increase in activity. Stronger sequential growth in the second half of the year resulted from increased activity in the Middle East and improved demand particularly for drilling &amp; measurements and testing technologies. Pretax operating income increased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SchlumbergerSema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SchlumbergerSema operating revenue increased 32% compared with 2001 mainly due to the acquisition of Sema plc whose results were consolidated with effect from April 1, 2001. On a proforma basis, assuming the acquisition occurred on January 1, 2001, operating revenue in 2002 was up 7% compared to 2001. The pretax segment income of $34 million compared to a loss of $33 million in 2001, reflecting the cost reductions initiatives implemented since the integration of Sema plc into Schlumberger. The 2002 pretax segment income excludes the charges discussed on pages 23-24 of this Report.</w:t>
      </w:r>
    </w:p>
    <w:p>
      <w:pPr>
        <w:spacing w:after="0" w:line="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December an updated strategy for SchlumbergerSema was announced. The SchlumbergerSema focus is now on IT consulting and systems integration together with network and infrastructure solutions, primarily in global energy while continuing to develop specific regional market sectors in areas where it has a successful competitive position based on scale and domain knowledge. This strategy is designed to create industry leadership in the energy market by combining the systems integration skills of Sema with the global reach and energy sector knowledge of Schlumberger.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SchlumbergerSema won the top prize at the prestigious Management Consultancies Association (MCA) Best Management Practice Awards in London for its work on the 2002 Salt Lake City Olympic Winter Games. At the 2002 Winter Olympic Games, SchlumbergerSema led a consortium of 15 technology partners in a three-year long project to deliver the IT infrastructure needed to run the Games. Dr Jacques Rogge, president of the International Olympic Committee commented “The Information Technology operations of any Olympic Games play a vital role in the overall success of the Games”. Schlumberger is also the official Worldwide Information Technology Partner for the Olympic Games in 2004, 2006 and 2008.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&amp; South America</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revenue increased 4% over 2001 primarily due to increased activity from the Network Infrastructure Solutions (NIS) business as a result of several large IT outsourcing projects. These include the Conoco and Dallas County IT projects and the DeXa.Net global connectivity solution to provide communications for Houston-based Atwood Oceanics offshore and land facilities around the world. Partially offsetting the increase in activity from NIS, revenue declined in the telecom and utility industries due primarily to the weak IT services spending environment as customers faced economic challenges and continued to revise budgets downwards and delay decisions on contract awards. However, major contracts have been awarded in the energy segment such as the Online Energy Management System for AES Infoenergy in Brazil and the systems integration and data management services contracts with Nebraska Public Power District (NPPD) of Columbus, Nebraska.</w:t>
      </w:r>
    </w:p>
    <w:p>
      <w:pPr>
        <w:spacing w:after="0" w:line="13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Despite the marginal increase in revenue, pretax operating loss of $43 million represented an improvement of 18% over 2001, mainly attributable to the cost reduction programs implemented throughout the area.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Europe/Middle East/Africa</w:t>
      </w:r>
    </w:p>
    <w:p>
      <w:pPr>
        <w:spacing w:after="0" w:line="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Operating revenue increased 35% mainly due to the inclusion of a full year’s revenue from the acquisition of Sema plc compared to nine months in 2001. On a comparable basis the revenue increased by 4% despite a declining IT services market in Europe for the first time since 1993. The main contributor to the growth was the public sector mainly in the UK where SchlumbergerSema won large outsourcing contracts with the Association of Train Operating Companies, the Department of Work and Pension and the Vehicle Inspectorate. Also contributing to the improvements were an energy-related project for Brussels-based Electrabel S.A., a leading energy producer, distributor and supplier in Belgium, with power plants in eight European countries serving about 4.5 million customers daily and a health and welfare services project to Consignia’s 220,000 employees in the UK.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increased 33% due mainly to the cost cutting program implemented throughout the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revenue increased 38%. On a comparable basis, operating revenue would have been flat. The decreased activity in telecommunications, mainly in China and Taiwan, was offset by the increase in the finance segment on new outsourcing contracts in the insurance sector in Japan for Mass Mutual and delivery of payment systems in China.</w:t>
      </w:r>
    </w:p>
    <w:p>
      <w:pPr>
        <w:spacing w:after="0" w:line="127" w:lineRule="exact"/>
        <w:rPr>
          <w:sz w:val="20"/>
          <w:szCs w:val="20"/>
          <w:color w:val="auto"/>
        </w:rPr>
      </w:pPr>
    </w:p>
    <w:p>
      <w:pPr>
        <w:ind w:right="840"/>
        <w:spacing w:after="0" w:line="375" w:lineRule="auto"/>
        <w:rPr>
          <w:sz w:val="20"/>
          <w:szCs w:val="20"/>
          <w:color w:val="auto"/>
        </w:rPr>
      </w:pPr>
      <w:r>
        <w:rPr>
          <w:rFonts w:ascii="Arial" w:cs="Arial" w:eastAsia="Arial" w:hAnsi="Arial"/>
          <w:sz w:val="18"/>
          <w:szCs w:val="18"/>
          <w:color w:val="auto"/>
        </w:rPr>
        <w:t xml:space="preserve">Pretax operating income decreased 61% mainly attributable to pricing pressure and economic declines in the telecommunications IT services industry. </w:t>
      </w:r>
      <w:r>
        <w:rPr>
          <w:rFonts w:ascii="Arial" w:cs="Arial" w:eastAsia="Arial" w:hAnsi="Arial"/>
          <w:sz w:val="18"/>
          <w:szCs w:val="18"/>
          <w:b w:val="1"/>
          <w:bCs w:val="1"/>
          <w:color w:val="auto"/>
        </w:rPr>
        <w:t>Telecom Products</w:t>
      </w:r>
    </w:p>
    <w:p>
      <w:pPr>
        <w:spacing w:after="0" w:line="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Operating revenue increased 22% over 2001 principally due to the inclusion of Sema plc. On a comparable basis the activity was flat despite the sharp decline in the telecommunications industry. During the year the focus was on streamlining the product portfolio and reducing the number of R&amp;D centers and reducing the workforce to the level of activity.</w:t>
      </w:r>
    </w:p>
    <w:p>
      <w:pPr>
        <w:spacing w:after="0" w:line="12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pretax operating loss of $24 million was an improvement over the loss of $34 million in 2001 mainly due to the significant workforce reduction aimed at aligning R&amp;D with the product development cycles.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Results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April 6, 2001, Schlumberger completed the acquisition of Sema plc for $5.15 billion. Sema plc is a leading IT and technical services company with a strong European presence. The acquisition was financed through existing cash resources of Schlumberger and from borrowings under a $3 billion floating rate credit facility. As a result of the acquisition, the SchlumbergerSema business segment was created combining Sema plc and certain businesses of Schlumberger Test &amp; Transactions and Resource Management Services, including CellNet and Convergent.</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Operating revenue increased $2.0 billion over 2000 due to the acquisition of Sema plc. Excluding the acquisition of Sema plc the operating revenue increase would have been $383 million on a pro forma basis.</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NIS experienced a 91% operating revenue growth for 2001 versus 2000 mostly due to E&amp;P contracts demonstrating that this industry is recognizing the importance of IT connectivity and security.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&amp; South America</w:t>
      </w:r>
    </w:p>
    <w:p>
      <w:pPr>
        <w:spacing w:after="0" w:line="83"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Operating revenue increased 233% versus 2000 essentially due to the inclusion of the full year’s activity for the Convergent Group, acquired in November 2000 and CellNet Data Systems, acquired in June 2000. Additionally the increased utilities activity was a result of strong demand for Real Time Energy Management Systems (RTEMS) services and further deployment of related networks, the extension of key existing utility business contracts in North America for utility data management services and the award of a significant contract for consulting and personal energy management advanced data services. Contributing to the growth was the award of NIS projects by University of Texas Medical Board, Shell and Ecopetrol.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loss was 22% lower than the previous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Europe/Middle East/Africa</w:t>
      </w:r>
    </w:p>
    <w:p>
      <w:pPr>
        <w:spacing w:after="0" w:line="8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Operating revenue increased significantly due to the inclusion of Sema plc. Excluding Sema plc the year on year pro forma operating revenue increase would have been $83 million due principally to the full inclusion of Data Marine Systems Limited acquired in October 2000 and to the award of multi-million dollar contracts in France for Banque de France and in the UK for Metropolitan Police.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increased significantly due to the inclusion of Sema plc.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Operating revenue increased almost eight-fold largely due to the integration of Sema plc. Excluding Sema plc the year on year growth would have been $24 million entirely due to stronger NIS activity and to sustained demand for business continuity and outsourcing services throughout the area exemplified by the desktop outsourcing project for Caltex in Sumatra, Indonesia.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increased significantly due to the inclusion of Sema plc.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Telecom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prior to 2001.</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activity was mainly led by strong bookings in mobile messaging systems, with the first SemaPortal* short message server implementation and customer care and billing products system integration for mobile operators, such as the project awarded by Telecom Italia Mobile (TIM) which covers their operations in Europe and Brazil.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Results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the year, SchlumbergerSema took strategic steps in the global energy segment to build its solutions offerings through the acquisition in June 2000 of CellNet Data Systems, the leading provider of telemetry technology for the development and deployment of large-scale automatic meter reading (AMR) systems and the Convergent Group, a leading builder of digital enterprises focusing on the utility sector, in November 2000.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Operating revenue increased 250% year-on-year reflecting the above two acquisitions and the acquisition of the remaining 50% stake in Omnes, a joint venture previously equally owned by Schlumberger and Cable &amp; Wireless.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&amp; South America</w:t>
      </w:r>
    </w:p>
    <w:p>
      <w:pPr>
        <w:spacing w:after="0" w:line="83"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Operating revenue increased more than four-fold over 1999 due to market expansion, including the acquisition of CellNet Data Systems and the Convergent Group, the receipt of several major orders in Real Time Energy Management Systems (RTEMS) and the University of Texas Medical Board NIS’ contract.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pretax operating loss reflected the newly acquired CellNet and Convergent activities.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Europe/Middle East/Africa</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revenue increased 158% and pretax operating income increased 37% due to the 50% consolidation of Omnes and the full consolidation of Data Marine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 increased 108% and pretax operating income increased 8-fold entirely due to the consolidation of 100% of Omnes into Schlumberger.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Telecom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Telecom Products during the year 2000.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Included in this segment are NPTest, consisting of the core product lines of Schlumberger Semiconductor Solutions, smart cards, point-of-sale terminals, eCity terminals, payphones, payments systems, electricity meters and the divested businesses of the former Resource Management Services segment.</w:t>
      </w:r>
    </w:p>
    <w:p>
      <w:pPr>
        <w:spacing w:after="0" w:line="7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On May 21, 2002 NPTest filed a registration statement with the Securities and Exchange Commission for a proposed initial public offering of its shares of common stock which is not yet effective.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Operating revenue decreased 32% reflecting the divestiture of the Resource Management Services North American water metering activities and the non-North American electricity and water meter and worldwide gas meter businesses in November 2001.</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NPTest activity increased due to a partial recovery in test equipment sales in North America and Asia partially offset by decreases in diagnostic equipment sales and equipment support services.</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Volume Product activity remained flat despite the continuing slump in the telecommunications industry and the continued pricing pressure. This was partially offset by higher activity in banking and IT cards coupled with a favorable euro-dollar exchange rate.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income decreased 78% mainly due to the divestiture of Resource Management Services and eroded profitability in the smart cards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Results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revenue decreased 13% reflecting mainly the divestiture of the Resource Management Services businesses, which were sold in November 2001 and the decline in semiconductor activity, which followed the down cycle in the worldwide semiconductor industry.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Volume Products operating revenue grew by 13% despite a slowdown in the telecommunications industry. Smart cards operating revenue increased 9% compared with 2000.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NPTest revenue decreased approximately 47% from the prior year due to the sharp decline in the industry, with all product lines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decreased 40% due mainly to pricing pressure in both the semiconductor and the smart cards industries.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Results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revenue was flat. Increased activity in the smart cards business, driven by outstanding growth of the mobile communications market and in NPTest (up 5%) was offset by the decline in Resource Management Services (down 16%) where pressure on utility prices resulted in a continued downturn for the utility industry.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grew 49% year-on-year mainly attributable to the improved profitability in smart cards.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 Continuing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12"/>
          </w:tcPr>
          <w:p>
            <w:pPr>
              <w:jc w:val="right"/>
              <w:ind w:right="320"/>
              <w:spacing w:after="0"/>
              <w:rPr>
                <w:sz w:val="20"/>
                <w:szCs w:val="20"/>
                <w:color w:val="auto"/>
              </w:rPr>
            </w:pPr>
            <w:r>
              <w:rPr>
                <w:rFonts w:ascii="Arial" w:cs="Arial" w:eastAsia="Arial" w:hAnsi="Arial"/>
                <w:sz w:val="14"/>
                <w:szCs w:val="14"/>
                <w:i w:val="1"/>
                <w:iCs w:val="1"/>
                <w:color w:val="auto"/>
                <w:w w:val="91"/>
              </w:rPr>
              <w:t>(Stated in millions except per share amounts)</w:t>
            </w:r>
          </w:p>
        </w:tc>
        <w:tc>
          <w:tcPr>
            <w:tcW w:w="0" w:type="dxa"/>
            <w:vAlign w:val="bottom"/>
          </w:tcPr>
          <w:p>
            <w:pPr>
              <w:spacing w:after="0"/>
              <w:rPr>
                <w:sz w:val="1"/>
                <w:szCs w:val="1"/>
                <w:color w:val="auto"/>
              </w:rPr>
            </w:pPr>
          </w:p>
        </w:tc>
      </w:tr>
      <w:tr>
        <w:trPr>
          <w:trHeight w:val="297"/>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4"/>
            <w:vMerge w:val="restart"/>
          </w:tcPr>
          <w:p>
            <w:pPr>
              <w:jc w:val="center"/>
              <w:ind w:right="60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6"/>
          </w:tcPr>
          <w:p>
            <w:pPr>
              <w:jc w:val="right"/>
              <w:spacing w:after="0"/>
              <w:rPr>
                <w:sz w:val="20"/>
                <w:szCs w:val="20"/>
                <w:color w:val="auto"/>
              </w:rPr>
            </w:pPr>
            <w:r>
              <w:rPr>
                <w:rFonts w:ascii="Arial" w:cs="Arial" w:eastAsia="Arial" w:hAnsi="Arial"/>
                <w:sz w:val="14"/>
                <w:szCs w:val="14"/>
                <w:b w:val="1"/>
                <w:bCs w:val="1"/>
                <w:color w:val="auto"/>
                <w:w w:val="86"/>
              </w:rPr>
              <w:t>Earnings (loss) per share</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4"/>
          </w:tcPr>
          <w:p>
            <w:pPr>
              <w:jc w:val="center"/>
              <w:ind w:right="580"/>
              <w:spacing w:after="0" w:line="116" w:lineRule="exact"/>
              <w:rPr>
                <w:sz w:val="20"/>
                <w:szCs w:val="20"/>
                <w:color w:val="auto"/>
              </w:rPr>
            </w:pPr>
            <w:r>
              <w:rPr>
                <w:rFonts w:ascii="Arial" w:cs="Arial" w:eastAsia="Arial" w:hAnsi="Arial"/>
                <w:sz w:val="12"/>
                <w:szCs w:val="12"/>
                <w:b w:val="1"/>
                <w:bCs w:val="1"/>
                <w:color w:val="auto"/>
              </w:rPr>
              <w:t>from Continuing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85"/>
              </w:rPr>
              <w:t>Adjusted</w:t>
            </w:r>
            <w:r>
              <w:rPr>
                <w:rFonts w:ascii="Arial" w:cs="Arial" w:eastAsia="Arial" w:hAnsi="Arial"/>
                <w:sz w:val="22"/>
                <w:szCs w:val="22"/>
                <w:b w:val="1"/>
                <w:bCs w:val="1"/>
                <w:color w:val="auto"/>
                <w:w w:val="85"/>
                <w:vertAlign w:val="superscript"/>
              </w:rPr>
              <w:t>5</w:t>
            </w:r>
          </w:p>
        </w:tc>
        <w:tc>
          <w:tcPr>
            <w:tcW w:w="0" w:type="dxa"/>
            <w:vAlign w:val="bottom"/>
          </w:tcPr>
          <w:p>
            <w:pPr>
              <w:spacing w:after="0"/>
              <w:rPr>
                <w:sz w:val="1"/>
                <w:szCs w:val="1"/>
                <w:color w:val="auto"/>
              </w:rPr>
            </w:pPr>
          </w:p>
        </w:tc>
      </w:tr>
      <w:tr>
        <w:trPr>
          <w:trHeight w:val="266"/>
        </w:trPr>
        <w:tc>
          <w:tcPr>
            <w:tcW w:w="6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6"/>
              </w:rPr>
              <w:t>Operations</w:t>
            </w:r>
          </w:p>
        </w:tc>
        <w:tc>
          <w:tcPr>
            <w:tcW w:w="100" w:type="dxa"/>
            <w:vAlign w:val="bottom"/>
          </w:tcPr>
          <w:p>
            <w:pPr>
              <w:spacing w:after="0"/>
              <w:rPr>
                <w:sz w:val="23"/>
                <w:szCs w:val="23"/>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5"/>
              </w:rPr>
              <w:t>Basic</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8"/>
              </w:rPr>
              <w:t>Diluted</w:t>
            </w:r>
          </w:p>
        </w:tc>
        <w:tc>
          <w:tcPr>
            <w:tcW w:w="100" w:type="dxa"/>
            <w:vAlign w:val="bottom"/>
          </w:tcPr>
          <w:p>
            <w:pPr>
              <w:spacing w:after="0"/>
              <w:rPr>
                <w:sz w:val="23"/>
                <w:szCs w:val="23"/>
                <w:color w:val="auto"/>
              </w:rPr>
            </w:pPr>
          </w:p>
        </w:tc>
        <w:tc>
          <w:tcPr>
            <w:tcW w:w="8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b w:val="1"/>
                <w:bCs w:val="1"/>
                <w:color w:val="auto"/>
              </w:rPr>
              <w:t>2002</w:t>
            </w:r>
            <w:r>
              <w:rPr>
                <w:rFonts w:ascii="Arial" w:cs="Arial" w:eastAsia="Arial" w:hAnsi="Arial"/>
                <w:sz w:val="22"/>
                <w:szCs w:val="22"/>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0" w:type="dxa"/>
            <w:vAlign w:val="bottom"/>
          </w:tcPr>
          <w:p>
            <w:pPr>
              <w:spacing w:after="0"/>
              <w:rPr>
                <w:sz w:val="1"/>
                <w:szCs w:val="1"/>
                <w:color w:val="auto"/>
              </w:rPr>
            </w:pPr>
          </w:p>
        </w:tc>
      </w:tr>
      <w:tr>
        <w:trPr>
          <w:trHeight w:val="132"/>
        </w:trPr>
        <w:tc>
          <w:tcPr>
            <w:tcW w:w="6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2001</w:t>
            </w:r>
            <w:r>
              <w:rPr>
                <w:rFonts w:ascii="Arial" w:cs="Arial" w:eastAsia="Arial" w:hAnsi="Arial"/>
                <w:sz w:val="22"/>
                <w:szCs w:val="22"/>
                <w:color w:val="auto"/>
                <w:vertAlign w:val="superscript"/>
              </w:rPr>
              <w:t>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2000</w:t>
            </w:r>
            <w:r>
              <w:rPr>
                <w:rFonts w:ascii="Arial" w:cs="Arial" w:eastAsia="Arial" w:hAnsi="Arial"/>
                <w:sz w:val="22"/>
                <w:szCs w:val="22"/>
                <w:color w:val="auto"/>
                <w:vertAlign w:val="superscript"/>
              </w:rPr>
              <w:t>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-629285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-629285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-629285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-629285</wp:posOffset>
            </wp:positionV>
            <wp:extent cx="19081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817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-329565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-329565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-329565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-329565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-329565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-329565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-329565</wp:posOffset>
            </wp:positionV>
            <wp:extent cx="123888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888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9081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0817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 xml:space="preserve">Includes a net, after-tax and minority interest charge of $3,110 million ($5.38 per share – diluted). For details, see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xml:space="preserve"> on page 44.</w:t>
      </w:r>
    </w:p>
    <w:p>
      <w:pPr>
        <w:ind w:right="80"/>
        <w:spacing w:after="0" w:line="250" w:lineRule="auto"/>
        <w:rPr>
          <w:sz w:val="20"/>
          <w:szCs w:val="20"/>
          <w:color w:val="auto"/>
        </w:rPr>
      </w:pPr>
      <w:r>
        <w:rPr>
          <w:rFonts w:ascii="Arial" w:cs="Arial" w:eastAsia="Arial" w:hAnsi="Arial"/>
          <w:sz w:val="18"/>
          <w:szCs w:val="18"/>
          <w:color w:val="auto"/>
        </w:rPr>
        <w:t xml:space="preserve">Includes a net, after-tax and minority interest charge of $297 million ($0.51 per share – diluted). For details, see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xml:space="preserve"> on page 44.</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 xml:space="preserve">Includes a net, after-tax and minority interest charge of $3 million ($0.00 per share – diluted). For details, see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xml:space="preserve"> on page 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Restated for discontinued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Excludes amortization of goodwill.</w:t>
      </w:r>
    </w:p>
    <w:p>
      <w:pPr>
        <w:spacing w:after="0" w:line="151" w:lineRule="exact"/>
        <w:rPr>
          <w:sz w:val="20"/>
          <w:szCs w:val="20"/>
          <w:color w:val="auto"/>
        </w:rPr>
      </w:pPr>
    </w:p>
    <w:p>
      <w:pPr>
        <w:sectPr>
          <w:pgSz w:w="11900" w:h="16838" w:orient="portrait"/>
          <w:cols w:equalWidth="0" w:num="2">
            <w:col w:w="60" w:space="400"/>
            <w:col w:w="10960"/>
          </w:cols>
          <w:pgMar w:left="240" w:top="459" w:right="239" w:bottom="1440" w:gutter="0" w:footer="0" w:header="0"/>
          <w:type w:val="continuous"/>
        </w:sectPr>
      </w:pPr>
    </w:p>
    <w:p>
      <w:pPr>
        <w:ind w:right="40"/>
        <w:spacing w:after="0" w:line="294" w:lineRule="auto"/>
        <w:rPr>
          <w:sz w:val="20"/>
          <w:szCs w:val="20"/>
          <w:color w:val="auto"/>
        </w:rPr>
      </w:pPr>
      <w:r>
        <w:rPr>
          <w:rFonts w:ascii="Arial" w:cs="Arial" w:eastAsia="Arial" w:hAnsi="Arial"/>
          <w:sz w:val="16"/>
          <w:szCs w:val="16"/>
          <w:color w:val="auto"/>
        </w:rPr>
        <w:t>In 2002, Oilfield Services segment net income decreased $267 million, or 21%, to $987 million as revenue declined 5% compared to the worldwide M-I rig count reduction of 17%. North America registered the most significant decline as revenue decreased 24% on a M-I rig count reduction of 27%. SchlumbergerSema segment net income of $21 million improved from a loss of $22 million in 2001, reflecting the revenue increase of 32% (7% on a proforma basis – assuming the Sema plc acquisition took place on January 1, 2001) and the effect of the previously announced cost reduction program. In the Other segment, net income declined to $14 million, from $85 million in 2001 which included the divested Resource Management Services businesses.</w:t>
      </w:r>
    </w:p>
    <w:p>
      <w:pPr>
        <w:spacing w:after="0" w:line="10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2001, Oilfield Services segment net income increased $498 million, or 66%, to $1,254 million reflecting the 36% growth in revenue, which outpaced the 15% increase in the worldwide M-I rig count. Higher pricing levels and increased non-rig related activity were the major factors attributable to the record Oilfield Services revenues. SchlumbergerSema segment net loss of $22 million improved $19 million reflecting the incremental income from the newly acquired Sema plc. In the Other segment, net income of $85 million declined $34 million from the prior year with declines in the semiconductor-related and Cards activities.</w:t>
      </w:r>
    </w:p>
    <w:p>
      <w:pPr>
        <w:spacing w:after="0" w:line="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2000, Oilfield Services segment net income increased $328 million, or 76%, to $756 million. Increases in E&amp;P expenditures and in oil and gas prices, resulting from increased oil demand and the lowest level of excess oil production capacity in decades, were the underlying factors of the strong increases in most areas, and notably in North America. Average worldwide rig count increased 30% compared to 1999. SchlumbergerSema segment net loss of $41 million was down $43 million due to losses in the newly acquired CellNet and Convergent businesses in North America. In the Other segment, net income of $119 million increased $32 million from the prior year mainly due to stronger results from the Cards activity where revenue was up 26%.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Currency Risks</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Refer to page 39, </w:t>
      </w:r>
      <w:r>
        <w:rPr>
          <w:rFonts w:ascii="Arial" w:cs="Arial" w:eastAsia="Arial" w:hAnsi="Arial"/>
          <w:sz w:val="16"/>
          <w:szCs w:val="16"/>
          <w:i w:val="1"/>
          <w:iCs w:val="1"/>
          <w:color w:val="auto"/>
        </w:rPr>
        <w:t>Translation of Non-US Currencies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Notes to Consolidated Financial Statements</w:t>
      </w:r>
      <w:r>
        <w:rPr>
          <w:rFonts w:ascii="Arial" w:cs="Arial" w:eastAsia="Arial" w:hAnsi="Arial"/>
          <w:sz w:val="16"/>
          <w:szCs w:val="16"/>
          <w:color w:val="auto"/>
        </w:rPr>
        <w:t>, for a description of the Schlumberger policy on currency hedging. There are no material unhedged assets, liabilities or commitments which are denominated in other than a business’ functional currency. Schlumberger businesses operate principally in US dollars, the euro and most other European currencies and most South American currencies.</w:t>
      </w:r>
    </w:p>
    <w:p>
      <w:pPr>
        <w:spacing w:after="0" w:line="9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While changes in exchange rates affect revenue, especially in the SchlumbergerSema segment, they also affect costs. Generally speaking, Schlumberger is currency neutral. For example, a 5% change in average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exchange rates of OECD currencies would have had no material effect on consolidated revenue and net income.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general, when the US dollar weakens against other currencies, consolidated revenue increases, usually with no material effect on net income. This is principally because the fall-through incremental margin in the SchlumbergerSema segment offsets the higher Oilfield Services segment non-US dollar denominated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&amp; Engineering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Expenditures by business segment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6"/>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78"/>
              <w:spacing w:after="0"/>
              <w:rPr>
                <w:sz w:val="20"/>
                <w:szCs w:val="20"/>
                <w:color w:val="auto"/>
              </w:rPr>
            </w:pPr>
            <w:r>
              <w:rPr>
                <w:rFonts w:ascii="Arial" w:cs="Arial" w:eastAsia="Arial" w:hAnsi="Arial"/>
                <w:sz w:val="14"/>
                <w:szCs w:val="14"/>
                <w:b w:val="1"/>
                <w:bCs w:val="1"/>
                <w:color w:val="auto"/>
                <w:w w:val="83"/>
              </w:rPr>
              <w:t>2001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80" w:type="dxa"/>
            <w:vAlign w:val="bottom"/>
            <w:gridSpan w:val="2"/>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Oilfield Services</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$ 438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SchlumbergerSema</w:t>
            </w: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84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440" w:type="dxa"/>
            <w:vAlign w:val="bottom"/>
          </w:tcPr>
          <w:p>
            <w:pPr>
              <w:spacing w:after="0"/>
              <w:rPr>
                <w:sz w:val="9"/>
                <w:szCs w:val="9"/>
                <w:color w:val="auto"/>
              </w:rPr>
            </w:pPr>
          </w:p>
        </w:tc>
        <w:tc>
          <w:tcPr>
            <w:tcW w:w="56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Other</w:t>
            </w:r>
          </w:p>
        </w:tc>
        <w:tc>
          <w:tcPr>
            <w:tcW w:w="5640" w:type="dxa"/>
            <w:vAlign w:val="bottom"/>
            <w:shd w:val="clear" w:color="auto" w:fill="CCEEFF"/>
          </w:tcPr>
          <w:p>
            <w:pPr>
              <w:spacing w:after="0"/>
              <w:rPr>
                <w:sz w:val="18"/>
                <w:szCs w:val="18"/>
                <w:color w:val="auto"/>
              </w:rPr>
            </w:pP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In-process R&amp;D charge</w:t>
            </w:r>
            <w:r>
              <w:rPr>
                <w:rFonts w:ascii="Arial" w:cs="Arial" w:eastAsia="Arial" w:hAnsi="Arial"/>
                <w:sz w:val="22"/>
                <w:szCs w:val="22"/>
                <w:color w:val="auto"/>
                <w:vertAlign w:val="superscript"/>
              </w:rPr>
              <w:t>1</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0" w:type="dxa"/>
            <w:vAlign w:val="bottom"/>
            <w:vMerge w:val="restart"/>
          </w:tcPr>
          <w:p>
            <w:pPr>
              <w:spacing w:after="0"/>
              <w:rPr>
                <w:sz w:val="20"/>
                <w:szCs w:val="20"/>
                <w:color w:val="auto"/>
              </w:rPr>
            </w:pPr>
            <w:r>
              <w:rPr>
                <w:rFonts w:ascii="Arial" w:cs="Arial" w:eastAsia="Arial" w:hAnsi="Arial"/>
                <w:sz w:val="11"/>
                <w:szCs w:val="11"/>
                <w:color w:val="auto"/>
              </w:rPr>
              <w:t>1</w:t>
            </w:r>
          </w:p>
        </w:tc>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Relating to the Bull CP8 acquisition.</w:t>
            </w:r>
          </w:p>
        </w:tc>
        <w:tc>
          <w:tcPr>
            <w:tcW w:w="3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440" w:type="dxa"/>
            <w:vAlign w:val="bottom"/>
            <w:vMerge w:val="continue"/>
          </w:tcPr>
          <w:p>
            <w:pPr>
              <w:spacing w:after="0"/>
              <w:rPr>
                <w:sz w:val="20"/>
                <w:szCs w:val="20"/>
                <w:color w:val="auto"/>
              </w:rPr>
            </w:pPr>
          </w:p>
        </w:tc>
        <w:tc>
          <w:tcPr>
            <w:tcW w:w="5640" w:type="dxa"/>
            <w:vAlign w:val="bottom"/>
            <w:vMerge w:val="continue"/>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564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-231775</wp:posOffset>
            </wp:positionV>
            <wp:extent cx="14617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1770" cy="2984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Interest expense decreased $17 million, to $368 million mainly due to a decrease in average borrowing rates from 5.8% to 4.9%. The increase in 2001 of $109 million, to $385 million, was principally due to the significantly higher debt balances incurred, relating to the acquisition of Sema plc, which were only partially offset by a reduction in average borrowing rate from 6.9% to 5.8%. The increase in 2000 of $83 million, to $276 million, was mainly due to an increase in average borrowing rates from 5.8% to 6.9%.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Hanover Compressor Transaction</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August 2001, Schlumberger sold its Oilfield Services worldwide gas compression activity to Hanover Compressor Company. The proceeds included common stock of Hanover Compressor, with a value at closing of $173 million, which is restricted from marketability until August 30, 2004 and a $150 million long-term subordinated note maturing December 15, 2005.</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market value of Schlumberger’s investment in Hanover Compressor common stock was $80 million as of December 31, 2002. Following the decline in the market value of the stock below carrying value during the second quarter of 2002, Schlumberger has performed, and continues to perform, a periodic assessment in accordance with its policy to determine whether an other-than-temporary decline in fair value has occurred. Schlumberger evaluated the recoverability of its investment by reviewing recent information related to the industry and the operating results and financial position of Hanover Compressor and by considering Schlumberger’s requirement, ability and intent to hold the investment on a long-term basis. Schlumberger concluded that evidence existed at December 31, 2002 to support the recoverability of its carrying value, that there were no events or changes in circumstances specifically relating to the business prospects of Hanover Compressor, that the underlying business fundamentals are good with natural gas supplies reduced and higher natural gas prices in North America. In addition, the recently announced Hanover cutbacks in workforce and capital expenditures coupled with no immediate debt maturities should provide adequate capital resources in the near-term. Accordingly, Schlumberger concluded that the decline in market value of its investment ($93 million) in Hanover Compressor as of December 31, 2002 was temporary in nature and has not reduced the cost basis of that investment. If the decline in value persists or should Schlumberger’s assessment change, Schlumberger would take a charge to its earnings for the amount that is deemed unrecoverable.</w:t>
      </w:r>
    </w:p>
    <w:p>
      <w:pPr>
        <w:spacing w:after="0" w:line="11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$150 million long-term subordinated note has a mandatory prepayment upon the issuance, sale or other disposition by Hanover Compressor of any shares of capital stock or other equity interests pursuant to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public offering or a private placement otherwise prepayment is discretionary. As of December 31, 2002, Schlumberger considers the carrying value of the note to be fully collectible.</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part of the sale agreement, Schlumberger agreed that the financing of the PIGAP II joint venture in Venezuela would be non-recourse to the buyer and would be executed prior to December 31, 2002. Accordingly, Schlumberger was obligated, with respect to the financing, to guarantee 30% (approximately $80 million) until the project was completed in 2002 and, if as of December 31, 2002, refinancing had not become non-recourse to the buyer or the project had not achieved substantial completion, Hanover Compressor had an option to put its interest in the joint venture back to Schlumberger.</w:t>
      </w:r>
    </w:p>
    <w:p>
      <w:pPr>
        <w:spacing w:after="0" w:line="9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an outcome of the turmoil in Venezuela, although the project reached substantial completion, the non-recourse financing for the project was not achieved by December 31, 2002. On January 30, 2003, Hanover Compressor gave notice of its intention to exercise its right to put its ownership interest in the joint venture back to Schlumberger. The put is subject to certain consents and other conditions. Schlumberger’s obligation to provide a guarantee with respect to the financing was eliminated.</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Schlumberger originally deferred the gain on the sale of the joint venture in 2001, there is no impact on Schlumberger results of operations due to the Hanover Compressor exercise of its option.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 Continuing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after-tax and minority interest charges/credits for continuing operations in 2002, 2001 and 2000:</w:t>
      </w:r>
    </w:p>
    <w:p>
      <w:pPr>
        <w:spacing w:after="0" w:line="158" w:lineRule="exact"/>
        <w:rPr>
          <w:sz w:val="20"/>
          <w:szCs w:val="20"/>
          <w:color w:val="auto"/>
        </w:rPr>
      </w:pPr>
    </w:p>
    <w:p>
      <w:pPr>
        <w:ind w:left="760" w:hanging="306"/>
        <w:spacing w:after="0" w:line="290" w:lineRule="auto"/>
        <w:tabs>
          <w:tab w:leader="none" w:pos="76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On December 10, 2002, Schlumberger announced that the Board of Directors had approved an updated strategy for its SchlumbergerSema business segment. The new strategic plan outlook, current business values and the reorganization of SchlumbergerSema constitute significant events that required an impairment analysis to be performed in accordance with FAS 142. SchlumbergerSema was ‘valued’ on a stand-alone basis; each reporting unit within SchlumbergerSema 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goodwill was written down to its estimated fair value based on Schlumberger’s valuation. The impairment of goodwill mainly reflects the current difficulties of the telecommunications industry and the severely depressed market values of the IT companies serving SchlumbergerSema’s sector. Certain intangible assets were also identified and written down as part of this process.</w:t>
      </w:r>
    </w:p>
    <w:p>
      <w:pPr>
        <w:spacing w:after="0" w:line="25" w:lineRule="exact"/>
        <w:rPr>
          <w:sz w:val="20"/>
          <w:szCs w:val="20"/>
          <w:color w:val="auto"/>
        </w:rPr>
      </w:pPr>
    </w:p>
    <w:p>
      <w:pPr>
        <w:ind w:left="800" w:right="40"/>
        <w:spacing w:after="0" w:line="256" w:lineRule="auto"/>
        <w:rPr>
          <w:sz w:val="20"/>
          <w:szCs w:val="20"/>
          <w:color w:val="auto"/>
        </w:rPr>
      </w:pPr>
      <w:r>
        <w:rPr>
          <w:rFonts w:ascii="Arial" w:cs="Arial" w:eastAsia="Arial" w:hAnsi="Arial"/>
          <w:sz w:val="18"/>
          <w:szCs w:val="18"/>
          <w:color w:val="auto"/>
        </w:rPr>
        <w:t>Schlumberger recorded severance, facility and other costs in an effort to reduce costs at SchlumbergerSema and WesternGeco. These costs related to expenses that offer no future benefit to the ongoing operations of these businesses. During the fourth quarter, Schlumberger also recorded an impairment charge, to reflect a change in the business projections of the WesternGeco business, related to capitalized multiclient seismic library costs, a deferred tax valuation allowance and other costs.</w:t>
      </w:r>
    </w:p>
    <w:p>
      <w:pPr>
        <w:spacing w:after="0" w:line="49" w:lineRule="exact"/>
        <w:rPr>
          <w:sz w:val="20"/>
          <w:szCs w:val="20"/>
          <w:color w:val="auto"/>
        </w:rPr>
      </w:pPr>
    </w:p>
    <w:p>
      <w:pPr>
        <w:ind w:left="800" w:right="40"/>
        <w:spacing w:after="0" w:line="255" w:lineRule="auto"/>
        <w:rPr>
          <w:sz w:val="20"/>
          <w:szCs w:val="20"/>
          <w:color w:val="auto"/>
        </w:rPr>
      </w:pPr>
      <w:r>
        <w:rPr>
          <w:rFonts w:ascii="Arial" w:cs="Arial" w:eastAsia="Arial" w:hAnsi="Arial"/>
          <w:sz w:val="18"/>
          <w:szCs w:val="18"/>
          <w:color w:val="auto"/>
        </w:rPr>
        <w:t>The total of the above charges was $3,168 million and consisted of (1) a goodwill impairment charge of $2,638 million; (2) an intangible assets impairment charge of $132 million; (3) SchlumbergerSema severance and other charges of $77 million in response to current business conditions; (4) WesternGeco severance and other charges of $72 million in response to current business conditions; (5) a WesternGeco multiclient library impairment charge of $129 million following a valuation of the library; (6) environmental related charges of $26 million; (7) a deferred tax valuation allowance charge of $94 million.</w:t>
      </w:r>
    </w:p>
    <w:p>
      <w:pPr>
        <w:ind w:left="760" w:hanging="306"/>
        <w:spacing w:after="0" w:line="209" w:lineRule="auto"/>
        <w:tabs>
          <w:tab w:leader="none" w:pos="76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In December 2002, a credit of $87 million reflecting the gain on the sale of two drilling rigs.</w:t>
      </w:r>
    </w:p>
    <w:p>
      <w:pPr>
        <w:spacing w:after="0" w:line="102" w:lineRule="exact"/>
        <w:rPr>
          <w:rFonts w:ascii="Arial" w:cs="Arial" w:eastAsia="Arial" w:hAnsi="Arial"/>
          <w:sz w:val="27"/>
          <w:szCs w:val="27"/>
          <w:color w:val="auto"/>
          <w:vertAlign w:val="superscript"/>
        </w:rPr>
      </w:pPr>
    </w:p>
    <w:p>
      <w:pPr>
        <w:ind w:left="760" w:hanging="306"/>
        <w:spacing w:after="0" w:line="181" w:lineRule="auto"/>
        <w:tabs>
          <w:tab w:leader="none" w:pos="76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In March 2002, a charge of $29 million related to the financial/economic crisis in Argentina.</w:t>
      </w:r>
    </w:p>
    <w:p>
      <w:pPr>
        <w:spacing w:after="0" w:line="102" w:lineRule="exact"/>
        <w:rPr>
          <w:rFonts w:ascii="Arial" w:cs="Arial" w:eastAsia="Arial" w:hAnsi="Arial"/>
          <w:sz w:val="24"/>
          <w:szCs w:val="24"/>
          <w:color w:val="auto"/>
          <w:vertAlign w:val="superscript"/>
        </w:rPr>
      </w:pPr>
    </w:p>
    <w:p>
      <w:pPr>
        <w:ind w:left="760" w:hanging="306"/>
        <w:spacing w:after="0" w:line="181" w:lineRule="auto"/>
        <w:tabs>
          <w:tab w:leader="none" w:pos="76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In March 2001, a charge of $25 million for in-process R&amp;D related to the Bull CP8 acquisition.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760" w:hanging="306"/>
        <w:spacing w:after="0"/>
        <w:tabs>
          <w:tab w:leader="none" w:pos="76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In June 2001, a charge of $280 million for the estimated impairment charge from the disposition of certain Resource Management Services businesses.</w:t>
      </w:r>
    </w:p>
    <w:p>
      <w:pPr>
        <w:spacing w:after="0" w:line="102" w:lineRule="exact"/>
        <w:rPr>
          <w:rFonts w:ascii="Arial" w:cs="Arial" w:eastAsia="Arial" w:hAnsi="Arial"/>
          <w:sz w:val="23"/>
          <w:szCs w:val="23"/>
          <w:color w:val="auto"/>
          <w:vertAlign w:val="superscript"/>
        </w:rPr>
      </w:pPr>
    </w:p>
    <w:p>
      <w:pPr>
        <w:ind w:left="760" w:right="540" w:hanging="306"/>
        <w:spacing w:after="0" w:line="196" w:lineRule="auto"/>
        <w:tabs>
          <w:tab w:leader="none" w:pos="76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In September 2001, a net credit of $3 million representing the gain on the sale of the worldwide gas compression business, partially offset by an impairment charge relating to the expected disposition of certain activities.</w:t>
      </w:r>
    </w:p>
    <w:p>
      <w:pPr>
        <w:spacing w:after="0" w:line="63" w:lineRule="exact"/>
        <w:rPr>
          <w:rFonts w:ascii="Arial" w:cs="Arial" w:eastAsia="Arial" w:hAnsi="Arial"/>
          <w:sz w:val="27"/>
          <w:szCs w:val="27"/>
          <w:color w:val="auto"/>
          <w:vertAlign w:val="superscript"/>
        </w:rPr>
      </w:pPr>
    </w:p>
    <w:p>
      <w:pPr>
        <w:ind w:left="760" w:right="140" w:hanging="306"/>
        <w:spacing w:after="0" w:line="245" w:lineRule="auto"/>
        <w:tabs>
          <w:tab w:leader="none" w:pos="760" w:val="left"/>
        </w:tabs>
        <w:numPr>
          <w:ilvl w:val="0"/>
          <w:numId w:val="11"/>
        </w:numPr>
        <w:rPr>
          <w:rFonts w:ascii="Arial" w:cs="Arial" w:eastAsia="Arial" w:hAnsi="Arial"/>
          <w:sz w:val="26"/>
          <w:szCs w:val="26"/>
          <w:color w:val="auto"/>
          <w:vertAlign w:val="superscript"/>
        </w:rPr>
      </w:pPr>
      <w:r>
        <w:rPr>
          <w:rFonts w:ascii="Arial" w:cs="Arial" w:eastAsia="Arial" w:hAnsi="Arial"/>
          <w:sz w:val="17"/>
          <w:szCs w:val="17"/>
          <w:color w:val="auto"/>
        </w:rPr>
        <w:t>In December 2001, a net credit of $5 million, including an after tax gain on the sale of the former Resource Management Services North American Water division ($117 million). This gain was partially offset by certain charges: (1) a provision of $37 million for employee termination costs, principally in Europe and the US, related to Oilfield Services and SchlumbergerSema in response to the prevailing business conditions; (2) tax reorganization costs of $29 million; (3) a further $20 million charge related to the second quarter estimated loss on the divestiture of certain Resource Management Services businesses following the actual closing in the fourth quarter; (4) asset write down of $23 million for technological impairment related to certain Land seismic assets in the newly formed WesternGeco Joint Venture.</w:t>
      </w:r>
    </w:p>
    <w:p>
      <w:pPr>
        <w:spacing w:after="0" w:line="61" w:lineRule="exact"/>
        <w:rPr>
          <w:rFonts w:ascii="Arial" w:cs="Arial" w:eastAsia="Arial" w:hAnsi="Arial"/>
          <w:sz w:val="26"/>
          <w:szCs w:val="26"/>
          <w:color w:val="auto"/>
          <w:vertAlign w:val="superscript"/>
        </w:rPr>
      </w:pPr>
    </w:p>
    <w:p>
      <w:pPr>
        <w:ind w:left="760" w:right="80" w:hanging="306"/>
        <w:spacing w:after="0" w:line="224" w:lineRule="auto"/>
        <w:tabs>
          <w:tab w:leader="none" w:pos="76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In December 2000, $25 million charge primarily relating to the write down of certain inventory and severance costs in the semiconductor business resulting from reduced activity levels in the semiconductor test market, $39 million related to the creation of the WesternGeco joint venture (including asset impairment and severance costs for Schlumberger’s existing Geco-Prakla business), and a credit of $61 million from the gain on sale of two Gas Services businesses in Europe.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December 2002 pretax severance and facility charges is as follows:</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(Stated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69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Severance</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3"/>
              </w:rPr>
              <w:t>Facilities</w:t>
            </w:r>
          </w:p>
        </w:tc>
        <w:tc>
          <w:tcPr>
            <w:tcW w:w="20" w:type="dxa"/>
            <w:vAlign w:val="bottom"/>
          </w:tcPr>
          <w:p>
            <w:pPr>
              <w:spacing w:after="0"/>
              <w:rPr>
                <w:sz w:val="15"/>
                <w:szCs w:val="15"/>
                <w:color w:val="auto"/>
              </w:rPr>
            </w:pPr>
          </w:p>
        </w:tc>
      </w:tr>
      <w:tr>
        <w:trPr>
          <w:trHeight w:val="84"/>
        </w:trPr>
        <w:tc>
          <w:tcPr>
            <w:tcW w:w="338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r>
      <w:tr>
        <w:trPr>
          <w:trHeight w:val="263"/>
        </w:trPr>
        <w:tc>
          <w:tcPr>
            <w:tcW w:w="3380" w:type="dxa"/>
            <w:vAlign w:val="bottom"/>
          </w:tcPr>
          <w:p>
            <w:pPr>
              <w:spacing w:after="0"/>
              <w:rPr>
                <w:sz w:val="22"/>
                <w:szCs w:val="22"/>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Amount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Headcount</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22"/>
                <w:szCs w:val="22"/>
                <w:color w:val="auto"/>
              </w:rPr>
            </w:pPr>
          </w:p>
        </w:tc>
      </w:tr>
      <w:tr>
        <w:trPr>
          <w:trHeight w:val="95"/>
        </w:trPr>
        <w:tc>
          <w:tcPr>
            <w:tcW w:w="3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3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42.8</w:t>
            </w:r>
          </w:p>
        </w:tc>
        <w:tc>
          <w:tcPr>
            <w:tcW w:w="20" w:type="dxa"/>
            <w:vAlign w:val="bottom"/>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Paid in December 2002</w:t>
            </w:r>
          </w:p>
        </w:tc>
        <w:tc>
          <w:tcPr>
            <w:tcW w:w="110" w:type="dxa"/>
            <w:vAlign w:val="bottom"/>
          </w:tcPr>
          <w:p>
            <w:pPr>
              <w:spacing w:after="0"/>
              <w:rPr>
                <w:sz w:val="19"/>
                <w:szCs w:val="19"/>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r>
      <w:tr>
        <w:trPr>
          <w:trHeight w:val="102"/>
        </w:trPr>
        <w:tc>
          <w:tcPr>
            <w:tcW w:w="3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3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36.2</w:t>
            </w:r>
          </w:p>
        </w:tc>
        <w:tc>
          <w:tcPr>
            <w:tcW w:w="20" w:type="dxa"/>
            <w:vAlign w:val="bottom"/>
          </w:tcPr>
          <w:p>
            <w:pPr>
              <w:spacing w:after="0"/>
              <w:rPr>
                <w:sz w:val="18"/>
                <w:szCs w:val="18"/>
                <w:color w:val="auto"/>
              </w:rPr>
            </w:pPr>
          </w:p>
        </w:tc>
      </w:tr>
      <w:tr>
        <w:trPr>
          <w:trHeight w:val="132"/>
        </w:trPr>
        <w:tc>
          <w:tcPr>
            <w:tcW w:w="3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remaining severance costs are expected to be paid before September 30,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2001 charge included severance costs of $41 million (775 people) which have been 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2000 charges included severance costs of $9 million (380 people) which have been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Schlumberger’s discussion and analysis of its financial condition and results of operations are based upon Schlumberger’s consolidated financial statements, which have been prepared in accordance with accounting principles generally accepted in the United States. The preparation of these financial statements requires Schlumberger to make estimates and judgments that affect the reported amounts of assets, liabilities, revenues and expenses, and related disclosure of contingent assets and liabilities.</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an on-going basis, Schlumberger evaluates its estimates, including those related to bad debts, valuation of inventories and investments, recoverability of long-lived assets, income tax provision and deferred taxes, profit assumptions on long-term percentage-of-completion contracts, contingencies and litigation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Schlumberger believes the critical accounting policies described below affect its more significant judgments and estimates used in the preparation of its consolidated financial statements.</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 recognizes revenue and profit as work progresses on long-term, fixed price contracts using the percentage-of-completion method, which relies on estimates of total expected contract revenue and costs. Schlumberger follows this method since reasonably dependable estimates of the revenue and costs applicable to various stages of a contract can be made. Recognized revenue and profit are subject to revisions as the contract progresses to completion. Revisions in profit estimates are charged or credited to income in the period in which the facts that give rise to the revision become known as a change in estimate. Losses on long-term contracts are provided for when such losses are known and reasonably estimated.</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Schlumberger recognizes revenue from the sale of software licenses when persuasive evidence of an arrangement exists, the product has been delivered, the fee is fixed and determinable and collection of the resulting receivable is reasonably assured. Whether the fee is fixed and determinable is assessed based on the payment terms associated with the transaction. Collection is assessed based on a number of factors, including past transaction history with the customer and the credit-worthiness of the customer.</w:t>
      </w:r>
    </w:p>
    <w:p>
      <w:pPr>
        <w:spacing w:after="0" w:line="13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Revenues from contracts with multiple element arrangements, such as those including installation and integration services, are recognized as each element is earned based on the relative fair value of each element and when there are no undelivered elements that are essential to the functionality of the delivered elements.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 sales, either a binding purchase order, signed license agreement or a written contract is used as evidence of an arrangement.</w:t>
      </w:r>
    </w:p>
    <w:p>
      <w:pPr>
        <w:spacing w:after="0" w:line="1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Revenue from maintenance services is recognized ratably over the contract term. The training and consulting services (time and materials) are billed based on hourly rates, and revenue is generally recognized as these services are performed. Revenue from outsourcing services is generally recognized as services are performed.</w:t>
      </w:r>
    </w:p>
    <w:p>
      <w:pPr>
        <w:spacing w:after="0" w:line="12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The Oilfield Services segment capitalizes the cost associated with obtaining multiclient seismic data.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a percentage of estimated total revenue that Schlumberger estimates that it will receive from the sales of such data. The carrying value of individual surveys is reviewed at least annually and adjustments to the value are made based upon the revised estimated revenues for the surveys.</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Schlumberger maintains allowances for doubtful accounts for estimated losses resulting from the inability of its customers to make required payments. If the financial condition of Schlumberger’s customers were to deteriorate, resulting in an impairment of their ability to make payments, additional allowances may be required.</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writes down its inventory for estimated obsolescence or unmarketable inventory equal to the difference between the cost of inventory and the estimated market value based upon assumptions about future demand and market conditions. If actual market conditions are less favorable than those projected by management, additional inventory writedowns may be required.</w:t>
      </w:r>
    </w:p>
    <w:p>
      <w:pPr>
        <w:spacing w:after="0" w:line="12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Schlumberger assesses the impairment of identifiable intangibles, long-lived assets and related goodwill at least annually, or whenever events or changes in circumstances indicate that the carrying value may not be recoverable. Factors considered important, which could trigger an impairment review, include the following:</w:t>
      </w:r>
    </w:p>
    <w:p>
      <w:pPr>
        <w:spacing w:after="0" w:line="39" w:lineRule="exact"/>
        <w:rPr>
          <w:sz w:val="20"/>
          <w:szCs w:val="20"/>
          <w:color w:val="auto"/>
        </w:rPr>
      </w:pPr>
    </w:p>
    <w:p>
      <w:pPr>
        <w:ind w:left="760" w:hanging="306"/>
        <w:spacing w:after="0"/>
        <w:tabs>
          <w:tab w:leader="none" w:pos="76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significant underperformance relative to expected historical or projected future operating results;</w:t>
      </w:r>
    </w:p>
    <w:p>
      <w:pPr>
        <w:spacing w:after="0" w:line="34" w:lineRule="exact"/>
        <w:rPr>
          <w:rFonts w:ascii="Arial" w:cs="Arial" w:eastAsia="Arial" w:hAnsi="Arial"/>
          <w:sz w:val="27"/>
          <w:szCs w:val="27"/>
          <w:color w:val="auto"/>
          <w:vertAlign w:val="superscript"/>
        </w:rPr>
      </w:pPr>
    </w:p>
    <w:p>
      <w:pPr>
        <w:ind w:left="760" w:hanging="306"/>
        <w:spacing w:after="0" w:line="181" w:lineRule="auto"/>
        <w:tabs>
          <w:tab w:leader="none" w:pos="760" w:val="left"/>
        </w:tabs>
        <w:numPr>
          <w:ilvl w:val="0"/>
          <w:numId w:val="12"/>
        </w:numPr>
        <w:rPr>
          <w:rFonts w:ascii="Arial" w:cs="Arial" w:eastAsia="Arial" w:hAnsi="Arial"/>
          <w:sz w:val="24"/>
          <w:szCs w:val="24"/>
          <w:color w:val="auto"/>
          <w:vertAlign w:val="superscript"/>
        </w:rPr>
      </w:pPr>
      <w:r>
        <w:rPr>
          <w:rFonts w:ascii="Arial" w:cs="Arial" w:eastAsia="Arial" w:hAnsi="Arial"/>
          <w:sz w:val="16"/>
          <w:szCs w:val="16"/>
          <w:color w:val="auto"/>
        </w:rPr>
        <w:t>significant changes in the manner of our use of the acquired assets or the strategy for our overall business;</w:t>
      </w:r>
    </w:p>
    <w:p>
      <w:pPr>
        <w:spacing w:after="0" w:line="34" w:lineRule="exact"/>
        <w:rPr>
          <w:rFonts w:ascii="Arial" w:cs="Arial" w:eastAsia="Arial" w:hAnsi="Arial"/>
          <w:sz w:val="24"/>
          <w:szCs w:val="24"/>
          <w:color w:val="auto"/>
          <w:vertAlign w:val="superscript"/>
        </w:rPr>
      </w:pPr>
    </w:p>
    <w:p>
      <w:pPr>
        <w:ind w:left="760" w:hanging="306"/>
        <w:spacing w:after="0" w:line="181" w:lineRule="auto"/>
        <w:tabs>
          <w:tab w:leader="none" w:pos="760" w:val="left"/>
        </w:tabs>
        <w:numPr>
          <w:ilvl w:val="0"/>
          <w:numId w:val="12"/>
        </w:numPr>
        <w:rPr>
          <w:rFonts w:ascii="Arial" w:cs="Arial" w:eastAsia="Arial" w:hAnsi="Arial"/>
          <w:sz w:val="24"/>
          <w:szCs w:val="24"/>
          <w:color w:val="auto"/>
          <w:vertAlign w:val="superscript"/>
        </w:rPr>
      </w:pPr>
      <w:r>
        <w:rPr>
          <w:rFonts w:ascii="Arial" w:cs="Arial" w:eastAsia="Arial" w:hAnsi="Arial"/>
          <w:sz w:val="16"/>
          <w:szCs w:val="16"/>
          <w:color w:val="auto"/>
        </w:rPr>
        <w:t>significant negative industry or economic trends;</w:t>
      </w:r>
    </w:p>
    <w:p>
      <w:pPr>
        <w:spacing w:after="0" w:line="34" w:lineRule="exact"/>
        <w:rPr>
          <w:rFonts w:ascii="Arial" w:cs="Arial" w:eastAsia="Arial" w:hAnsi="Arial"/>
          <w:sz w:val="24"/>
          <w:szCs w:val="24"/>
          <w:color w:val="auto"/>
          <w:vertAlign w:val="superscript"/>
        </w:rPr>
      </w:pPr>
    </w:p>
    <w:p>
      <w:pPr>
        <w:ind w:left="760" w:hanging="306"/>
        <w:spacing w:after="0" w:line="181" w:lineRule="auto"/>
        <w:tabs>
          <w:tab w:leader="none" w:pos="760" w:val="left"/>
        </w:tabs>
        <w:numPr>
          <w:ilvl w:val="0"/>
          <w:numId w:val="12"/>
        </w:numPr>
        <w:rPr>
          <w:rFonts w:ascii="Arial" w:cs="Arial" w:eastAsia="Arial" w:hAnsi="Arial"/>
          <w:sz w:val="24"/>
          <w:szCs w:val="24"/>
          <w:color w:val="auto"/>
          <w:vertAlign w:val="superscript"/>
        </w:rPr>
      </w:pPr>
      <w:r>
        <w:rPr>
          <w:rFonts w:ascii="Arial" w:cs="Arial" w:eastAsia="Arial" w:hAnsi="Arial"/>
          <w:sz w:val="16"/>
          <w:szCs w:val="16"/>
          <w:color w:val="auto"/>
        </w:rPr>
        <w:t>significant decline in Schlumberger’s stock price for a sustained period; and our market capitalization relative to net book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Schlumberger determines that the carrying value of intangibles, long-lived assets and related goodwill may not be recoverable based upon the existence of one or more of the above indicators of impairment, any impairment is measured based on projected net cash flows expected to result from that asset, including eventual disposition.</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has net deferred tax assets of $583 million at December 31, 2002. Schlumberger considers future taxable income and tax planning strategies in assessing the need for valuation allowances. In December 2002, in connection with the SchlumbergerSema strategic review Schlumberger determined that it would not be able to realize a part of its October 1, 2002 net deferred asset in the future relating to a certain European net operating loss. A valuation allowance of $94 million was charged to income in the fourth quarter. The cumulative valuation allowance relating to this European net operating loss is approximately $147 million at December 31, 2002.</w:t>
      </w:r>
    </w:p>
    <w:p>
      <w:pPr>
        <w:spacing w:after="0" w:line="129"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With regard to pension and postretirement benefits, Schlumberger evaluates the appropriateness of assumptions used by an independent actuary, in particular assumptions as to discount rate, return on plan assets and medical cost trend rates. The assumptions are revised at least annually as circumstances require.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 measure of financial position is liquidity, which Schlumberger defines as cash plus short-term and fixed income investments, less debt. Negative liquidity indicates net debt. The following table summarizes the change in consolidated liquidity for each of the past three years: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375"/>
        </w:trPr>
        <w:tc>
          <w:tcPr>
            <w:tcW w:w="8880" w:type="dxa"/>
            <w:vAlign w:val="bottom"/>
          </w:tcPr>
          <w:p>
            <w:pPr>
              <w:spacing w:after="0"/>
              <w:rPr>
                <w:sz w:val="24"/>
                <w:szCs w:val="24"/>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1"/>
              </w:rPr>
              <w:t>2001</w:t>
            </w:r>
            <w:r>
              <w:rPr>
                <w:rFonts w:ascii="Arial" w:cs="Arial" w:eastAsia="Arial" w:hAnsi="Arial"/>
                <w:sz w:val="22"/>
                <w:szCs w:val="22"/>
                <w:b w:val="1"/>
                <w:bCs w:val="1"/>
                <w:color w:val="auto"/>
                <w:w w:val="81"/>
                <w:vertAlign w:val="superscript"/>
              </w:rPr>
              <w:t>1</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1"/>
              </w:rPr>
              <w:t>2000</w:t>
            </w:r>
            <w:r>
              <w:rPr>
                <w:rFonts w:ascii="Arial" w:cs="Arial" w:eastAsia="Arial" w:hAnsi="Arial"/>
                <w:sz w:val="22"/>
                <w:szCs w:val="22"/>
                <w:b w:val="1"/>
                <w:bCs w:val="1"/>
                <w:color w:val="auto"/>
                <w:w w:val="81"/>
                <w:vertAlign w:val="superscript"/>
              </w:rPr>
              <w:t>1</w:t>
            </w:r>
          </w:p>
        </w:tc>
        <w:tc>
          <w:tcPr>
            <w:tcW w:w="60" w:type="dxa"/>
            <w:vAlign w:val="bottom"/>
          </w:tcPr>
          <w:p>
            <w:pPr>
              <w:spacing w:after="0"/>
              <w:rPr>
                <w:sz w:val="24"/>
                <w:szCs w:val="24"/>
                <w:color w:val="auto"/>
              </w:rPr>
            </w:pPr>
          </w:p>
        </w:tc>
      </w:tr>
      <w:tr>
        <w:trPr>
          <w:trHeight w:val="105"/>
        </w:trPr>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(Loss)/income from continuing operations</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$(2,418)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r>
      <w:tr>
        <w:trPr>
          <w:trHeight w:val="216"/>
        </w:trPr>
        <w:tc>
          <w:tcPr>
            <w:tcW w:w="8880" w:type="dxa"/>
            <w:vAlign w:val="bottom"/>
          </w:tcPr>
          <w:p>
            <w:pPr>
              <w:ind w:left="20"/>
              <w:spacing w:after="0"/>
              <w:rPr>
                <w:sz w:val="20"/>
                <w:szCs w:val="20"/>
                <w:color w:val="auto"/>
              </w:rPr>
            </w:pPr>
            <w:r>
              <w:rPr>
                <w:rFonts w:ascii="Arial" w:cs="Arial" w:eastAsia="Arial" w:hAnsi="Arial"/>
                <w:sz w:val="18"/>
                <w:szCs w:val="18"/>
                <w:color w:val="auto"/>
              </w:rPr>
              <w:t>(Gain)/loss on sale of businesses</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charges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r>
      <w:tr>
        <w:trPr>
          <w:trHeight w:val="216"/>
        </w:trPr>
        <w:tc>
          <w:tcPr>
            <w:tcW w:w="8880" w:type="dxa"/>
            <w:vAlign w:val="bottom"/>
          </w:tcPr>
          <w:p>
            <w:pPr>
              <w:ind w:left="20"/>
              <w:spacing w:after="0" w:line="217" w:lineRule="exact"/>
              <w:rPr>
                <w:sz w:val="20"/>
                <w:szCs w:val="20"/>
                <w:color w:val="auto"/>
              </w:rPr>
            </w:pPr>
            <w:r>
              <w:rPr>
                <w:rFonts w:ascii="Arial" w:cs="Arial" w:eastAsia="Arial" w:hAnsi="Arial"/>
                <w:sz w:val="18"/>
                <w:szCs w:val="18"/>
                <w:color w:val="auto"/>
              </w:rPr>
              <w:t>Depreciation &amp; amortization</w:t>
            </w:r>
            <w:r>
              <w:rPr>
                <w:rFonts w:ascii="Arial" w:cs="Arial" w:eastAsia="Arial" w:hAnsi="Arial"/>
                <w:sz w:val="22"/>
                <w:szCs w:val="22"/>
                <w:color w:val="auto"/>
                <w:vertAlign w:val="superscript"/>
              </w:rPr>
              <w:t>2</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1,271</w:t>
            </w:r>
          </w:p>
        </w:tc>
        <w:tc>
          <w:tcPr>
            <w:tcW w:w="60" w:type="dxa"/>
            <w:vAlign w:val="bottom"/>
          </w:tcPr>
          <w:p>
            <w:pPr>
              <w:spacing w:after="0"/>
              <w:rPr>
                <w:sz w:val="18"/>
                <w:szCs w:val="18"/>
                <w:color w:val="auto"/>
              </w:rPr>
            </w:pP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working capital requirements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880" w:type="dxa"/>
            <w:vAlign w:val="bottom"/>
          </w:tcPr>
          <w:p>
            <w:pPr>
              <w:ind w:left="20"/>
              <w:spacing w:after="0"/>
              <w:rPr>
                <w:sz w:val="20"/>
                <w:szCs w:val="20"/>
                <w:color w:val="auto"/>
              </w:rPr>
            </w:pPr>
            <w:r>
              <w:rPr>
                <w:rFonts w:ascii="Arial" w:cs="Arial" w:eastAsia="Arial" w:hAnsi="Arial"/>
                <w:sz w:val="18"/>
                <w:szCs w:val="18"/>
                <w:color w:val="auto"/>
              </w:rPr>
              <w:t>Proceeds from business divestitures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r>
      <w:tr>
        <w:trPr>
          <w:trHeight w:val="216"/>
        </w:trPr>
        <w:tc>
          <w:tcPr>
            <w:tcW w:w="888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Fixed asset additions</w:t>
            </w:r>
            <w:r>
              <w:rPr>
                <w:rFonts w:ascii="Arial" w:cs="Arial" w:eastAsia="Arial" w:hAnsi="Arial"/>
                <w:sz w:val="22"/>
                <w:szCs w:val="22"/>
                <w:color w:val="auto"/>
                <w:vertAlign w:val="superscript"/>
              </w:rPr>
              <w:t>2</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(2,469)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(1,546)</w:t>
            </w:r>
          </w:p>
        </w:tc>
      </w:tr>
      <w:tr>
        <w:trPr>
          <w:trHeight w:val="216"/>
        </w:trPr>
        <w:tc>
          <w:tcPr>
            <w:tcW w:w="888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(433)</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r>
      <w:tr>
        <w:trPr>
          <w:trHeight w:val="216"/>
        </w:trPr>
        <w:tc>
          <w:tcPr>
            <w:tcW w:w="8880" w:type="dxa"/>
            <w:vAlign w:val="bottom"/>
          </w:tcPr>
          <w:p>
            <w:pPr>
              <w:ind w:left="20"/>
              <w:spacing w:after="0"/>
              <w:rPr>
                <w:sz w:val="20"/>
                <w:szCs w:val="20"/>
                <w:color w:val="auto"/>
              </w:rPr>
            </w:pPr>
            <w:r>
              <w:rPr>
                <w:rFonts w:ascii="Arial" w:cs="Arial" w:eastAsia="Arial" w:hAnsi="Arial"/>
                <w:sz w:val="18"/>
                <w:szCs w:val="18"/>
                <w:color w:val="auto"/>
              </w:rPr>
              <w:t>Acquisition of Sema plc</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(4,853)</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business acquisitions</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(1,076)</w:t>
            </w:r>
          </w:p>
        </w:tc>
      </w:tr>
      <w:tr>
        <w:trPr>
          <w:trHeight w:val="216"/>
        </w:trPr>
        <w:tc>
          <w:tcPr>
            <w:tcW w:w="8880" w:type="dxa"/>
            <w:vAlign w:val="bottom"/>
          </w:tcPr>
          <w:p>
            <w:pPr>
              <w:ind w:left="20"/>
              <w:spacing w:after="0"/>
              <w:rPr>
                <w:sz w:val="20"/>
                <w:szCs w:val="20"/>
                <w:color w:val="auto"/>
              </w:rPr>
            </w:pPr>
            <w:r>
              <w:rPr>
                <w:rFonts w:ascii="Arial" w:cs="Arial" w:eastAsia="Arial" w:hAnsi="Arial"/>
                <w:sz w:val="18"/>
                <w:szCs w:val="18"/>
                <w:color w:val="auto"/>
              </w:rPr>
              <w:t>Acquisition related payments</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change in exchange rates</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28"/>
        </w:trPr>
        <w:tc>
          <w:tcPr>
            <w:tcW w:w="888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96"/>
        </w:trPr>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liquidity from continuing operations</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(5,490)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28"/>
        </w:trPr>
        <w:tc>
          <w:tcPr>
            <w:tcW w:w="888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96"/>
        </w:trPr>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net debt/liquidity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(5,459)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8"/>
        </w:trPr>
        <w:tc>
          <w:tcPr>
            <w:tcW w:w="8880" w:type="dxa"/>
            <w:vAlign w:val="bottom"/>
          </w:tcPr>
          <w:p>
            <w:pPr>
              <w:ind w:left="20"/>
              <w:spacing w:after="0"/>
              <w:rPr>
                <w:sz w:val="20"/>
                <w:szCs w:val="20"/>
                <w:color w:val="auto"/>
              </w:rPr>
            </w:pPr>
            <w:r>
              <w:rPr>
                <w:rFonts w:ascii="Arial" w:cs="Arial" w:eastAsia="Arial" w:hAnsi="Arial"/>
                <w:sz w:val="18"/>
                <w:szCs w:val="18"/>
                <w:color w:val="auto"/>
              </w:rPr>
              <w:t>Liquidity—beginning of period</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(5,037)</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1,231</w:t>
            </w:r>
          </w:p>
        </w:tc>
        <w:tc>
          <w:tcPr>
            <w:tcW w:w="60" w:type="dxa"/>
            <w:vAlign w:val="bottom"/>
          </w:tcPr>
          <w:p>
            <w:pPr>
              <w:spacing w:after="0"/>
              <w:rPr>
                <w:sz w:val="19"/>
                <w:szCs w:val="19"/>
                <w:color w:val="auto"/>
              </w:rPr>
            </w:pPr>
          </w:p>
        </w:tc>
      </w:tr>
      <w:tr>
        <w:trPr>
          <w:trHeight w:val="96"/>
        </w:trPr>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Liquidity—end of period</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$(5,021)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r>
      <w:tr>
        <w:trPr>
          <w:trHeight w:val="132"/>
        </w:trPr>
        <w:tc>
          <w:tcPr>
            <w:tcW w:w="8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-29210</wp:posOffset>
            </wp:positionV>
            <wp:extent cx="3816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Reclassified, in part, for comparative purposes.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Including multiclient seismic data costs.</w:t>
      </w:r>
    </w:p>
    <w:p>
      <w:pPr>
        <w:spacing w:after="0" w:line="151" w:lineRule="exact"/>
        <w:rPr>
          <w:sz w:val="20"/>
          <w:szCs w:val="20"/>
          <w:color w:val="auto"/>
        </w:rPr>
      </w:pPr>
    </w:p>
    <w:p>
      <w:pPr>
        <w:sectPr>
          <w:pgSz w:w="11900" w:h="16838" w:orient="portrait"/>
          <w:cols w:equalWidth="0" w:num="2">
            <w:col w:w="60" w:space="400"/>
            <w:col w:w="10960"/>
          </w:cols>
          <w:pgMar w:left="240" w:top="459" w:right="239" w:bottom="1440" w:gutter="0" w:footer="0" w:header="0"/>
          <w:type w:val="continuous"/>
        </w:sectPr>
      </w:pPr>
    </w:p>
    <w:p>
      <w:pPr>
        <w:ind w:right="100"/>
        <w:spacing w:after="0" w:line="332" w:lineRule="auto"/>
        <w:rPr>
          <w:sz w:val="20"/>
          <w:szCs w:val="20"/>
          <w:color w:val="auto"/>
        </w:rPr>
      </w:pPr>
      <w:r>
        <w:rPr>
          <w:rFonts w:ascii="Arial" w:cs="Arial" w:eastAsia="Arial" w:hAnsi="Arial"/>
          <w:sz w:val="16"/>
          <w:szCs w:val="16"/>
          <w:color w:val="auto"/>
        </w:rPr>
        <w:t>At December 31, 2002, Schlumberger’s liquidity was negative (debt exceeded cash plus investments). At December 31, 2002, Schlumberger had cash/short-term investments of $1.7 billion and remaining capacity in debt facilities of $3.7 billion which are sufficient to meet future business requirements.</w:t>
      </w:r>
    </w:p>
    <w:p>
      <w:pPr>
        <w:spacing w:after="0" w:line="7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Based on forecast 2003 net income, depreciation/amortization estimates, and other liquidity components, Schlumberger expects to improve liquidity with an objective of reducing the net debt to under $4 billion by year end 2003. This will largely be dependent upon the business segments operating results and the successful completion of certain business divestitures.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Sema plc</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March 8, 2001, a wholly owned subsidiary of Schlumberger acquired, through market purchases, approximately 20% of the issued share capital of Sema at a cost of $1 billion.</w:t>
      </w:r>
    </w:p>
    <w:p>
      <w:pPr>
        <w:spacing w:after="0" w:line="11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3, 2001, wholly owned subsidiaries of Schlumberger issued $1.9 billion European bonds (Euro 1.4 billion and £425 million). The average interest rate of these bonds is 5.9% with maturity from 2008 through 2032. The proceeds from the issues were used to repay short-term bank loans originally taken out by those subsidiaries to finance the acquisition of Sema plc.</w:t>
      </w:r>
    </w:p>
    <w:p>
      <w:pPr>
        <w:spacing w:after="0" w:line="12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 xml:space="preserve">The acquisition was accounted for using the purchase method of accounting and the goodwill and identifiable intangibles aggregated $5.19 billion which were being amortized on a straight-line basis in 2001. Effective January 1, 2002, with the adoption of SFAS 142 (see </w:t>
      </w:r>
      <w:r>
        <w:rPr>
          <w:rFonts w:ascii="Arial" w:cs="Arial" w:eastAsia="Arial" w:hAnsi="Arial"/>
          <w:sz w:val="16"/>
          <w:szCs w:val="16"/>
          <w:i w:val="1"/>
          <w:iCs w:val="1"/>
          <w:color w:val="auto"/>
        </w:rPr>
        <w:t>New Accounting Standards</w:t>
      </w:r>
      <w:r>
        <w:rPr>
          <w:rFonts w:ascii="Arial" w:cs="Arial" w:eastAsia="Arial" w:hAnsi="Arial"/>
          <w:sz w:val="16"/>
          <w:szCs w:val="16"/>
          <w:color w:val="auto"/>
        </w:rPr>
        <w:t>), amortization of goodwill and workforce ceased. Identifiable intangibles continue to be amortized on a straight-line basis over a life of 10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value of goodwill and identifiable intangibles comprised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i w:val="1"/>
                <w:iCs w:val="1"/>
                <w:color w:val="auto"/>
              </w:rPr>
              <w:t>(Stated in billions)</w:t>
            </w:r>
          </w:p>
        </w:tc>
      </w:tr>
      <w:tr>
        <w:trPr>
          <w:trHeight w:val="110"/>
        </w:trPr>
        <w:tc>
          <w:tcPr>
            <w:tcW w:w="3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(including expenses)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Purchase accounting adjustments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0.34</w:t>
            </w: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tangible assets acquired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(0.30)</w:t>
            </w:r>
          </w:p>
        </w:tc>
      </w:tr>
      <w:tr>
        <w:trPr>
          <w:trHeight w:val="108"/>
        </w:trPr>
        <w:tc>
          <w:tcPr>
            <w:tcW w:w="3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3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3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r>
      <w:tr>
        <w:trPr>
          <w:trHeight w:val="129"/>
        </w:trPr>
        <w:tc>
          <w:tcPr>
            <w:tcW w:w="33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-27305</wp:posOffset>
            </wp:positionV>
            <wp:extent cx="3302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pacing w:after="0" w:line="22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All remaining severance was paid in 2002.</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to $14.3 billion and consolidated net income would have decreased by approximately $140 million, to $382 million, related primarily to increased interest expense, amortization of intangibles and lower interest income. On a proforma basis, Schlumberger 2000 operating revenue and net income would have been $12 billion and $300 million, respectively.</w:t>
      </w:r>
    </w:p>
    <w:p>
      <w:pPr>
        <w:spacing w:after="0" w:line="10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Sema is an IT services company (with approximately 22,000 employees at the date of acquisition)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Divestitures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2002, Schlumberger divested the following businesses:</w:t>
      </w:r>
    </w:p>
    <w:p>
      <w:pPr>
        <w:spacing w:after="0" w:line="77" w:lineRule="exact"/>
        <w:rPr>
          <w:sz w:val="20"/>
          <w:szCs w:val="20"/>
          <w:color w:val="auto"/>
        </w:rPr>
      </w:pPr>
    </w:p>
    <w:p>
      <w:pPr>
        <w:jc w:val="both"/>
        <w:ind w:left="760" w:right="100" w:hanging="306"/>
        <w:spacing w:after="0" w:line="223" w:lineRule="auto"/>
        <w:tabs>
          <w:tab w:leader="none" w:pos="76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 xml:space="preserve">In December, the Reed Hycalog drillbits business. The proceeds included $259 million in cash and 9.7 million shares of Grant Prideco common stock with a value of $103 million. The after tax gain was $66 million. The divestiture of Reed Hycalog has been accounted for in </w:t>
      </w:r>
      <w:r>
        <w:rPr>
          <w:rFonts w:ascii="Arial" w:cs="Arial" w:eastAsia="Arial" w:hAnsi="Arial"/>
          <w:sz w:val="16"/>
          <w:szCs w:val="16"/>
          <w:i w:val="1"/>
          <w:iCs w:val="1"/>
          <w:color w:val="auto"/>
        </w:rPr>
        <w:t>Discontinued Operations</w:t>
      </w:r>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During 2001, Schlumberger divested the following businesses:</w:t>
      </w:r>
    </w:p>
    <w:p>
      <w:pPr>
        <w:spacing w:after="0" w:line="77" w:lineRule="exact"/>
        <w:rPr>
          <w:sz w:val="20"/>
          <w:szCs w:val="20"/>
          <w:color w:val="auto"/>
        </w:rPr>
      </w:pPr>
    </w:p>
    <w:p>
      <w:pPr>
        <w:ind w:left="760" w:right="200" w:hanging="306"/>
        <w:spacing w:after="0" w:line="227" w:lineRule="auto"/>
        <w:tabs>
          <w:tab w:leader="none" w:pos="760" w:val="left"/>
        </w:tabs>
        <w:numPr>
          <w:ilvl w:val="0"/>
          <w:numId w:val="14"/>
        </w:numPr>
        <w:rPr>
          <w:rFonts w:ascii="Arial" w:cs="Arial" w:eastAsia="Arial" w:hAnsi="Arial"/>
          <w:sz w:val="26"/>
          <w:szCs w:val="26"/>
          <w:color w:val="auto"/>
          <w:vertAlign w:val="superscript"/>
        </w:rPr>
      </w:pPr>
      <w:r>
        <w:rPr>
          <w:rFonts w:ascii="Arial" w:cs="Arial" w:eastAsia="Arial" w:hAnsi="Arial"/>
          <w:sz w:val="17"/>
          <w:szCs w:val="17"/>
          <w:color w:val="auto"/>
        </w:rPr>
        <w:t>In August, the Oilfield Services worldwide gas compression activity primarily consisting of the Production Operators Corp. subsidiary. The proceeds included $274 million in cash, a $150 million long-term subordinated note and newly issued Hanover Compressor Company shares with a value of $173 million. The shares have a three year marketability restriction. The after-tax gain was $52 million.</w:t>
      </w:r>
    </w:p>
    <w:p>
      <w:pPr>
        <w:spacing w:after="0" w:line="63" w:lineRule="exact"/>
        <w:rPr>
          <w:rFonts w:ascii="Arial" w:cs="Arial" w:eastAsia="Arial" w:hAnsi="Arial"/>
          <w:sz w:val="26"/>
          <w:szCs w:val="26"/>
          <w:color w:val="auto"/>
          <w:vertAlign w:val="superscript"/>
        </w:rPr>
      </w:pPr>
    </w:p>
    <w:p>
      <w:pPr>
        <w:ind w:left="760" w:right="200" w:hanging="306"/>
        <w:spacing w:after="0" w:line="203" w:lineRule="auto"/>
        <w:tabs>
          <w:tab w:leader="none" w:pos="76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In November, the Resource Management Services North American water metering activities. Cash proceeds were $304 million and the after-tax gain was $117 million.</w:t>
      </w:r>
    </w:p>
    <w:p>
      <w:pPr>
        <w:spacing w:after="0" w:line="62" w:lineRule="exact"/>
        <w:rPr>
          <w:rFonts w:ascii="Arial" w:cs="Arial" w:eastAsia="Arial" w:hAnsi="Arial"/>
          <w:sz w:val="27"/>
          <w:szCs w:val="27"/>
          <w:color w:val="auto"/>
          <w:vertAlign w:val="superscript"/>
        </w:rPr>
      </w:pPr>
    </w:p>
    <w:p>
      <w:pPr>
        <w:ind w:left="760" w:right="100" w:hanging="306"/>
        <w:spacing w:after="0" w:line="216" w:lineRule="auto"/>
        <w:tabs>
          <w:tab w:leader="none" w:pos="76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In November, the Resource Management Services non-North American electricity and water meter, and worldwide gas meter businesses. The net cash proceeds were $256 million and the after-tax loss was $300 million, of which $280 million had been recorded as an impairment charge in June (See </w:t>
      </w:r>
      <w:r>
        <w:rPr>
          <w:rFonts w:ascii="Arial" w:cs="Arial" w:eastAsia="Arial" w:hAnsi="Arial"/>
          <w:sz w:val="18"/>
          <w:szCs w:val="18"/>
          <w:i w:val="1"/>
          <w:iCs w:val="1"/>
          <w:color w:val="auto"/>
        </w:rPr>
        <w:t>Charges-Continuing Operations</w:t>
      </w:r>
      <w:r>
        <w:rPr>
          <w:rFonts w:ascii="Arial" w:cs="Arial" w:eastAsia="Arial" w:hAnsi="Arial"/>
          <w:sz w:val="18"/>
          <w:szCs w:val="18"/>
          <w:color w:val="auto"/>
        </w:rPr>
        <w:t>).</w:t>
      </w:r>
    </w:p>
    <w:p>
      <w:pPr>
        <w:spacing w:after="0" w:line="63" w:lineRule="exact"/>
        <w:rPr>
          <w:rFonts w:ascii="Arial" w:cs="Arial" w:eastAsia="Arial" w:hAnsi="Arial"/>
          <w:sz w:val="27"/>
          <w:szCs w:val="27"/>
          <w:color w:val="auto"/>
          <w:vertAlign w:val="superscript"/>
        </w:rPr>
      </w:pPr>
    </w:p>
    <w:p>
      <w:pPr>
        <w:ind w:left="760" w:right="260" w:hanging="306"/>
        <w:spacing w:after="0" w:line="203" w:lineRule="auto"/>
        <w:tabs>
          <w:tab w:leader="none" w:pos="76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In November, the Yield Enhancement Systems division of Semiconductor Solutions. Cash proceeds were $62 million and the after-tax gain was $12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Major Contractual Commitments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Payment Period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82"/>
              <w:spacing w:after="0"/>
              <w:rPr>
                <w:sz w:val="20"/>
                <w:szCs w:val="20"/>
                <w:color w:val="auto"/>
              </w:rPr>
            </w:pPr>
            <w:r>
              <w:rPr>
                <w:rFonts w:ascii="Arial" w:cs="Arial" w:eastAsia="Arial" w:hAnsi="Arial"/>
                <w:sz w:val="14"/>
                <w:szCs w:val="14"/>
                <w:b w:val="1"/>
                <w:bCs w:val="1"/>
                <w:color w:val="auto"/>
              </w:rPr>
              <w:t>4-5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20"/>
                <w:szCs w:val="20"/>
                <w:color w:val="auto"/>
              </w:rPr>
            </w:pPr>
            <w:r>
              <w:rPr>
                <w:rFonts w:ascii="Arial" w:cs="Arial" w:eastAsia="Arial" w:hAnsi="Arial"/>
                <w:sz w:val="14"/>
                <w:szCs w:val="14"/>
                <w:b w:val="1"/>
                <w:bCs w:val="1"/>
                <w:color w:val="auto"/>
              </w:rPr>
              <w:t>Contractual Commitments</w:t>
            </w:r>
          </w:p>
        </w:tc>
        <w:tc>
          <w:tcPr>
            <w:tcW w:w="5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1 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c>
          <w:tcPr>
            <w:tcW w:w="400" w:type="dxa"/>
            <w:vAlign w:val="bottom"/>
          </w:tcPr>
          <w:p>
            <w:pPr>
              <w:jc w:val="right"/>
              <w:ind w:right="22"/>
              <w:spacing w:after="0"/>
              <w:rPr>
                <w:sz w:val="20"/>
                <w:szCs w:val="20"/>
                <w:color w:val="auto"/>
              </w:rPr>
            </w:pPr>
            <w:r>
              <w:rPr>
                <w:rFonts w:ascii="Arial" w:cs="Arial" w:eastAsia="Arial" w:hAnsi="Arial"/>
                <w:sz w:val="14"/>
                <w:szCs w:val="14"/>
                <w:b w:val="1"/>
                <w:bCs w:val="1"/>
                <w:color w:val="auto"/>
                <w:w w:val="76"/>
              </w:rPr>
              <w:t>years</w:t>
            </w:r>
          </w:p>
        </w:tc>
        <w:tc>
          <w:tcPr>
            <w:tcW w:w="340" w:type="dxa"/>
            <w:vAlign w:val="bottom"/>
          </w:tcPr>
          <w:p>
            <w:pPr>
              <w:spacing w:after="0"/>
              <w:rPr>
                <w:sz w:val="15"/>
                <w:szCs w:val="15"/>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95"/>
        </w:trPr>
        <w:tc>
          <w:tcPr>
            <w:tcW w:w="200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6020" w:type="dxa"/>
            <w:vAlign w:val="bottom"/>
            <w:gridSpan w:val="2"/>
            <w:shd w:val="clear" w:color="auto" w:fill="CCEEFF"/>
          </w:tcPr>
          <w:p>
            <w:pPr>
              <w:jc w:val="center"/>
              <w:ind w:left="5432"/>
              <w:spacing w:after="0"/>
              <w:rPr>
                <w:sz w:val="20"/>
                <w:szCs w:val="20"/>
                <w:color w:val="auto"/>
              </w:rPr>
            </w:pPr>
            <w:r>
              <w:rPr>
                <w:rFonts w:ascii="Arial" w:cs="Arial" w:eastAsia="Arial" w:hAnsi="Arial"/>
                <w:sz w:val="18"/>
                <w:szCs w:val="18"/>
                <w:color w:val="auto"/>
                <w:w w:val="90"/>
              </w:rPr>
              <w:t>$6,481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6020" w:type="dxa"/>
            <w:vAlign w:val="bottom"/>
            <w:gridSpan w:val="2"/>
          </w:tcPr>
          <w:p>
            <w:pPr>
              <w:jc w:val="center"/>
              <w:ind w:left="5432"/>
              <w:spacing w:after="0"/>
              <w:rPr>
                <w:sz w:val="20"/>
                <w:szCs w:val="20"/>
                <w:color w:val="auto"/>
              </w:rPr>
            </w:pPr>
            <w:r>
              <w:rPr>
                <w:rFonts w:ascii="Arial" w:cs="Arial" w:eastAsia="Arial" w:hAnsi="Arial"/>
                <w:sz w:val="18"/>
                <w:szCs w:val="18"/>
                <w:color w:val="auto"/>
                <w:w w:val="90"/>
              </w:rPr>
              <w:t>$1,278</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credit/guarantees outstanding aggregated $771 million at December 31, 2002.</w:t>
      </w:r>
    </w:p>
    <w:p>
      <w:pPr>
        <w:spacing w:after="0" w:line="158"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In general, the remaining amount of letters of credit/guarantees relate to business performance bonds, custom/excise tax commitments, facility lease/rental obligations, etc. All such were entered into in the ordinary course of business and are customary practices in the various countries where Schlumberger operates.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Market Prices and Dividends Declared per Share</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Quarterly high and low prices for Schlumberger common stock as reported by the New York Stock Exchange (composite transactions), together with dividends declared per share in each quarter of 2002 and 2001,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Price Range</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High</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QUARTERS</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First</w:t>
            </w:r>
          </w:p>
        </w:tc>
        <w:tc>
          <w:tcPr>
            <w:tcW w:w="3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62.430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49.150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80"/>
              <w:spacing w:after="0"/>
              <w:rPr>
                <w:sz w:val="20"/>
                <w:szCs w:val="20"/>
                <w:color w:val="auto"/>
              </w:rPr>
            </w:pPr>
            <w:r>
              <w:rPr>
                <w:rFonts w:ascii="Arial" w:cs="Arial" w:eastAsia="Arial" w:hAnsi="Arial"/>
                <w:sz w:val="18"/>
                <w:szCs w:val="18"/>
                <w:color w:val="auto"/>
              </w:rPr>
              <w:t>Second</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59.890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46.300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Third</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47.400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35.870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ind w:left="280"/>
              <w:spacing w:after="0"/>
              <w:rPr>
                <w:sz w:val="20"/>
                <w:szCs w:val="20"/>
                <w:color w:val="auto"/>
              </w:rPr>
            </w:pPr>
            <w:r>
              <w:rPr>
                <w:rFonts w:ascii="Arial" w:cs="Arial" w:eastAsia="Arial" w:hAnsi="Arial"/>
                <w:sz w:val="18"/>
                <w:szCs w:val="18"/>
                <w:color w:val="auto"/>
              </w:rPr>
              <w:t>Fourth</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46.850</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33.400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0.1875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QUARTERS</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First</w:t>
            </w:r>
          </w:p>
        </w:tc>
        <w:tc>
          <w:tcPr>
            <w:tcW w:w="3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82.810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80"/>
              <w:spacing w:after="0"/>
              <w:rPr>
                <w:sz w:val="20"/>
                <w:szCs w:val="20"/>
                <w:color w:val="auto"/>
              </w:rPr>
            </w:pPr>
            <w:r>
              <w:rPr>
                <w:rFonts w:ascii="Arial" w:cs="Arial" w:eastAsia="Arial" w:hAnsi="Arial"/>
                <w:sz w:val="18"/>
                <w:szCs w:val="18"/>
                <w:color w:val="auto"/>
              </w:rPr>
              <w:t>Second</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69.250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51.150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Third</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56.900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280"/>
              <w:spacing w:after="0"/>
              <w:rPr>
                <w:sz w:val="20"/>
                <w:szCs w:val="20"/>
                <w:color w:val="auto"/>
              </w:rPr>
            </w:pPr>
            <w:r>
              <w:rPr>
                <w:rFonts w:ascii="Arial" w:cs="Arial" w:eastAsia="Arial" w:hAnsi="Arial"/>
                <w:sz w:val="18"/>
                <w:szCs w:val="18"/>
                <w:color w:val="auto"/>
              </w:rPr>
              <w:t>Fourth</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56.750</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42.050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0.1875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The number of holders of record of Schlumberger common stock at December 31, 2002, was approximately 24,825. There are no legal restrictions on the payment of dividends or ownership or voting of such shares, except as to shares held in the Schlumberger Treasury. US stockholders are not subject to any Netherlands Antilles withholding or other Netherlands Antilles taxes attributable to ownership of such shares.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June 2001,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were issued. SFAS 141 was adopted by Schlumberger for acquisitions subsequent to June 30, 2001. SFAS 142 was adopted by Schlumberger commencing January 1, 2002. As required by SFAS 142, Schlumberger undertook an initial review of goodwill impairment in the first quarter of 2002 and completed an “event driven” review in the fourth quarter of 2002. The findings of the independent valuation indicated there was an impairment write down of $2.6 billion which was approved by the Board of Directors in December 2002 in conjunction with the approval of the new strategic plan for SchlumbergerSema.</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Amortization of goodwill and workforce ceased with effect from January 1, 2002. Assembled workforce, net of deferred taxes, of $175 million was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goodwill and other intangibles included in Schlumberger’s results are as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8"/>
              </w:rPr>
              <w:t>Pretax</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9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2002</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2001</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Workforce</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-27305</wp:posOffset>
            </wp:positionV>
            <wp:extent cx="29591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-27305</wp:posOffset>
            </wp:positionV>
            <wp:extent cx="30416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-27305</wp:posOffset>
            </wp:positionV>
            <wp:extent cx="31305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 June 2001, 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was issued. SFAS 143 will be adopted by Schlumberger commencing January 1, 2003.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Schlumberger does not believe that the implementation of this standard will have any material effect on its financial position or results of operations.</w:t>
      </w:r>
    </w:p>
    <w:p>
      <w:pPr>
        <w:spacing w:after="0" w:line="1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August 2001, SFAS 144 (</w:t>
      </w:r>
      <w:r>
        <w:rPr>
          <w:rFonts w:ascii="Arial" w:cs="Arial" w:eastAsia="Arial" w:hAnsi="Arial"/>
          <w:sz w:val="18"/>
          <w:szCs w:val="18"/>
          <w:i w:val="1"/>
          <w:iCs w:val="1"/>
          <w:color w:val="auto"/>
        </w:rPr>
        <w:t>Accounting for Impairment or Disposal of Long-Lived Assets</w:t>
      </w:r>
      <w:r>
        <w:rPr>
          <w:rFonts w:ascii="Arial" w:cs="Arial" w:eastAsia="Arial" w:hAnsi="Arial"/>
          <w:sz w:val="18"/>
          <w:szCs w:val="18"/>
          <w:color w:val="auto"/>
        </w:rPr>
        <w:t>) was issued. SFAS 144 was adopted by Schlumberger commencing January 1, 2002 and did not have a material effect on its financial position or results of operations.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January 1, 2002, Schlumberger adopted the FASB EITF Abstract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Prior year revenue has been restated to include reimbursable costs billed to customers which had been classified as a contra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now must be classified as revenue. The reclassification was only required in the Oilfield Services (OFS) segment as the SchlumbergerSema segment was already in compliance with the new standard. OFS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increased in 2001 by $557 million and in 2000 by $416 million. There was no effect on cash flow or net income.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July 29,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replaced Issue 94-3. Schlumberger will apply SFAS 146 prospectively to exit or disposal activities initiated after December 31, 2002.</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statement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on a prospective basis for guarantees issued or modified after December 31, 2002. Schlumberger does not believe that the implementation of this statement will have a material effect on its financial position or results of operations.</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January 2003, the Emerging Issues Task Force (EITF) issued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Schlumberger is in the process of determining if this pronouncement will have a material impact on its financial position or results of operations.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10-K report, the fourth quarter and full year 2002 earnings release, associated web-based publications and other statements we make contain forward looking statements, which include any statements that are not historical facts, such as our expectations regarding business outlook, economic recovery, improvements in liquidity, expected capex, multi-client and depreciation and amortization expenditures, the funding of pension plans and related pension expense, the timing and likelihood of NPTest’s initial public offering, conditions in the oilfield service business, including activity levels during 2003, production increases in non-OPEC areas, issues affecting the seismic industry, continued deepwater drilling activity, benefits from contract awards, future results of operations, pricing, future effective tax rates, the realization of cost reduction and savings in SchlumbergerSema and expectations regarding the future business and performance of SchlumbergerSema resulting from the updated strategy and business realignment. These statements involve risks and uncertainties, including, but not limited to, the extent and timing of a rebound in the global economy; changes in exploration and production spending by major oil companies; recovery of activity levels; improved pricing and realization of cost reduction and cost savings targets associated with the seismic business; continuing customer commitment to certain key oilfield projects; general economic and business conditions in key regions of the world, including Argentina and political and economic uncertainty in Venezuela and further socio-political unrest in the Gulf and/or Asia; changes in business strategy for SchlumbergerSema businesses including the expected growth of Schlumberger IT Consulting and Systems Integration Services and Network and Infrastructure Solutions in the global energy sector; continuing customer commitment to key long-term services and solutions contracts in our SchlumbergerSema businesses; a reversal of the weak IT environment and a significant increase in IT spending; the extent and timing of a recovery in the telecommunications industry; continued growth in the demand for smart cards and related products; Schlumberger’s ability to meet its identified liquidity projections, including the generation of sufficient cash flow from oilfield operating results and the successful completion of certain business divestitures; the adoption and effect of new accounting standards; potential contributions to pension plans and other factors detailed in our fourth quarter and full year 2002 earnings release; and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6"/>
          <w:szCs w:val="16"/>
          <w:b w:val="1"/>
          <w:bCs w:val="1"/>
          <w:u w:val="single" w:color="auto"/>
          <w:color w:val="auto"/>
        </w:rPr>
        <w:t>Quantitative &amp; Qualitative Disclosures about Market Risk</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99"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Schlumberger Oilfield Services has operations in Venezuela which represented about 4% of the 2002 Oilfield Services operating revenue. In light of the present labor unrest in Venezuela, Schlumberger is reviewing its potential currency and business exposure, and taking appropriate steps to minimize the risks. While the ultimate loss is not determinable at this time, such loss will not have a significant effect on Schlumberger’s consolidated financial position or liquidity.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5"/>
          <w:szCs w:val="15"/>
          <w:b w:val="1"/>
          <w:bCs w:val="1"/>
          <w:u w:val="single" w:color="auto"/>
          <w:color w:val="auto"/>
        </w:rPr>
        <w:t>Financial Statements and Supplementary Data</w:t>
      </w:r>
    </w:p>
    <w:p>
      <w:pPr>
        <w:spacing w:after="0" w:line="8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164" w:lineRule="exact"/>
        <w:rPr>
          <w:sz w:val="20"/>
          <w:szCs w:val="20"/>
          <w:color w:val="auto"/>
        </w:rPr>
      </w:pPr>
    </w:p>
    <w:p>
      <w:pPr>
        <w:ind w:left="8100"/>
        <w:spacing w:after="0"/>
        <w:rPr>
          <w:sz w:val="20"/>
          <w:szCs w:val="20"/>
          <w:color w:val="auto"/>
        </w:rPr>
      </w:pPr>
      <w:r>
        <w:rPr>
          <w:rFonts w:ascii="Arial" w:cs="Arial" w:eastAsia="Arial" w:hAnsi="Arial"/>
          <w:sz w:val="15"/>
          <w:szCs w:val="15"/>
          <w:i w:val="1"/>
          <w:iCs w:val="1"/>
          <w:color w:val="auto"/>
        </w:rPr>
        <w:t>(Stated in thousands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980" w:type="dxa"/>
            <w:vAlign w:val="bottom"/>
            <w:tcBorders>
              <w:bottom w:val="single" w:sz="8" w:color="auto"/>
            </w:tcBorders>
          </w:tcPr>
          <w:p>
            <w:pPr>
              <w:spacing w:after="0"/>
              <w:rPr>
                <w:sz w:val="7"/>
                <w:szCs w:val="7"/>
                <w:color w:val="auto"/>
              </w:rPr>
            </w:pPr>
          </w:p>
        </w:tc>
        <w:tc>
          <w:tcPr>
            <w:tcW w:w="58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13,473,662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14,058,366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9,831,472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13,612,730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14,300,624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10,254,727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Cost of goods sold and services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13,759,257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11,014,923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7,779,578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650,038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401,384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446,621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664,364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367,973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384,896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15,843,016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13,227,557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9,318,099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Income (Loss) from continuing operations before taxes and minority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(2,230,286)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1,073,067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279,122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553,887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(2,509,408)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91,879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(28,545)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Income (Loss) from Continuing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(2,417,529)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gridSpan w:val="2"/>
          </w:tcPr>
          <w:p>
            <w:pPr>
              <w:ind w:left="20"/>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97,534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(2,319,995)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9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Add back amortization of goodwill</w:t>
            </w: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Adjusted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9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Add back amortization of goodwill</w:t>
            </w: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Adjusted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9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578,588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578,588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580,214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-2933700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-2933700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-2933700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-2933700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-2933700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-2933700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-2933700</wp:posOffset>
            </wp:positionV>
            <wp:extent cx="59563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-1656080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-1656080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-1656080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-1656080</wp:posOffset>
            </wp:positionV>
            <wp:extent cx="142748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2748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-377825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-377825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-377825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-377825</wp:posOffset>
            </wp:positionV>
            <wp:extent cx="60452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-377825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-377825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-377825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9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i w:val="1"/>
                <w:iCs w:val="1"/>
                <w:color w:val="auto"/>
                <w:w w:val="99"/>
              </w:rPr>
              <w:t>(Stated in thousands)</w:t>
            </w:r>
          </w:p>
        </w:tc>
      </w:tr>
      <w:tr>
        <w:trPr>
          <w:trHeight w:val="272"/>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10" w:type="dxa"/>
            <w:vAlign w:val="bottom"/>
          </w:tcPr>
          <w:p>
            <w:pPr>
              <w:spacing w:after="0"/>
              <w:rPr>
                <w:sz w:val="23"/>
                <w:szCs w:val="23"/>
                <w:color w:val="auto"/>
              </w:rPr>
            </w:pPr>
          </w:p>
        </w:tc>
        <w:tc>
          <w:tcPr>
            <w:tcW w:w="990" w:type="dxa"/>
            <w:vAlign w:val="bottom"/>
          </w:tcPr>
          <w:p>
            <w:pPr>
              <w:jc w:val="right"/>
              <w:ind w:right="33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r>
      <w:tr>
        <w:trPr>
          <w:trHeight w:val="95"/>
        </w:trPr>
        <w:tc>
          <w:tcPr>
            <w:tcW w:w="104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Current Assets</w:t>
            </w:r>
          </w:p>
        </w:tc>
        <w:tc>
          <w:tcPr>
            <w:tcW w:w="11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168,110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1,567,906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1,439,997</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 less allowance for doubtful accounts(2002—$172,871; 2001—$145,268)</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3,489,406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4,028,450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1,043,057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1,204,263</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435,887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321,767</w:t>
            </w:r>
          </w:p>
        </w:tc>
        <w:tc>
          <w:tcPr>
            <w:tcW w:w="100" w:type="dxa"/>
            <w:vAlign w:val="bottom"/>
            <w:shd w:val="clear" w:color="auto" w:fill="CCEEFF"/>
          </w:tcPr>
          <w:p>
            <w:pPr>
              <w:spacing w:after="0"/>
              <w:rPr>
                <w:sz w:val="18"/>
                <w:szCs w:val="18"/>
                <w:color w:val="auto"/>
              </w:rPr>
            </w:pPr>
          </w:p>
        </w:tc>
      </w:tr>
      <w:tr>
        <w:trPr>
          <w:trHeight w:val="228"/>
        </w:trPr>
        <w:tc>
          <w:tcPr>
            <w:tcW w:w="832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1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481,074</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532,709</w:t>
            </w:r>
          </w:p>
        </w:tc>
        <w:tc>
          <w:tcPr>
            <w:tcW w:w="100" w:type="dxa"/>
            <w:vAlign w:val="bottom"/>
          </w:tcPr>
          <w:p>
            <w:pPr>
              <w:spacing w:after="0"/>
              <w:rPr>
                <w:sz w:val="19"/>
                <w:szCs w:val="19"/>
                <w:color w:val="auto"/>
              </w:rPr>
            </w:pPr>
          </w:p>
        </w:tc>
      </w:tr>
      <w:tr>
        <w:trPr>
          <w:trHeight w:val="96"/>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7,185,440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7,704,890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Fixed Income Investments, held to maturity</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407,500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576,000</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Investments in Affiliated Companies</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687,524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648,183</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Fixed Assets less accumulated depreciation</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4,663,756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4,827,879</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Multiclient Seismic Data</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1,018,483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1,028,954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Goodwill</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4,229,993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6,260,969</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Intangible Assets</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558,664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811,349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Deferred Taxes</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147,013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126,057</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Other Assets</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536,822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342,086</w:t>
            </w:r>
          </w:p>
        </w:tc>
        <w:tc>
          <w:tcPr>
            <w:tcW w:w="100" w:type="dxa"/>
            <w:vAlign w:val="bottom"/>
            <w:shd w:val="clear" w:color="auto" w:fill="CCEEFF"/>
          </w:tcPr>
          <w:p>
            <w:pPr>
              <w:spacing w:after="0"/>
              <w:rPr>
                <w:sz w:val="18"/>
                <w:szCs w:val="18"/>
                <w:color w:val="auto"/>
              </w:rPr>
            </w:pPr>
          </w:p>
        </w:tc>
      </w:tr>
      <w:tr>
        <w:trPr>
          <w:trHeight w:val="108"/>
        </w:trPr>
        <w:tc>
          <w:tcPr>
            <w:tcW w:w="10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19,435,195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22,326,367</w:t>
            </w:r>
          </w:p>
        </w:tc>
        <w:tc>
          <w:tcPr>
            <w:tcW w:w="100" w:type="dxa"/>
            <w:vAlign w:val="bottom"/>
            <w:shd w:val="clear" w:color="auto" w:fill="CCEEFF"/>
          </w:tcPr>
          <w:p>
            <w:pPr>
              <w:spacing w:after="0"/>
              <w:rPr>
                <w:sz w:val="18"/>
                <w:szCs w:val="18"/>
                <w:color w:val="auto"/>
              </w:rPr>
            </w:pPr>
          </w:p>
        </w:tc>
      </w:tr>
      <w:tr>
        <w:trPr>
          <w:trHeight w:val="132"/>
        </w:trPr>
        <w:tc>
          <w:tcPr>
            <w:tcW w:w="104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10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9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1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4,580,762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4,506,634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625,058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587,328</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 payable</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109,565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108,642</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340"/>
              <w:spacing w:after="0"/>
              <w:rPr>
                <w:sz w:val="20"/>
                <w:szCs w:val="20"/>
                <w:color w:val="auto"/>
              </w:rPr>
            </w:pPr>
            <w:r>
              <w:rPr>
                <w:rFonts w:ascii="Arial" w:cs="Arial" w:eastAsia="Arial" w:hAnsi="Arial"/>
                <w:sz w:val="18"/>
                <w:szCs w:val="18"/>
                <w:color w:val="auto"/>
              </w:rPr>
              <w:t>Long-term debt—current portion</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452,577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31,990</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Bank &amp; short-term loans</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682,956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983,191</w:t>
            </w:r>
          </w:p>
        </w:tc>
        <w:tc>
          <w:tcPr>
            <w:tcW w:w="100" w:type="dxa"/>
            <w:vAlign w:val="bottom"/>
            <w:shd w:val="clear" w:color="auto" w:fill="CCEEFF"/>
          </w:tcPr>
          <w:p>
            <w:pPr>
              <w:spacing w:after="0"/>
              <w:rPr>
                <w:sz w:val="18"/>
                <w:szCs w:val="18"/>
                <w:color w:val="auto"/>
              </w:rPr>
            </w:pPr>
          </w:p>
        </w:tc>
      </w:tr>
      <w:tr>
        <w:trPr>
          <w:trHeight w:val="108"/>
        </w:trPr>
        <w:tc>
          <w:tcPr>
            <w:tcW w:w="10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6,450,918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6,217,785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Long-term Debt</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6,028,549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6,215,709</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Postretirement Benefits</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544,456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504,797</w:t>
            </w:r>
          </w:p>
        </w:tc>
        <w:tc>
          <w:tcPr>
            <w:tcW w:w="100" w:type="dxa"/>
            <w:vAlign w:val="bottom"/>
            <w:shd w:val="clear" w:color="auto" w:fill="CCEEFF"/>
          </w:tcPr>
          <w:p>
            <w:pPr>
              <w:spacing w:after="0"/>
              <w:rPr>
                <w:sz w:val="18"/>
                <w:szCs w:val="18"/>
                <w:color w:val="auto"/>
              </w:rPr>
            </w:pPr>
          </w:p>
        </w:tc>
      </w:tr>
      <w:tr>
        <w:trPr>
          <w:trHeight w:val="228"/>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Other Liabilities</w:t>
            </w:r>
          </w:p>
        </w:tc>
        <w:tc>
          <w:tcPr>
            <w:tcW w:w="11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251,607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372,696</w:t>
            </w:r>
          </w:p>
        </w:tc>
        <w:tc>
          <w:tcPr>
            <w:tcW w:w="100" w:type="dxa"/>
            <w:vAlign w:val="bottom"/>
          </w:tcPr>
          <w:p>
            <w:pPr>
              <w:spacing w:after="0"/>
              <w:rPr>
                <w:sz w:val="19"/>
                <w:szCs w:val="19"/>
                <w:color w:val="auto"/>
              </w:rPr>
            </w:pPr>
          </w:p>
        </w:tc>
      </w:tr>
      <w:tr>
        <w:trPr>
          <w:trHeight w:val="96"/>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13,275,530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13,310,987</w:t>
            </w:r>
          </w:p>
        </w:tc>
        <w:tc>
          <w:tcPr>
            <w:tcW w:w="100" w:type="dxa"/>
            <w:vAlign w:val="bottom"/>
            <w:shd w:val="clear" w:color="auto" w:fill="CCEEFF"/>
          </w:tcPr>
          <w:p>
            <w:pPr>
              <w:spacing w:after="0"/>
              <w:rPr>
                <w:sz w:val="18"/>
                <w:szCs w:val="18"/>
                <w:color w:val="auto"/>
              </w:rPr>
            </w:pPr>
          </w:p>
        </w:tc>
      </w:tr>
      <w:tr>
        <w:trPr>
          <w:trHeight w:val="108"/>
        </w:trPr>
        <w:tc>
          <w:tcPr>
            <w:tcW w:w="10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Minority Interest</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553,527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636,899</w:t>
            </w:r>
          </w:p>
        </w:tc>
        <w:tc>
          <w:tcPr>
            <w:tcW w:w="100" w:type="dxa"/>
            <w:vAlign w:val="bottom"/>
            <w:shd w:val="clear" w:color="auto" w:fill="CCEEFF"/>
          </w:tcPr>
          <w:p>
            <w:pPr>
              <w:spacing w:after="0"/>
              <w:rPr>
                <w:sz w:val="18"/>
                <w:szCs w:val="18"/>
                <w:color w:val="auto"/>
              </w:rPr>
            </w:pPr>
          </w:p>
        </w:tc>
      </w:tr>
      <w:tr>
        <w:trPr>
          <w:trHeight w:val="108"/>
        </w:trPr>
        <w:tc>
          <w:tcPr>
            <w:tcW w:w="10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10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Stockholders’ Equity</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2,170,965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2,045,437</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retained for use in the business</w:t>
            </w:r>
          </w:p>
        </w:tc>
        <w:tc>
          <w:tcPr>
            <w:tcW w:w="11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5,560,712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8,314,766</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340"/>
              <w:spacing w:after="0"/>
              <w:rPr>
                <w:sz w:val="20"/>
                <w:szCs w:val="20"/>
                <w:color w:val="auto"/>
              </w:rPr>
            </w:pPr>
            <w:r>
              <w:rPr>
                <w:rFonts w:ascii="Arial" w:cs="Arial" w:eastAsia="Arial" w:hAnsi="Arial"/>
                <w:sz w:val="18"/>
                <w:szCs w:val="18"/>
                <w:color w:val="auto"/>
              </w:rPr>
              <w:t>Treasury stock at cost</w:t>
            </w:r>
          </w:p>
        </w:tc>
        <w:tc>
          <w:tcPr>
            <w:tcW w:w="110" w:type="dxa"/>
            <w:vAlign w:val="bottom"/>
          </w:tcPr>
          <w:p>
            <w:pPr>
              <w:spacing w:after="0"/>
              <w:rPr>
                <w:sz w:val="18"/>
                <w:szCs w:val="18"/>
                <w:color w:val="auto"/>
              </w:rPr>
            </w:pPr>
          </w:p>
        </w:tc>
        <w:tc>
          <w:tcPr>
            <w:tcW w:w="127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(1,578,358)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(1,694,884)</w:t>
            </w:r>
          </w:p>
        </w:tc>
      </w:tr>
      <w:tr>
        <w:trPr>
          <w:trHeight w:val="216"/>
        </w:trPr>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1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(547,181)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(286,838)</w:t>
            </w:r>
          </w:p>
        </w:tc>
      </w:tr>
      <w:tr>
        <w:trPr>
          <w:trHeight w:val="108"/>
        </w:trPr>
        <w:tc>
          <w:tcPr>
            <w:tcW w:w="10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-3225800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-3225800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-3225800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-3225800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-3225800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-3225800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4" w:lineRule="exact"/>
        <w:rPr>
          <w:sz w:val="20"/>
          <w:szCs w:val="20"/>
          <w:color w:val="auto"/>
        </w:rPr>
      </w:pPr>
    </w:p>
    <w:p>
      <w:pPr>
        <w:jc w:val="right"/>
        <w:ind w:right="78"/>
        <w:spacing w:after="0"/>
        <w:rPr>
          <w:sz w:val="20"/>
          <w:szCs w:val="20"/>
          <w:color w:val="auto"/>
        </w:rPr>
      </w:pPr>
      <w:r>
        <w:rPr>
          <w:rFonts w:ascii="Arial" w:cs="Arial" w:eastAsia="Arial" w:hAnsi="Arial"/>
          <w:sz w:val="18"/>
          <w:szCs w:val="18"/>
          <w:b w:val="1"/>
          <w:bCs w:val="1"/>
          <w:color w:val="auto"/>
        </w:rPr>
        <w:t>5,606,138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83820</wp:posOffset>
            </wp:positionV>
            <wp:extent cx="694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19" w:lineRule="exact"/>
        <w:rPr>
          <w:sz w:val="20"/>
          <w:szCs w:val="20"/>
          <w:color w:val="auto"/>
        </w:rPr>
      </w:pPr>
    </w:p>
    <w:p>
      <w:pPr>
        <w:ind w:left="8640" w:hanging="313"/>
        <w:spacing w:after="0"/>
        <w:tabs>
          <w:tab w:leader="none" w:pos="864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19,435,195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103505</wp:posOffset>
            </wp:positionV>
            <wp:extent cx="7245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53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8,378,481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029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19" w:lineRule="exact"/>
        <w:rPr>
          <w:sz w:val="20"/>
          <w:szCs w:val="20"/>
          <w:color w:val="auto"/>
        </w:rPr>
      </w:pPr>
    </w:p>
    <w:p>
      <w:pPr>
        <w:ind w:left="322" w:hanging="322"/>
        <w:spacing w:after="0"/>
        <w:tabs>
          <w:tab w:leader="none" w:pos="322" w:val="left"/>
        </w:tabs>
        <w:numPr>
          <w:ilvl w:val="0"/>
          <w:numId w:val="16"/>
        </w:numPr>
        <w:rPr>
          <w:rFonts w:ascii="Arial" w:cs="Arial" w:eastAsia="Arial" w:hAnsi="Arial"/>
          <w:sz w:val="15"/>
          <w:szCs w:val="15"/>
          <w:color w:val="auto"/>
        </w:rPr>
      </w:pPr>
      <w:r>
        <w:rPr>
          <w:rFonts w:ascii="Arial" w:cs="Arial" w:eastAsia="Arial" w:hAnsi="Arial"/>
          <w:sz w:val="15"/>
          <w:szCs w:val="15"/>
          <w:color w:val="auto"/>
        </w:rPr>
        <w:t>22,326,367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99695</wp:posOffset>
            </wp:positionV>
            <wp:extent cx="7327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279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98" w:space="720"/>
            <w:col w:w="1202"/>
          </w:cols>
          <w:pgMar w:left="240" w:top="459"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See the </w:t>
      </w:r>
      <w:r>
        <w:rPr>
          <w:rFonts w:ascii="Arial" w:cs="Arial" w:eastAsia="Arial" w:hAnsi="Arial"/>
          <w:sz w:val="15"/>
          <w:szCs w:val="15"/>
          <w:i w:val="1"/>
          <w:iCs w:val="1"/>
          <w:color w:val="auto"/>
        </w:rPr>
        <w:t>Notes to Consolidated Financial Statements</w:t>
      </w:r>
    </w:p>
    <w:p>
      <w:pPr>
        <w:sectPr>
          <w:pgSz w:w="11900" w:h="16838" w:orient="portrait"/>
          <w:cols w:equalWidth="0" w:num="1">
            <w:col w:w="11420"/>
          </w:cols>
          <w:pgMar w:left="240" w:top="459" w:right="2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r>
      <w:tr>
        <w:trPr>
          <w:trHeight w:val="95"/>
        </w:trPr>
        <w:tc>
          <w:tcPr>
            <w:tcW w:w="1980" w:type="dxa"/>
            <w:vAlign w:val="bottom"/>
            <w:tcBorders>
              <w:bottom w:val="single" w:sz="8" w:color="auto"/>
            </w:tcBorders>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(2,417,529)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490,635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720,454</w:t>
            </w:r>
          </w:p>
        </w:tc>
        <w:tc>
          <w:tcPr>
            <w:tcW w:w="6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64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1,545,053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1,887,559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1,263,060</w:t>
            </w:r>
          </w:p>
        </w:tc>
        <w:tc>
          <w:tcPr>
            <w:tcW w:w="6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Non-cash charges and gains on sale of businesses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3,196,923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640"/>
              <w:spacing w:after="0"/>
              <w:rPr>
                <w:sz w:val="20"/>
                <w:szCs w:val="20"/>
                <w:color w:val="auto"/>
              </w:rPr>
            </w:pPr>
            <w:r>
              <w:rPr>
                <w:rFonts w:ascii="Arial" w:cs="Arial" w:eastAsia="Arial" w:hAnsi="Arial"/>
                <w:sz w:val="18"/>
                <w:szCs w:val="18"/>
                <w:color w:val="auto"/>
              </w:rPr>
              <w:t>Gain on sale of drilling rigs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(86,858)</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Earnings of companies carried at equity, less dividends received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(64,280)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(39,805)</w:t>
            </w:r>
          </w:p>
        </w:tc>
      </w:tr>
      <w:tr>
        <w:trPr>
          <w:trHeight w:val="216"/>
        </w:trPr>
        <w:tc>
          <w:tcPr>
            <w:tcW w:w="7940" w:type="dxa"/>
            <w:vAlign w:val="bottom"/>
            <w:gridSpan w:val="2"/>
          </w:tcPr>
          <w:p>
            <w:pPr>
              <w:ind w:left="64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(48,702)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5,257</w:t>
            </w:r>
          </w:p>
        </w:tc>
        <w:tc>
          <w:tcPr>
            <w:tcW w:w="6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32,301</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Decrease (increase) in receivables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542,669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(907,535)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(364,130)</w:t>
            </w:r>
          </w:p>
        </w:tc>
      </w:tr>
      <w:tr>
        <w:trPr>
          <w:trHeight w:val="216"/>
        </w:trPr>
        <w:tc>
          <w:tcPr>
            <w:tcW w:w="7940" w:type="dxa"/>
            <w:vAlign w:val="bottom"/>
            <w:gridSpan w:val="2"/>
          </w:tcPr>
          <w:p>
            <w:pPr>
              <w:ind w:left="640"/>
              <w:spacing w:after="0"/>
              <w:rPr>
                <w:sz w:val="20"/>
                <w:szCs w:val="20"/>
                <w:color w:val="auto"/>
              </w:rPr>
            </w:pPr>
            <w:r>
              <w:rPr>
                <w:rFonts w:ascii="Arial" w:cs="Arial" w:eastAsia="Arial" w:hAnsi="Arial"/>
                <w:sz w:val="18"/>
                <w:szCs w:val="18"/>
                <w:color w:val="auto"/>
              </w:rPr>
              <w:t>Decrease (increase) in inventories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72,383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(259,290)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(194,640)</w:t>
            </w:r>
          </w:p>
        </w:tc>
      </w:tr>
      <w:tr>
        <w:trPr>
          <w:trHeight w:val="216"/>
        </w:trPr>
        <w:tc>
          <w:tcPr>
            <w:tcW w:w="7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Decrease (increase) in other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(38,656)</w:t>
            </w:r>
          </w:p>
        </w:tc>
      </w:tr>
      <w:tr>
        <w:trPr>
          <w:trHeight w:val="216"/>
        </w:trPr>
        <w:tc>
          <w:tcPr>
            <w:tcW w:w="7940" w:type="dxa"/>
            <w:vAlign w:val="bottom"/>
            <w:gridSpan w:val="2"/>
          </w:tcPr>
          <w:p>
            <w:pPr>
              <w:ind w:left="640"/>
              <w:spacing w:after="0"/>
              <w:rPr>
                <w:sz w:val="20"/>
                <w:szCs w:val="20"/>
                <w:color w:val="auto"/>
              </w:rPr>
            </w:pPr>
            <w:r>
              <w:rPr>
                <w:rFonts w:ascii="Arial" w:cs="Arial" w:eastAsia="Arial" w:hAnsi="Arial"/>
                <w:sz w:val="18"/>
                <w:szCs w:val="18"/>
                <w:color w:val="auto"/>
              </w:rPr>
              <w:t>(Decrease) increase in accounts payable and accrued liabilities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(592,878)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204,751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493,104</w:t>
            </w:r>
          </w:p>
        </w:tc>
        <w:tc>
          <w:tcPr>
            <w:tcW w:w="6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Increase (decrease) in estimated liability for taxes on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(12,069)</w:t>
            </w:r>
          </w:p>
        </w:tc>
      </w:tr>
      <w:tr>
        <w:trPr>
          <w:trHeight w:val="216"/>
        </w:trPr>
        <w:tc>
          <w:tcPr>
            <w:tcW w:w="7940" w:type="dxa"/>
            <w:vAlign w:val="bottom"/>
            <w:gridSpan w:val="2"/>
          </w:tcPr>
          <w:p>
            <w:pPr>
              <w:ind w:left="640"/>
              <w:spacing w:after="0"/>
              <w:rPr>
                <w:sz w:val="20"/>
                <w:szCs w:val="20"/>
                <w:color w:val="auto"/>
              </w:rPr>
            </w:pPr>
            <w:r>
              <w:rPr>
                <w:rFonts w:ascii="Arial" w:cs="Arial" w:eastAsia="Arial" w:hAnsi="Arial"/>
                <w:sz w:val="18"/>
                <w:szCs w:val="18"/>
                <w:color w:val="auto"/>
              </w:rPr>
              <w:t>Increase in postretirement benefits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39,659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24,914</w:t>
            </w:r>
          </w:p>
        </w:tc>
        <w:tc>
          <w:tcPr>
            <w:tcW w:w="6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 –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(144,158)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(162,602)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(221,900)</w:t>
            </w:r>
          </w:p>
        </w:tc>
      </w:tr>
      <w:tr>
        <w:trPr>
          <w:trHeight w:val="108"/>
        </w:trPr>
        <w:tc>
          <w:tcPr>
            <w:tcW w:w="19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2,185,115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1,570,186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1,670,596</w:t>
            </w:r>
          </w:p>
        </w:tc>
        <w:tc>
          <w:tcPr>
            <w:tcW w:w="60" w:type="dxa"/>
            <w:vAlign w:val="bottom"/>
            <w:shd w:val="clear" w:color="auto" w:fill="CCEEFF"/>
          </w:tcPr>
          <w:p>
            <w:pPr>
              <w:spacing w:after="0"/>
              <w:rPr>
                <w:sz w:val="18"/>
                <w:szCs w:val="18"/>
                <w:color w:val="auto"/>
              </w:rPr>
            </w:pPr>
          </w:p>
        </w:tc>
      </w:tr>
      <w:tr>
        <w:trPr>
          <w:trHeight w:val="108"/>
        </w:trPr>
        <w:tc>
          <w:tcPr>
            <w:tcW w:w="19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Purchases of fixed assets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(1,365,996)</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(2,044,008)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(1,316,611)</w:t>
            </w: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(344,705)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(416,188)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(222,934)</w:t>
            </w: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Capitalization of intangible assets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(169,354)</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(29,782)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(28,034)</w:t>
            </w: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Sales/retirements of fixed assets &amp; 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149,494</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Acquisition of Sema plc</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(132,155)</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(4,778,498)</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business acquisitions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(44,431)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(452,951)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(1,075,446)</w:t>
            </w: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Other acquisition related payments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(70,340)</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Business divestitures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259,271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154,843</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Sale of drilling rigs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Option payment on sale of drilling rigs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8"/>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Sale (purchase) of investments, net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51,334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2,430,911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551,619</w:t>
            </w:r>
          </w:p>
        </w:tc>
        <w:tc>
          <w:tcPr>
            <w:tcW w:w="60" w:type="dxa"/>
            <w:vAlign w:val="bottom"/>
          </w:tcPr>
          <w:p>
            <w:pPr>
              <w:spacing w:after="0"/>
              <w:rPr>
                <w:sz w:val="19"/>
                <w:szCs w:val="19"/>
                <w:color w:val="auto"/>
              </w:rPr>
            </w:pPr>
          </w:p>
        </w:tc>
      </w:tr>
      <w:tr>
        <w:trPr>
          <w:trHeight w:val="96"/>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(1,420,454)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(4,356,739)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(1,787,069)</w:t>
            </w:r>
          </w:p>
        </w:tc>
      </w:tr>
      <w:tr>
        <w:trPr>
          <w:trHeight w:val="108"/>
        </w:trPr>
        <w:tc>
          <w:tcPr>
            <w:tcW w:w="19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(433,134)</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(430,328)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(426,465)</w:t>
            </w: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107,810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69,089</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67,275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160,281</w:t>
            </w:r>
          </w:p>
        </w:tc>
        <w:tc>
          <w:tcPr>
            <w:tcW w:w="6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933,709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4,815,028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956,641</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320"/>
              <w:spacing w:after="0"/>
              <w:rPr>
                <w:sz w:val="20"/>
                <w:szCs w:val="20"/>
                <w:color w:val="auto"/>
              </w:rPr>
            </w:pPr>
            <w:r>
              <w:rPr>
                <w:rFonts w:ascii="Arial" w:cs="Arial" w:eastAsia="Arial" w:hAnsi="Arial"/>
                <w:sz w:val="18"/>
                <w:szCs w:val="18"/>
                <w:color w:val="auto"/>
              </w:rPr>
              <w:t>Payments of principal on long-term debt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(1,179,321)</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(2,092,670)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(724,911)</w:t>
            </w:r>
          </w:p>
        </w:tc>
      </w:tr>
      <w:tr>
        <w:trPr>
          <w:trHeight w:val="216"/>
        </w:trPr>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(decrease) increase in short-term debt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(308,623)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113,608</w:t>
            </w:r>
          </w:p>
        </w:tc>
        <w:tc>
          <w:tcPr>
            <w:tcW w:w="60" w:type="dxa"/>
            <w:vAlign w:val="bottom"/>
            <w:shd w:val="clear" w:color="auto" w:fill="CCEEFF"/>
          </w:tcPr>
          <w:p>
            <w:pPr>
              <w:spacing w:after="0"/>
              <w:rPr>
                <w:sz w:val="18"/>
                <w:szCs w:val="18"/>
                <w:color w:val="auto"/>
              </w:rPr>
            </w:pPr>
          </w:p>
        </w:tc>
      </w:tr>
      <w:tr>
        <w:trPr>
          <w:trHeight w:val="108"/>
        </w:trPr>
        <w:tc>
          <w:tcPr>
            <w:tcW w:w="19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(812,284)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2,784,398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148,243</w:t>
            </w:r>
          </w:p>
        </w:tc>
        <w:tc>
          <w:tcPr>
            <w:tcW w:w="60" w:type="dxa"/>
            <w:vAlign w:val="bottom"/>
            <w:shd w:val="clear" w:color="auto" w:fill="CCEEFF"/>
          </w:tcPr>
          <w:p>
            <w:pPr>
              <w:spacing w:after="0"/>
              <w:rPr>
                <w:sz w:val="18"/>
                <w:szCs w:val="18"/>
                <w:color w:val="auto"/>
              </w:rPr>
            </w:pPr>
          </w:p>
        </w:tc>
      </w:tr>
      <w:tr>
        <w:trPr>
          <w:trHeight w:val="108"/>
        </w:trPr>
        <w:tc>
          <w:tcPr>
            <w:tcW w:w="19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60" w:type="dxa"/>
            <w:vAlign w:val="bottom"/>
            <w:shd w:val="clear" w:color="auto" w:fill="CCEEFF"/>
          </w:tcPr>
          <w:p>
            <w:pPr>
              <w:spacing w:after="0"/>
              <w:rPr>
                <w:sz w:val="18"/>
                <w:szCs w:val="18"/>
                <w:color w:val="auto"/>
              </w:rPr>
            </w:pPr>
          </w:p>
        </w:tc>
      </w:tr>
      <w:tr>
        <w:trPr>
          <w:trHeight w:val="108"/>
        </w:trPr>
        <w:tc>
          <w:tcPr>
            <w:tcW w:w="19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increase in cash before translation effect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(16,180)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Translation effect on cash</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(19,073)</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132,589</w:t>
            </w:r>
          </w:p>
        </w:tc>
        <w:tc>
          <w:tcPr>
            <w:tcW w:w="60" w:type="dxa"/>
            <w:vAlign w:val="bottom"/>
            <w:shd w:val="clear" w:color="auto" w:fill="CCEEFF"/>
          </w:tcPr>
          <w:p>
            <w:pPr>
              <w:spacing w:after="0"/>
              <w:rPr>
                <w:sz w:val="18"/>
                <w:szCs w:val="18"/>
                <w:color w:val="auto"/>
              </w:rPr>
            </w:pPr>
          </w:p>
        </w:tc>
      </w:tr>
      <w:tr>
        <w:trPr>
          <w:trHeight w:val="108"/>
        </w:trPr>
        <w:tc>
          <w:tcPr>
            <w:tcW w:w="19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9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60" w:type="dxa"/>
            <w:vAlign w:val="bottom"/>
            <w:shd w:val="clear" w:color="auto" w:fill="CCEEFF"/>
          </w:tcPr>
          <w:p>
            <w:pPr>
              <w:spacing w:after="0"/>
              <w:rPr>
                <w:sz w:val="18"/>
                <w:szCs w:val="18"/>
                <w:color w:val="auto"/>
              </w:rPr>
            </w:pPr>
          </w:p>
        </w:tc>
      </w:tr>
      <w:tr>
        <w:trPr>
          <w:trHeight w:val="132"/>
        </w:trPr>
        <w:tc>
          <w:tcPr>
            <w:tcW w:w="79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82"/>
        </w:trPr>
        <w:tc>
          <w:tcPr>
            <w:tcW w:w="7940" w:type="dxa"/>
            <w:vAlign w:val="bottom"/>
            <w:gridSpan w:val="2"/>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Includes multiclient seismic data costs.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2"/>
        </w:trPr>
        <w:tc>
          <w:tcPr>
            <w:tcW w:w="7940" w:type="dxa"/>
            <w:vAlign w:val="bottom"/>
            <w:gridSpan w:val="2"/>
          </w:tcPr>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-463550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-463550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-463550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-463550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-463550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-463550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-463550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-463550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-463550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981"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981"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i w:val="1"/>
                <w:iCs w:val="1"/>
                <w:color w:val="auto"/>
                <w:w w:val="90"/>
              </w:rPr>
              <w:t>(Stated in thousands)</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8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0"/>
              </w:rPr>
              <w:t>Accumulated Other Comprehensive Income (Loss)</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4"/>
            <w:vMerge w:val="continue"/>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Marked to</w:t>
            </w:r>
          </w:p>
        </w:tc>
        <w:tc>
          <w:tcPr>
            <w:tcW w:w="100" w:type="dxa"/>
            <w:vAlign w:val="bottom"/>
          </w:tcPr>
          <w:p>
            <w:pPr>
              <w:spacing w:after="0"/>
              <w:rPr>
                <w:sz w:val="20"/>
                <w:szCs w:val="20"/>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4"/>
              </w:rPr>
              <w:t>Pension</w:t>
            </w: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w w:val="85"/>
              </w:rPr>
              <w:t>Issued</w:t>
            </w:r>
          </w:p>
        </w:tc>
        <w:tc>
          <w:tcPr>
            <w:tcW w:w="3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Treasury</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5"/>
                <w:szCs w:val="15"/>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Adjustment</w:t>
            </w:r>
          </w:p>
        </w:tc>
        <w:tc>
          <w:tcPr>
            <w:tcW w:w="260" w:type="dxa"/>
            <w:vAlign w:val="bottom"/>
          </w:tcPr>
          <w:p>
            <w:pPr>
              <w:spacing w:after="0"/>
              <w:rPr>
                <w:sz w:val="15"/>
                <w:szCs w:val="15"/>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$1,820,186</w:t>
            </w:r>
          </w:p>
        </w:tc>
        <w:tc>
          <w:tcPr>
            <w:tcW w:w="13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$(1,878,612)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$ 7,916,612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(137,158)</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311,016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(28,487)</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(28,487)</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Sales of businesses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26,441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26,441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61,224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99,057</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42,495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26,594</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734,596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734,596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(427,732)</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1,963,905</w:t>
            </w:r>
          </w:p>
        </w:tc>
        <w:tc>
          <w:tcPr>
            <w:tcW w:w="13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(1,752,961)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8,223,476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(139,204)</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732,550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(171,930)</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(171,930)</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RMS disposition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73,865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73,865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(49,569)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(49,569)</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17,130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25,420</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46,397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32,568</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(430,927)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17,849</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2,045,437</w:t>
            </w:r>
          </w:p>
        </w:tc>
        <w:tc>
          <w:tcPr>
            <w:tcW w:w="13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(1,694,884)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8,314,766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(49,569)</w:t>
            </w: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(237,269)</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374,583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(55,422)</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(55,422)</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Reed Hycalog disposition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22,063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22,063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(33,291)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(33,291)</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Minimum pension liability (US/UK Plans)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(313,564)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(313,564)</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Investment Grant Prideco stock</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9,871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25,410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41,671</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58,056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49,754</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7"/>
              </w:rPr>
              <w:t>(2,319,995)</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(2,319,995)</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(434,059)</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Technoguide acquisition</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34,496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25,036</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7,437</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$2,170,965</w:t>
            </w:r>
          </w:p>
        </w:tc>
        <w:tc>
          <w:tcPr>
            <w:tcW w:w="13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$(1,578,358)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$ 5,560,712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(72,989)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(203,564)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(270,628)</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(2,580,338)</w:t>
            </w: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-3973830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-3973830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-3973830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-2910840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-2910840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-2910840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-1658620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-1658620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-1658620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4"/>
        </w:trPr>
        <w:tc>
          <w:tcPr>
            <w:tcW w:w="732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Issued</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Treasury</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73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 2000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667,054,806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(101,123,676)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565,931,130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1,431,309</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Sold to optionees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5,331,268</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667,085,793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(94,361,099)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572,724,694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1,752,833</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1,752,833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 to Directors</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tcPr>
          <w:p>
            <w:pPr>
              <w:ind w:left="20"/>
              <w:spacing w:after="0"/>
              <w:rPr>
                <w:sz w:val="20"/>
                <w:szCs w:val="20"/>
                <w:color w:val="auto"/>
              </w:rPr>
            </w:pPr>
            <w:r>
              <w:rPr>
                <w:rFonts w:ascii="Arial" w:cs="Arial" w:eastAsia="Arial" w:hAnsi="Arial"/>
                <w:sz w:val="18"/>
                <w:szCs w:val="18"/>
                <w:color w:val="auto"/>
              </w:rPr>
              <w:t>Sold to optionees</w:t>
            </w:r>
          </w:p>
        </w:tc>
        <w:tc>
          <w:tcPr>
            <w:tcW w:w="1220" w:type="dxa"/>
            <w:vAlign w:val="bottom"/>
          </w:tcPr>
          <w:p>
            <w:pPr>
              <w:jc w:val="right"/>
              <w:spacing w:after="0"/>
              <w:rPr>
                <w:sz w:val="20"/>
                <w:szCs w:val="20"/>
                <w:color w:val="auto"/>
              </w:rPr>
            </w:pPr>
            <w:r>
              <w:rPr>
                <w:rFonts w:ascii="Arial" w:cs="Arial" w:eastAsia="Arial" w:hAnsi="Arial"/>
                <w:sz w:val="18"/>
                <w:szCs w:val="18"/>
                <w:color w:val="auto"/>
              </w:rPr>
              <w:t>8,385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1,399,686</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1,408,071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2001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667,094,178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(91,203,780)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575,890,398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2,677,842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2,677,842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 to Directors</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Sold to optionees</w:t>
            </w:r>
          </w:p>
        </w:tc>
        <w:tc>
          <w:tcPr>
            <w:tcW w:w="1220" w:type="dxa"/>
            <w:vAlign w:val="bottom"/>
          </w:tcPr>
          <w:p>
            <w:pPr>
              <w:jc w:val="right"/>
              <w:spacing w:after="0"/>
              <w:rPr>
                <w:sz w:val="20"/>
                <w:szCs w:val="20"/>
                <w:color w:val="auto"/>
              </w:rPr>
            </w:pPr>
            <w:r>
              <w:rPr>
                <w:rFonts w:ascii="Arial" w:cs="Arial" w:eastAsia="Arial" w:hAnsi="Arial"/>
                <w:sz w:val="18"/>
                <w:szCs w:val="18"/>
                <w:color w:val="auto"/>
              </w:rPr>
              <w:t>10,490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2,243,400</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2,253,890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Technoguide</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667,104,668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(84,931,553)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582,173,115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Description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Founded in 1927, Schlumberger Limited is a global technology services company consisting of three business segments: first, Schlumberger Oilfield Services, one of the leading providers of technology services and solutions to the international petroleum industry; second, SchlumbergerSema, an IT services company providing consulting and systems integration services, and network and infrastructure solutions, primarily to the global energy sector, including oil and gas, and other regional markets spanning the telecommunications, finance and public sectors and third, the Other business segment which principally comprises the Cards, Terminals, Meters North America and NPTest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Accounting Policies</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Consolidated Financial Statements of Schlumberger Limited and its subsidiaries have been prepared in accordance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On December 20, 2002, Schlumberger completed the sale of its Reed Hycalog drillbits business. The proceeds included $259 million in cash and 9.7 million shares of Grant Prideco common stock with a value of $103 million. The results for the Reed Hycalog operations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 xml:space="preserve">Consolidated Statement of Income </w:t>
      </w:r>
      <w:r>
        <w:rPr>
          <w:rFonts w:ascii="Arial" w:cs="Arial" w:eastAsia="Arial" w:hAnsi="Arial"/>
          <w:sz w:val="18"/>
          <w:szCs w:val="18"/>
          <w:color w:val="auto"/>
        </w:rPr>
        <w:t>and, in 2002, includes results of operations of $32 million and gain on sale of $66 million. The net assets sold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$185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from discontinued operating for 2002, 2001 and 2000 were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w w:val="90"/>
              </w:rPr>
              <w:t>(Stated in millions)</w:t>
            </w:r>
          </w:p>
        </w:tc>
      </w:tr>
      <w:tr>
        <w:trPr>
          <w:trHeight w:val="149"/>
        </w:trPr>
        <w:tc>
          <w:tcPr>
            <w:tcW w:w="6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02"/>
              <w:spacing w:after="0" w:line="149" w:lineRule="exact"/>
              <w:rPr>
                <w:sz w:val="20"/>
                <w:szCs w:val="20"/>
                <w:color w:val="auto"/>
              </w:rPr>
            </w:pPr>
            <w:r>
              <w:rPr>
                <w:rFonts w:ascii="Arial" w:cs="Arial" w:eastAsia="Arial" w:hAnsi="Arial"/>
                <w:sz w:val="14"/>
                <w:szCs w:val="14"/>
                <w:b w:val="1"/>
                <w:bCs w:val="1"/>
                <w:color w:val="auto"/>
              </w:rPr>
              <w:t>Operating</w:t>
            </w:r>
          </w:p>
        </w:tc>
      </w:tr>
      <w:tr>
        <w:trPr>
          <w:trHeight w:val="174"/>
        </w:trPr>
        <w:tc>
          <w:tcPr>
            <w:tcW w:w="6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7"/>
              <w:spacing w:after="0"/>
              <w:rPr>
                <w:sz w:val="20"/>
                <w:szCs w:val="20"/>
                <w:color w:val="auto"/>
              </w:rPr>
            </w:pPr>
            <w:r>
              <w:rPr>
                <w:rFonts w:ascii="Arial" w:cs="Arial" w:eastAsia="Arial" w:hAnsi="Arial"/>
                <w:sz w:val="14"/>
                <w:szCs w:val="14"/>
                <w:b w:val="1"/>
                <w:bCs w:val="1"/>
                <w:color w:val="auto"/>
                <w:w w:val="95"/>
              </w:rPr>
              <w:t>Revenue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Income</w:t>
            </w:r>
          </w:p>
        </w:tc>
      </w:tr>
      <w:tr>
        <w:trPr>
          <w:trHeight w:val="95"/>
        </w:trPr>
        <w:tc>
          <w:tcPr>
            <w:tcW w:w="6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102"/>
        </w:trPr>
        <w:tc>
          <w:tcPr>
            <w:tcW w:w="6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16"/>
        </w:trPr>
        <w:tc>
          <w:tcPr>
            <w:tcW w:w="6140" w:type="dxa"/>
            <w:vAlign w:val="bottom"/>
            <w:shd w:val="clear" w:color="auto" w:fill="CCEEFF"/>
          </w:tcPr>
          <w:p>
            <w:pPr>
              <w:jc w:val="right"/>
              <w:ind w:right="5692"/>
              <w:spacing w:after="0"/>
              <w:rPr>
                <w:sz w:val="20"/>
                <w:szCs w:val="20"/>
                <w:color w:val="auto"/>
              </w:rPr>
            </w:pPr>
            <w:r>
              <w:rPr>
                <w:rFonts w:ascii="Arial" w:cs="Arial" w:eastAsia="Arial" w:hAnsi="Arial"/>
                <w:sz w:val="18"/>
                <w:szCs w:val="18"/>
                <w:b w:val="1"/>
                <w:bCs w:val="1"/>
                <w:color w:val="auto"/>
                <w:w w:val="84"/>
              </w:rPr>
              <w:t>2002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r>
      <w:tr>
        <w:trPr>
          <w:trHeight w:val="216"/>
        </w:trPr>
        <w:tc>
          <w:tcPr>
            <w:tcW w:w="6140" w:type="dxa"/>
            <w:vAlign w:val="bottom"/>
          </w:tcPr>
          <w:p>
            <w:pPr>
              <w:jc w:val="right"/>
              <w:ind w:right="5692"/>
              <w:spacing w:after="0"/>
              <w:rPr>
                <w:sz w:val="20"/>
                <w:szCs w:val="20"/>
                <w:color w:val="auto"/>
              </w:rPr>
            </w:pPr>
            <w:r>
              <w:rPr>
                <w:rFonts w:ascii="Arial" w:cs="Arial" w:eastAsia="Arial" w:hAnsi="Arial"/>
                <w:sz w:val="18"/>
                <w:szCs w:val="18"/>
                <w:color w:val="auto"/>
                <w:w w:val="84"/>
              </w:rPr>
              <w:t>2001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140" w:type="dxa"/>
            <w:vAlign w:val="bottom"/>
            <w:shd w:val="clear" w:color="auto" w:fill="CCEEFF"/>
          </w:tcPr>
          <w:p>
            <w:pPr>
              <w:jc w:val="right"/>
              <w:ind w:right="5692"/>
              <w:spacing w:after="0"/>
              <w:rPr>
                <w:sz w:val="20"/>
                <w:szCs w:val="20"/>
                <w:color w:val="auto"/>
              </w:rPr>
            </w:pPr>
            <w:r>
              <w:rPr>
                <w:rFonts w:ascii="Arial" w:cs="Arial" w:eastAsia="Arial" w:hAnsi="Arial"/>
                <w:sz w:val="18"/>
                <w:szCs w:val="18"/>
                <w:color w:val="auto"/>
                <w:w w:val="84"/>
              </w:rPr>
              <w:t>2000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Consolidated Financial Statements include the accounts of majority-owned subsidiaries. Significant 20% - 50% owned companies are carried on the equity method and classified in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The pro rata share of Schlumberger after-tax earnings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All inter-company accounts and transactions have been eliminated.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bad debts, valuation of inventories and investments, recoverability of goodwill and intangible assets, income tax provision and deferred taxes, profit assumptions on long-term percentage-of-completion contracts, contingencies and litigation and actuarial assumptions for employee benefit plans. Schlumberger bases its estimates on historical experience and on various other assumptions that are believed to be reasonable under the circumstances, the results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which form the basis for making judgments about the carrying values of assets and liabilities that are not readily apparent from other sources. Actual results may differ from these estimates under different assumptions or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Revenue</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Schlumberger’s products and services are generally sold based upon purchase orders or contracts with the customer that include fixed or determinable prices and that do not include right of return or other similar provisions or other significant post delivery obligations. Revenue is recognized for products upon delivery, customer acceptance and when title passes. Revenue is recognized when services are rendered and collectibility is reasonably assured.</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Certain revenues are recognized on a time and materials basis, or on a percentage of completion basis, depending on the contract, as services are provided. Revenue from time and material service contracts is recognized as the services are provided. Revenue from fixed price contracts is recognized over the contract term based on the percentage of the cost of services provided during the period compared to the total estimated cost of services to be provided over the entire contract. Losses on contracts are recognized during the period in which the loss first becomes probable and reasonably estimated.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Revenue derived from the sale of licenses for its software, maintenance and related services may include installation, consulting and training services.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 and Collectibility</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Many sales are generated from complex contractual arrangements that require significant revenue recognition judgments, particularly in the areas of multiple element arrangements. Revenues from contracts with multiple element arrangements, such as those including installation and integration services, are recognized as each element is earned based on the relative fair value of each element and when there are no undelivered elements that are essential to the functionality of the delivered elements.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assessment of collectibility is particularly critical in determining whether revenue should be recognized in the current market environment. As part of the revenue recognition process, Schlumberger determines whether trade and notes receivables are reasonably assured of collection based on various factors, including the ability to sell those receivables and whether there has been deterioration in the credit quality of customers that could result in the inability to sell the receivables. In situations where Schlumberger has the ability to sell the receivables without recourse, revenue is recognized to the extent of the value Schlumberger could reasonably expect to realize from the sale. Schlumberger defers revenue and related costs when it is uncertain as to whether it will be able to collect or sell the receivable. Schlumberger defers revenue but recognizes costs when it determines that the collection or sale of the receivable is unlikely.</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Non-US Currencies</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Oilfield Services segment functional currency is primarily the US dollar. The SchlumbergerSema segment and Other segment functional currencies are primarily local currencies.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Revenue and expenses are translated at the weighted-average exchange rates for the period. All realized and unrealized transaction gains and losses are included in income in the period in which they occur. Schlumberger’s policy is to hedge against unrealized gains and losses on a monthly basis. Included in the 2002 results were transaction losses of $2 million, compared with losses of $7 million and $4 million in 2001 and 2000, respectively.</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2002, contracts were outstanding for the US dollar equivalent of $1,594 million in various foreign currencies. These contracts mature on various dates in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Both short-term investments and fixed income investments, held to maturity comprise primarily eurodollar time deposits, certificates of deposit and commercial paper, euronotes and eurobonds, substantially all denominated in US dollars. They are stated at cost plus accrued interest, which approximates market.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at December 31, 2002 were not significant.</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they generally have original maturities in excess of three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 and Depreciation</w:t>
      </w:r>
    </w:p>
    <w:p>
      <w:pPr>
        <w:spacing w:after="0" w:line="8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Multiclient Seismic Data</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Schlumberger capitalizes the cost of obtaining multiclient surveys. Such costs are charged to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based on a percentage of estimated total revenue that Schlumberger expects to receive from the sales of such data. The carrying value of individual surveys is reviewed, at least annually, and adjustments to the value are made based upon the revised estimated revenues for the surveys.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costs incurred for the development of computer software that will be sold, leased or otherwise marketed are capitalized when technological feasibility has been established, generally when all of the planning, designing, coding and testing activities that are necessary in order to establish that the product can be produced to meet its design specifications including functions, features and technical performance requirements are completed. These capitalized costs are subject to an ongoing assessment of recoverability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based on anticipated future revenues and changes in hardware and software technologies. Costs that are capitalized include direct labor and related overheads.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Amortization of capitalized software development costs begins when the product is available for general release. Amortization is provided on the lesser of a product-by-product basis on the straight-line method or the sales ratio method over the estimated useful life. Unamortized capitalized software development costs determined to be in excess of the net realizable value of the product are expensed immediately.</w:t>
      </w:r>
    </w:p>
    <w:p>
      <w:pPr>
        <w:spacing w:after="0" w:line="127"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Schlumberger capitalizes certain costs of internally developed software. Capitalized costs include purchased materials and services, payroll and payroll related costs and interest costs. The costs of internally developed software is amortized on a straight-line basis over the estimated useful life which is principally 6 years.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an annual basis Schlumberger reviews the carrying value of its long-lived assets, including goodwill and intangible assets. In addition, whenever events or changes in circumstances indicate that the historical cost-carrying value of an asset may no longer be appropriate, a review is performed.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was adopted by Schlumberger commencing January 1, 2002, goodwill ceased to be amortized.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Approximately $2.5 billion of consolidated income retained for use in the business on December 31, 2002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7"/>
          </w:tcPr>
          <w:p>
            <w:pPr>
              <w:jc w:val="right"/>
              <w:ind w:right="8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149"/>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Earnings (loss)</w:t>
            </w:r>
          </w:p>
        </w:tc>
      </w:tr>
      <w:tr>
        <w:trPr>
          <w:trHeight w:val="149"/>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Per Share from</w:t>
            </w:r>
          </w:p>
        </w:tc>
      </w:tr>
      <w:tr>
        <w:trPr>
          <w:trHeight w:val="149"/>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from Continuing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Continuing</w:t>
            </w:r>
          </w:p>
        </w:tc>
      </w:tr>
      <w:tr>
        <w:trPr>
          <w:trHeight w:val="174"/>
        </w:trPr>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Operations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Operations</w:t>
            </w:r>
          </w:p>
        </w:tc>
      </w:tr>
      <w:tr>
        <w:trPr>
          <w:trHeight w:val="95"/>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(2,417,529)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578,588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(4.18)</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Effects of dilution:</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6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(2,417,529)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578,588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(4.18)</w:t>
            </w:r>
          </w:p>
        </w:tc>
      </w:tr>
      <w:tr>
        <w:trPr>
          <w:trHeight w:val="132"/>
        </w:trPr>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490,635</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574,328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0.85</w:t>
            </w:r>
          </w:p>
        </w:tc>
        <w:tc>
          <w:tcPr>
            <w:tcW w:w="8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Effects of dilution:</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490,635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580,214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spacing w:after="0"/>
              <w:rPr>
                <w:sz w:val="18"/>
                <w:szCs w:val="18"/>
                <w:color w:val="auto"/>
              </w:rPr>
            </w:pPr>
          </w:p>
        </w:tc>
      </w:tr>
      <w:tr>
        <w:trPr>
          <w:trHeight w:val="132"/>
        </w:trPr>
        <w:tc>
          <w:tcPr>
            <w:tcW w:w="4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720,454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570,028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Effects of dilution:</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10,048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720,454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580,076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r>
      <w:tr>
        <w:trPr>
          <w:trHeight w:val="132"/>
        </w:trPr>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-2018665</wp:posOffset>
            </wp:positionV>
            <wp:extent cx="248285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8285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-1024255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-1024255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-1024255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-1024255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-1024255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-1024255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-1024255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-1024255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248285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8285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7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There is no dilution of shares or earnings per share in 2002 due to the net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 reconciliation of reported net income (loss) to adjusted net income (loss) following the adoption of SFAS 142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on January 1, 2002 – see</w:t>
      </w:r>
      <w:r>
        <w:rPr>
          <w:rFonts w:ascii="Arial" w:cs="Arial" w:eastAsia="Arial" w:hAnsi="Arial"/>
          <w:sz w:val="18"/>
          <w:szCs w:val="18"/>
          <w:i w:val="1"/>
          <w:iCs w:val="1"/>
          <w:color w:val="auto"/>
        </w:rPr>
        <w:t xml:space="preserve"> New Accounting Standards </w:t>
      </w:r>
      <w:r>
        <w:rPr>
          <w:rFonts w:ascii="Arial" w:cs="Arial" w:eastAsia="Arial" w:hAnsi="Arial"/>
          <w:sz w:val="18"/>
          <w:szCs w:val="18"/>
          <w:color w:val="auto"/>
        </w:rPr>
        <w:t>below.</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i w:val="1"/>
                <w:iCs w:val="1"/>
                <w:color w:val="auto"/>
                <w:w w:val="85"/>
              </w:rPr>
              <w:t>(Stated in thousands)</w:t>
            </w:r>
          </w:p>
        </w:tc>
      </w:tr>
      <w:tr>
        <w:trPr>
          <w:trHeight w:val="174"/>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r>
      <w:tr>
        <w:trPr>
          <w:trHeight w:val="95"/>
        </w:trPr>
        <w:tc>
          <w:tcPr>
            <w:tcW w:w="5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(2,319,995)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522,217</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734,596</w:t>
            </w:r>
          </w:p>
        </w:tc>
        <w:tc>
          <w:tcPr>
            <w:tcW w:w="20" w:type="dxa"/>
            <w:vAlign w:val="bottom"/>
          </w:tcPr>
          <w:p>
            <w:pPr>
              <w:spacing w:after="0"/>
              <w:rPr>
                <w:sz w:val="18"/>
                <w:szCs w:val="18"/>
                <w:color w:val="auto"/>
              </w:rPr>
            </w:pPr>
          </w:p>
        </w:tc>
      </w:tr>
      <w:tr>
        <w:trPr>
          <w:trHeight w:val="228"/>
        </w:trPr>
        <w:tc>
          <w:tcPr>
            <w:tcW w:w="5020" w:type="dxa"/>
            <w:vAlign w:val="bottom"/>
          </w:tcPr>
          <w:p>
            <w:pPr>
              <w:spacing w:after="0"/>
              <w:rPr>
                <w:sz w:val="20"/>
                <w:szCs w:val="20"/>
                <w:color w:val="auto"/>
              </w:rPr>
            </w:pPr>
            <w:r>
              <w:rPr>
                <w:rFonts w:ascii="Arial" w:cs="Arial" w:eastAsia="Arial" w:hAnsi="Arial"/>
                <w:sz w:val="18"/>
                <w:szCs w:val="18"/>
                <w:color w:val="auto"/>
              </w:rPr>
              <w:t>Goodwill amortization</w:t>
            </w:r>
          </w:p>
        </w:tc>
        <w:tc>
          <w:tcPr>
            <w:tcW w:w="1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w w:val="86"/>
              </w:rPr>
              <w:t>291,574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94,746</w:t>
            </w:r>
          </w:p>
        </w:tc>
        <w:tc>
          <w:tcPr>
            <w:tcW w:w="20" w:type="dxa"/>
            <w:vAlign w:val="bottom"/>
          </w:tcPr>
          <w:p>
            <w:pPr>
              <w:spacing w:after="0"/>
              <w:rPr>
                <w:sz w:val="19"/>
                <w:szCs w:val="19"/>
                <w:color w:val="auto"/>
              </w:rPr>
            </w:pPr>
          </w:p>
        </w:tc>
      </w:tr>
      <w:tr>
        <w:trPr>
          <w:trHeight w:val="96"/>
        </w:trPr>
        <w:tc>
          <w:tcPr>
            <w:tcW w:w="5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(2,319,995)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813,791</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829,342</w:t>
            </w:r>
          </w:p>
        </w:tc>
        <w:tc>
          <w:tcPr>
            <w:tcW w:w="20" w:type="dxa"/>
            <w:vAlign w:val="bottom"/>
          </w:tcPr>
          <w:p>
            <w:pPr>
              <w:spacing w:after="0"/>
              <w:rPr>
                <w:sz w:val="18"/>
                <w:szCs w:val="18"/>
                <w:color w:val="auto"/>
              </w:rPr>
            </w:pPr>
          </w:p>
        </w:tc>
      </w:tr>
      <w:tr>
        <w:trPr>
          <w:trHeight w:val="132"/>
        </w:trPr>
        <w:tc>
          <w:tcPr>
            <w:tcW w:w="5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-29210</wp:posOffset>
            </wp:positionV>
            <wp:extent cx="224218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4218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Engineering</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research and engineering expenditures are expensed as incurred, including costs relating to patents or rights that may result from such expenditures. Included in 2001 expenditures was a charge of $25 million for in-process R&amp;D related to the Bull CP8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June 2001, SFAS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were issued. SFAS 141 was adopted by Schlumberger for acquisitions subsequent to June 30, 2001. SFAS 142 was adopted by Schlumberger commencing January 1, 2002. As required by SFAS 142, Schlumberger undertook an initial review of goodwill impairment in the first quarter of 2002 and completed an “event driven” review in the fourth quarter of 2002. The findings of the independent valuation indicated there was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 impairment writedown of $2.6 billion which was approved by the Board of Directors in December 2002 in conjunction with the approval of the new strategic plan for SchlumbergerSema.</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Amortization of goodwill and workforce ceased with effect from January 1, 2002. Assembled workforce, net of deferred taxes, of $175 million was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goodwill and other intangibles included in Schlumberger’s results are as follows:</w:t>
      </w:r>
    </w:p>
    <w:p>
      <w:pPr>
        <w:spacing w:after="0" w:line="155" w:lineRule="exact"/>
        <w:rPr>
          <w:sz w:val="20"/>
          <w:szCs w:val="20"/>
          <w:color w:val="auto"/>
        </w:rPr>
      </w:pPr>
    </w:p>
    <w:p>
      <w:pPr>
        <w:ind w:left="8960"/>
        <w:spacing w:after="0"/>
        <w:rPr>
          <w:sz w:val="20"/>
          <w:szCs w:val="20"/>
          <w:color w:val="auto"/>
        </w:rPr>
      </w:pPr>
      <w:r>
        <w:rPr>
          <w:rFonts w:ascii="Arial" w:cs="Arial" w:eastAsia="Arial" w:hAnsi="Arial"/>
          <w:sz w:val="14"/>
          <w:szCs w:val="14"/>
          <w:i w:val="1"/>
          <w:iCs w:val="1"/>
          <w:color w:val="auto"/>
        </w:rPr>
        <w:t>(Stated in millions)</w:t>
      </w:r>
    </w:p>
    <w:tbl>
      <w:tblPr>
        <w:tblLayout w:type="fixed"/>
        <w:tblInd w:w="1440" w:type="dxa"/>
        <w:tblCellMar>
          <w:top w:w="0" w:type="dxa"/>
          <w:left w:w="0" w:type="dxa"/>
          <w:bottom w:w="0" w:type="dxa"/>
          <w:right w:w="0" w:type="dxa"/>
        </w:tblCellMar>
      </w:tblPr>
      <w:tr>
        <w:trPr>
          <w:trHeight w:val="174"/>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w w:val="88"/>
              </w:rPr>
              <w:t>Pretax</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81"/>
        </w:trPr>
        <w:tc>
          <w:tcPr>
            <w:tcW w:w="60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r>
      <w:tr>
        <w:trPr>
          <w:trHeight w:val="263"/>
        </w:trPr>
        <w:tc>
          <w:tcPr>
            <w:tcW w:w="6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2000</w:t>
            </w:r>
          </w:p>
        </w:tc>
      </w:tr>
      <w:tr>
        <w:trPr>
          <w:trHeight w:val="95"/>
        </w:trPr>
        <w:tc>
          <w:tcPr>
            <w:tcW w:w="6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Workforce</w:t>
            </w:r>
          </w:p>
        </w:tc>
        <w:tc>
          <w:tcPr>
            <w:tcW w:w="16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08"/>
        </w:trPr>
        <w:tc>
          <w:tcPr>
            <w:tcW w:w="6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132"/>
        </w:trPr>
        <w:tc>
          <w:tcPr>
            <w:tcW w:w="60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92202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2202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June 2001, 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was issued. SFAS 143 will be adopted by Schlumberger commencing January 1, 2003.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Schlumberger does not believe that the implementation of this standard will have any material effect on its financial position and results of operations.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August 2001, SFAS 144 (</w:t>
      </w:r>
      <w:r>
        <w:rPr>
          <w:rFonts w:ascii="Arial" w:cs="Arial" w:eastAsia="Arial" w:hAnsi="Arial"/>
          <w:sz w:val="18"/>
          <w:szCs w:val="18"/>
          <w:i w:val="1"/>
          <w:iCs w:val="1"/>
          <w:color w:val="auto"/>
        </w:rPr>
        <w:t>Accounting for Impairment or Disposal of Long-Lived Assets</w:t>
      </w:r>
      <w:r>
        <w:rPr>
          <w:rFonts w:ascii="Arial" w:cs="Arial" w:eastAsia="Arial" w:hAnsi="Arial"/>
          <w:sz w:val="18"/>
          <w:szCs w:val="18"/>
          <w:color w:val="auto"/>
        </w:rPr>
        <w:t>) was issued. SFAS 144 was adopted by Schlumberger commencing January 1, 2002 and did not have a material effect on its financial position or results of operations.</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January 1, 2002, Schlumberger adopted the FASB EITF Abstract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Prior year revenue has been restated to include reimbursable costs billed to customers which had been classified as a contra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now must be classified as revenue. The reclassification was only required in the Oilfield Services (OFS) segment as the SchlumbergerSema segment was already in compliance with the new standard. OFS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increased in 2001 by $557 million and in 2000 by $416 million. There was no effect on cash flow or net income.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July 29,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SFAS 146 replaced Issue 94-3. Schlumberger will apply SFAS 146 prospectively to exit or disposal activities initiated after December 31, 2002. As a result,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charges related to restructuring plans may be recorded over multiple reporting periods as opposed to the date the plan was approved.</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statement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on a prospective basis for guarantees issued or modified after December 31, 2002. Schlumberger does not believe that the implementation of this statement will have a material effect on its financial position or results of operations.</w:t>
      </w:r>
    </w:p>
    <w:p>
      <w:pPr>
        <w:spacing w:after="0" w:line="13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 January 2003, the Emerging Issues Task Force (EITF) issued No. 00-21 “</w:t>
      </w:r>
      <w:r>
        <w:rPr>
          <w:rFonts w:ascii="Arial" w:cs="Arial" w:eastAsia="Arial" w:hAnsi="Arial"/>
          <w:sz w:val="18"/>
          <w:szCs w:val="18"/>
          <w:i w:val="1"/>
          <w:iCs w:val="1"/>
          <w:color w:val="auto"/>
        </w:rPr>
        <w:t>Accounting for Revenue Arrangements with Multiple Deliverables</w:t>
      </w:r>
      <w:r>
        <w:rPr>
          <w:rFonts w:ascii="Arial" w:cs="Arial" w:eastAsia="Arial" w:hAnsi="Arial"/>
          <w:sz w:val="18"/>
          <w:szCs w:val="18"/>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individual elements based upon the available fair value of each deliverable. Schlumberger is in the process of determining if this pronouncement will have a material impact on its financial position or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Hanover Compressor Transaction</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August 2001, Schlumberger sold its Oilfield Services worldwide gas compression activity to Hanover Compressor Company. The proceeds included common stock of Hanover Compressor, with a value at closing of $173 million, which is restricted from marketability until August 30, 2004 and a $150 million long-term subordinated note maturing December 15, 2005.</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market value of Schlumberger’s investment in Hanover Compressor common stock was $80 million as of December 31, 2002. Following the decline in the market value of the stock below carrying value during the second quarter of 2002, Schlumberger has performed, and continues to perform, a periodic assessment in accordance with its policy to determine whether an other-than-temporary decline in fair value has occurred. Schlumberger evaluated the recoverability of its investment by reviewing recent information related to the industry and the operating results and financial position of Hanover Compressor and by considering Schlumberger’s requirement, ability and intent to hold the investment on a long-term basis. Schlumberger concluded that evidence existed at December 31, 2002 to support the recoverability of its carrying value, that there were no events or changes in circumstances specifically relating to the business prospects of Hanover Compressor, that the underlying business fundamentals are good with natural gas supplies reduced and higher natural gas prices in North America, that the decline in the market value of the stock is consistent with historical industry volatility and is largely attributable to the general market conditions. In addition, the recently announced Hanover cutbacks in workforce and capital expenditures coupled with no immediate debt maturities should provide adequate capital resources in the near-term. Schlumberger views the recent changes to Hanover Compressor’s senior management team as positive with respect to its investment. Accordingly, Schlumberger concluded that the decline in market value of its investment ($93 million) in Hanover Compressor as of December 31, 2002 was temporary in nature and has not reduced the cost basis of that investment. If the decline in value persists or should Schlumberger’s assessment change, Schlumberger would take a charge to its earnings for the amount that is deemed unrecoverable.</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$150 million long-term subordinated note has a mandatory prepayment upon the issuance, sale or other disposition by Hanover Compressor of any shares of capital stock or other equity interests pursuant to a public offering or a private placement otherwise prepayment is discretionary. As of December 31, 2002, Schlumberger considers the carrying value of the note to be fully collectible.</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part of the sale agreement, Schlumberger agreed that the financing of the PIGAP II joint venture in Venezuela would be non-recourse to the buyer and would be executed prior to December 31, 2002. Accordingly, Schlumberger was obligated, with respect to the financing, to guarantee 30% (approximately $80 million) until the project was completed in 2002 and, if as of December 31, 2002, refinancing had not become non-recourse to the buyer or the project had not achieved substantial completion, Hanover Compressor had an option to put its interest in the joint venture back to Schlumberger.</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Schlumberger originally deferred the gain on the sale of the joint venture in 2001, there would be no impact on Schlumberger results of operations if Hanover Compressor were to exercise its option.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(unaudited)</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an outcome of the turmoil in Venezuela, although the project reached substantial completion, the non-recourse financing for the project was not achieved by December 31, 2002. On January 30, 2003, Hanover Compressor gave notice of its intention to exercise its right to put its ownership interest in the joint venture back to Schlumberger. The put is subject to certain consents and other conditions. Schlumberger’s obligation to provide a guarantee with respect to the financing was eliminated.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 Continuing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charges/credits in continuing operations:</w:t>
      </w:r>
    </w:p>
    <w:p>
      <w:pPr>
        <w:spacing w:after="0" w:line="15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December 2002, a net charge of $3,081 million ($5.30 per share). On December 10, 2002, Schlumberger announced that the Board of Directors had approved an updated strategy for its SchlumbergerSema business segment. The new strategic plan outlook, current business values and the reorganization of SchlumbergerSema constitute significant events that required an impairment analysis to be performed in accordance with FAS 142. SchlumbergerSema was ‘valued’ on a stand-alone basis; each reporting unit within SchlumbergerSema 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goodwill was written down to its estimated fair value based on Schlumberger’s valuation. The impairment of goodwill mainly reflects the current difficulties of the telecommunications industry and the severely depressed market values of the IT companies serving SchlumbergerSema’s sector. Certain intangible assets were also identified and written down as part of this process.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recorded severance, facility and other costs in an effort to reduce costs at SchlumbergerSema and WesternGeco. These costs related to expenses that offer no future benefit to the ongoing operations of these businesses. During the fourth quarter, Schlumberger also recorded an impairment charge, to reflect a change in the business projections of the WesternGeco business, related to capitalized multiclient seismic library costs, a deferred tax valuation allowance and other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total of the above charges was $3,168 million. A summary, including the gain on the sale of drilling rigs of $87 million, is as follows: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Intangibles impairment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 severance &amp; other</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WesternGeco severance &amp; other</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library impairment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r>
      <w:tr>
        <w:trPr>
          <w:trHeight w:val="102"/>
        </w:trPr>
        <w:tc>
          <w:tcPr>
            <w:tcW w:w="69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6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Charges before tax and minority interest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line="217" w:lineRule="exact"/>
              <w:rPr>
                <w:sz w:val="20"/>
                <w:szCs w:val="20"/>
                <w:color w:val="auto"/>
              </w:rPr>
            </w:pPr>
            <w:r>
              <w:rPr>
                <w:rFonts w:ascii="Arial" w:cs="Arial" w:eastAsia="Arial" w:hAnsi="Arial"/>
                <w:sz w:val="18"/>
                <w:szCs w:val="18"/>
                <w:color w:val="auto"/>
              </w:rPr>
              <w:t xml:space="preserve">Tax </w:t>
            </w:r>
            <w:r>
              <w:rPr>
                <w:rFonts w:ascii="Arial" w:cs="Arial" w:eastAsia="Arial" w:hAnsi="Arial"/>
                <w:sz w:val="22"/>
                <w:szCs w:val="22"/>
                <w:color w:val="auto"/>
                <w:vertAlign w:val="superscript"/>
              </w:rPr>
              <w:t>1</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r>
      <w:tr>
        <w:trPr>
          <w:trHeight w:val="108"/>
        </w:trPr>
        <w:tc>
          <w:tcPr>
            <w:tcW w:w="69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6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2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Gain on sale of drilling rigs</w:t>
            </w:r>
          </w:p>
        </w:tc>
        <w:tc>
          <w:tcPr>
            <w:tcW w:w="5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r>
      <w:tr>
        <w:trPr>
          <w:trHeight w:val="102"/>
        </w:trPr>
        <w:tc>
          <w:tcPr>
            <w:tcW w:w="69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6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00" w:type="dxa"/>
            <w:vAlign w:val="bottom"/>
            <w:shd w:val="clear" w:color="auto" w:fill="CCEEFF"/>
          </w:tcPr>
          <w:p>
            <w:pPr>
              <w:spacing w:after="0"/>
              <w:rPr>
                <w:sz w:val="18"/>
                <w:szCs w:val="18"/>
                <w:color w:val="auto"/>
              </w:rPr>
            </w:pPr>
          </w:p>
        </w:tc>
      </w:tr>
      <w:tr>
        <w:trPr>
          <w:trHeight w:val="132"/>
        </w:trPr>
        <w:tc>
          <w:tcPr>
            <w:tcW w:w="69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deferred tax valuation allowance of $94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charges before tax and minority interest and the gain on sale of drilling rigs are recorded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March 2002, a charge of $29 million (pretax $30 million and minority interest credit of $1 million; $0.05 per share – diluted) related to the financial/economic crisis in Argentina where in January, the government eliminated all US dollar contracts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converted US dollar 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change is classified in </w:t>
      </w:r>
      <w:r>
        <w:rPr>
          <w:rFonts w:ascii="Arial" w:cs="Arial" w:eastAsia="Arial" w:hAnsi="Arial"/>
          <w:sz w:val="18"/>
          <w:szCs w:val="18"/>
          <w:i w:val="1"/>
          <w:iCs w:val="1"/>
          <w:color w:val="auto"/>
        </w:rPr>
        <w:t>Cost of goods sold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March 2001, a charge of $25 million ($0.04 per share – diluted) for in-process research and development related to the Bull CP8 acquisition.</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June 2001, a charge of $280 million ($0.48 per share – diluted) for the estimated impairment charge from the disposition of certain Resource Management Services businesses (Electricity and Water outside North America and worldwide Gas businesses). This charge included the writeoff of goodwill ($139 million) and cumulative translation adjustment ($79 million).</w:t>
      </w:r>
    </w:p>
    <w:p>
      <w:pPr>
        <w:spacing w:after="0" w:line="127"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In September 2001, a pretax credit of $42 million (after tax $3 million) representing the gain on the sale of the worldwide gas compression business, partially offset by an impairment charge relating to the expected disposition of certain activities. The proceeds from the sale of the worldwide gas compression business included $274 million in cash, a $150 million long-term subordinated note and newly issued Hanover Compressor Company shares with a value of $173 million. The shares have a three year marketability restriction. As part of the transaction, Schlumberger agreed that the financing of a certain joint venture project (PIGAP</w:t>
      </w:r>
    </w:p>
    <w:p>
      <w:pPr>
        <w:spacing w:after="0" w:line="3" w:lineRule="exact"/>
        <w:rPr>
          <w:sz w:val="20"/>
          <w:szCs w:val="20"/>
          <w:color w:val="auto"/>
        </w:rPr>
      </w:pPr>
    </w:p>
    <w:p>
      <w:pPr>
        <w:ind w:right="320" w:firstLine="8"/>
        <w:spacing w:after="0" w:line="254" w:lineRule="auto"/>
        <w:tabs>
          <w:tab w:leader="none" w:pos="2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would be non-recourse to the buyer and would be executed prior to December 31, 2002. Accordingly, Schlumberger was obligated with respect to the financing to guarantee 30% (approximately $80 million) until the project was completed in late 2002. If as of December 31, 2002 refinancing had not become non-recourse to the buyer or the project has not achieved substantial completion, the buyer has an option to put its interest in such joint venture back to Schlumberger. The gain on the sale of this joint venture was deferred.</w:t>
      </w:r>
    </w:p>
    <w:p>
      <w:pPr>
        <w:spacing w:after="0" w:line="13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 December 2001, a pretax credit of $119 million (net – $5 million after tax and minority interest, $0.01 per share – diluted), consisting primarily of the following:</w:t>
      </w:r>
    </w:p>
    <w:p>
      <w:pPr>
        <w:ind w:left="760" w:hanging="306"/>
        <w:spacing w:after="0" w:line="208" w:lineRule="auto"/>
        <w:tabs>
          <w:tab w:leader="none" w:pos="7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A credit of $223 million ($117 million after tax) from the sale of the former Resource Management Services North American Water division.</w:t>
      </w:r>
    </w:p>
    <w:p>
      <w:pPr>
        <w:spacing w:after="0" w:line="102" w:lineRule="exact"/>
        <w:rPr>
          <w:rFonts w:ascii="Arial" w:cs="Arial" w:eastAsia="Arial" w:hAnsi="Arial"/>
          <w:sz w:val="26"/>
          <w:szCs w:val="26"/>
          <w:color w:val="auto"/>
          <w:vertAlign w:val="superscript"/>
        </w:rPr>
      </w:pPr>
    </w:p>
    <w:p>
      <w:pPr>
        <w:ind w:left="760" w:hanging="306"/>
        <w:spacing w:after="0" w:line="196" w:lineRule="auto"/>
        <w:tabs>
          <w:tab w:leader="none" w:pos="76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A pretax charge of $43 million ($37 million after tax) for employee termination costs, principally in Europe and the US, related to Oilfield Services and SchlumbergerSema in response to the prevailing business conditions.</w:t>
      </w:r>
    </w:p>
    <w:p>
      <w:pPr>
        <w:spacing w:after="0" w:line="1" w:lineRule="exact"/>
        <w:rPr>
          <w:rFonts w:ascii="Arial" w:cs="Arial" w:eastAsia="Arial" w:hAnsi="Arial"/>
          <w:sz w:val="27"/>
          <w:szCs w:val="27"/>
          <w:color w:val="auto"/>
          <w:vertAlign w:val="superscript"/>
        </w:rPr>
      </w:pPr>
    </w:p>
    <w:p>
      <w:pPr>
        <w:ind w:left="760" w:hanging="306"/>
        <w:spacing w:after="0" w:line="219" w:lineRule="auto"/>
        <w:tabs>
          <w:tab w:leader="none" w:pos="76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A tax charge for reorganization costs of $29 million.</w:t>
      </w:r>
    </w:p>
    <w:p>
      <w:pPr>
        <w:spacing w:after="0" w:line="102" w:lineRule="exact"/>
        <w:rPr>
          <w:rFonts w:ascii="Arial" w:cs="Arial" w:eastAsia="Arial" w:hAnsi="Arial"/>
          <w:sz w:val="27"/>
          <w:szCs w:val="27"/>
          <w:color w:val="auto"/>
          <w:vertAlign w:val="superscript"/>
        </w:rPr>
      </w:pPr>
    </w:p>
    <w:p>
      <w:pPr>
        <w:ind w:left="760" w:right="640" w:hanging="306"/>
        <w:spacing w:after="0" w:line="196" w:lineRule="auto"/>
        <w:tabs>
          <w:tab w:leader="none" w:pos="76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A further pretax charge of $28 million ($20 million after tax) related to the second quarter estimated loss on the divestiture of certain Resource Management Services businesses following the actual closing in the fourth quarter.</w:t>
      </w:r>
    </w:p>
    <w:p>
      <w:pPr>
        <w:spacing w:after="0" w:line="63" w:lineRule="exact"/>
        <w:rPr>
          <w:rFonts w:ascii="Arial" w:cs="Arial" w:eastAsia="Arial" w:hAnsi="Arial"/>
          <w:sz w:val="27"/>
          <w:szCs w:val="27"/>
          <w:color w:val="auto"/>
          <w:vertAlign w:val="superscript"/>
        </w:rPr>
      </w:pPr>
    </w:p>
    <w:p>
      <w:pPr>
        <w:ind w:left="760" w:right="180" w:hanging="306"/>
        <w:spacing w:after="0" w:line="203" w:lineRule="auto"/>
        <w:tabs>
          <w:tab w:leader="none" w:pos="76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A $33 million pretax asset writedown ($23 million after tax and minority interest) for technological impairment related to certain Land seismic assets in the newly formed joint venture.</w:t>
      </w:r>
    </w:p>
    <w:p>
      <w:pPr>
        <w:spacing w:after="0" w:line="14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 xml:space="preserve">The above 2001 pretax amounts are recorded: an aggregated $119 million charge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a $25 million charge in </w:t>
      </w:r>
      <w:r>
        <w:rPr>
          <w:rFonts w:ascii="Arial" w:cs="Arial" w:eastAsia="Arial" w:hAnsi="Arial"/>
          <w:sz w:val="18"/>
          <w:szCs w:val="18"/>
          <w:i w:val="1"/>
          <w:iCs w:val="1"/>
          <w:color w:val="auto"/>
        </w:rPr>
        <w:t>Research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engineering </w:t>
      </w:r>
      <w:r>
        <w:rPr>
          <w:rFonts w:ascii="Arial" w:cs="Arial" w:eastAsia="Arial" w:hAnsi="Arial"/>
          <w:sz w:val="18"/>
          <w:szCs w:val="18"/>
          <w:color w:val="auto"/>
        </w:rPr>
        <w:t>and a $10 million credit in</w:t>
      </w:r>
      <w:r>
        <w:rPr>
          <w:rFonts w:ascii="Arial" w:cs="Arial" w:eastAsia="Arial" w:hAnsi="Arial"/>
          <w:sz w:val="18"/>
          <w:szCs w:val="18"/>
          <w:i w:val="1"/>
          <w:iCs w:val="1"/>
          <w:color w:val="auto"/>
        </w:rPr>
        <w:t xml:space="preserve"> Minority interest</w:t>
      </w:r>
      <w:r>
        <w:rPr>
          <w:rFonts w:ascii="Arial" w:cs="Arial" w:eastAsia="Arial" w:hAnsi="Arial"/>
          <w:sz w:val="18"/>
          <w:szCs w:val="18"/>
          <w:color w:val="auto"/>
        </w:rPr>
        <w:t>.</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December 2000, a pretax charge of $84 million offset by a pretax gain of $82 million (net – $3 million after tax and minority interest, $0.00 per share – diluted), consisting of the following:</w:t>
      </w:r>
    </w:p>
    <w:p>
      <w:pPr>
        <w:spacing w:after="0" w:line="37" w:lineRule="exact"/>
        <w:rPr>
          <w:sz w:val="20"/>
          <w:szCs w:val="20"/>
          <w:color w:val="auto"/>
        </w:rPr>
      </w:pPr>
    </w:p>
    <w:p>
      <w:pPr>
        <w:ind w:left="760" w:right="560" w:hanging="306"/>
        <w:spacing w:after="0" w:line="203" w:lineRule="auto"/>
        <w:tabs>
          <w:tab w:leader="none" w:pos="76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A charge of $29 million ($25 million after tax) related primarily to the writedown of certain inventory and severance costs in the semiconductor business due to weak market conditions.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760" w:right="160" w:hanging="306"/>
        <w:spacing w:after="0" w:line="203" w:lineRule="auto"/>
        <w:tabs>
          <w:tab w:leader="none" w:pos="76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A charge of $55 million ($39 million after tax and minority interest) related to the creation of the WesternGeco seismic joint venture, including asset impairments and severance costs for Schlumberger’s existing Geco-Prakla business.</w:t>
      </w:r>
    </w:p>
    <w:p>
      <w:pPr>
        <w:spacing w:after="0" w:line="62" w:lineRule="exact"/>
        <w:rPr>
          <w:rFonts w:ascii="Arial" w:cs="Arial" w:eastAsia="Arial" w:hAnsi="Arial"/>
          <w:sz w:val="27"/>
          <w:szCs w:val="27"/>
          <w:color w:val="auto"/>
          <w:vertAlign w:val="superscript"/>
        </w:rPr>
      </w:pPr>
    </w:p>
    <w:p>
      <w:pPr>
        <w:jc w:val="both"/>
        <w:ind w:left="760" w:hanging="306"/>
        <w:spacing w:after="0" w:line="216" w:lineRule="auto"/>
        <w:tabs>
          <w:tab w:leader="none" w:pos="76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$163 million and $2.7 million profit, respectively in 1999.</w:t>
      </w:r>
    </w:p>
    <w:p>
      <w:pPr>
        <w:spacing w:after="0" w:line="14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 xml:space="preserve">The pretax gain on the sale of the Gas Services businesses is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The pretax Semiconductor Solutions and WesternGeco charges are included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A $9 million credit is included in </w:t>
      </w:r>
      <w:r>
        <w:rPr>
          <w:rFonts w:ascii="Arial" w:cs="Arial" w:eastAsia="Arial" w:hAnsi="Arial"/>
          <w:sz w:val="16"/>
          <w:szCs w:val="16"/>
          <w:i w:val="1"/>
          <w:iCs w:val="1"/>
          <w:color w:val="auto"/>
        </w:rPr>
        <w:t>Minority interest</w:t>
      </w:r>
      <w:r>
        <w:rPr>
          <w:rFonts w:ascii="Arial" w:cs="Arial" w:eastAsia="Arial" w:hAnsi="Arial"/>
          <w:sz w:val="16"/>
          <w:szCs w:val="16"/>
          <w:color w:val="auto"/>
        </w:rPr>
        <w:t xml:space="preserve"> relating to the WesternGeco charges.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December 2002 pretax severance and facility charges is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i w:val="1"/>
                <w:iCs w:val="1"/>
                <w:color w:val="auto"/>
                <w:w w:val="86"/>
              </w:rPr>
              <w:t>(Stated in millions)</w:t>
            </w:r>
          </w:p>
        </w:tc>
      </w:tr>
      <w:tr>
        <w:trPr>
          <w:trHeight w:val="174"/>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ind w:left="42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60"/>
              <w:spacing w:after="0"/>
              <w:rPr>
                <w:sz w:val="20"/>
                <w:szCs w:val="20"/>
                <w:color w:val="auto"/>
              </w:rPr>
            </w:pPr>
            <w:r>
              <w:rPr>
                <w:rFonts w:ascii="Arial" w:cs="Arial" w:eastAsia="Arial" w:hAnsi="Arial"/>
                <w:sz w:val="14"/>
                <w:szCs w:val="14"/>
                <w:b w:val="1"/>
                <w:bCs w:val="1"/>
                <w:color w:val="auto"/>
                <w:w w:val="90"/>
              </w:rPr>
              <w:t>Facilities</w:t>
            </w:r>
          </w:p>
        </w:tc>
      </w:tr>
      <w:tr>
        <w:trPr>
          <w:trHeight w:val="95"/>
        </w:trPr>
        <w:tc>
          <w:tcPr>
            <w:tcW w:w="5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263"/>
        </w:trPr>
        <w:tc>
          <w:tcPr>
            <w:tcW w:w="5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Headcount</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180"/>
              <w:spacing w:after="0"/>
              <w:rPr>
                <w:sz w:val="20"/>
                <w:szCs w:val="20"/>
                <w:color w:val="auto"/>
              </w:rPr>
            </w:pPr>
            <w:r>
              <w:rPr>
                <w:rFonts w:ascii="Arial" w:cs="Arial" w:eastAsia="Arial" w:hAnsi="Arial"/>
                <w:sz w:val="14"/>
                <w:szCs w:val="14"/>
                <w:b w:val="1"/>
                <w:bCs w:val="1"/>
                <w:color w:val="auto"/>
                <w:w w:val="98"/>
              </w:rPr>
              <w:t>Amount</w:t>
            </w:r>
          </w:p>
        </w:tc>
      </w:tr>
      <w:tr>
        <w:trPr>
          <w:trHeight w:val="95"/>
        </w:trPr>
        <w:tc>
          <w:tcPr>
            <w:tcW w:w="5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5"/>
              </w:rPr>
              <w:t>94.5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Paid in December 2002</w:t>
            </w:r>
          </w:p>
        </w:tc>
        <w:tc>
          <w:tcPr>
            <w:tcW w:w="200" w:type="dxa"/>
            <w:vAlign w:val="bottom"/>
          </w:tcPr>
          <w:p>
            <w:pPr>
              <w:spacing w:after="0"/>
              <w:rPr>
                <w:sz w:val="19"/>
                <w:szCs w:val="19"/>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w w:val="85"/>
              </w:rPr>
              <w:t>32.9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02"/>
        </w:trPr>
        <w:tc>
          <w:tcPr>
            <w:tcW w:w="5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5"/>
              </w:rPr>
              <w:t>61.6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132"/>
        </w:trPr>
        <w:tc>
          <w:tcPr>
            <w:tcW w:w="5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-29210</wp:posOffset>
            </wp:positionV>
            <wp:extent cx="196786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6786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remaining severance costs are expected to be paid before September 30,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2001 charge included severance costs of $41 million (775 people) which have been 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2000 charges included severance costs of $9 million (380 people) which have been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Sema plc</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March 8, 2001, a wholly owned subsidiary of Schlumberger acquired, through market purchases, approximately 20% of the issued share capital of Sema at a cost of $1 billion.</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3, 2001, wholly owned subsidiaries of Schlumberger issued $1.9 billion European bonds (Euro 1.4 billion and £425 million). The average rate of these bonds is 5.9% with maturity from 2008 through 2032. The proceeds from the issues were used to repay short-term bank loans originally taken out by those subsidiaries to finance the acquisition of Sema plc.</w:t>
      </w:r>
    </w:p>
    <w:p>
      <w:pPr>
        <w:spacing w:after="0" w:line="12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The acquisition was accounted for using the purchase method of accounting and the goodwill and identifiable intangibles aggregated $5.19 billion which were being amortized on a straight-line basis in 2001. Effective January 1, 2002, with the adoption of SFAS 142 (see </w:t>
      </w:r>
      <w:r>
        <w:rPr>
          <w:rFonts w:ascii="Arial" w:cs="Arial" w:eastAsia="Arial" w:hAnsi="Arial"/>
          <w:sz w:val="16"/>
          <w:szCs w:val="16"/>
          <w:i w:val="1"/>
          <w:iCs w:val="1"/>
          <w:color w:val="auto"/>
        </w:rPr>
        <w:t>New Accounting Standards</w:t>
      </w:r>
      <w:r>
        <w:rPr>
          <w:rFonts w:ascii="Arial" w:cs="Arial" w:eastAsia="Arial" w:hAnsi="Arial"/>
          <w:sz w:val="16"/>
          <w:szCs w:val="16"/>
          <w:color w:val="auto"/>
        </w:rPr>
        <w:t>), amortization of goodwill and workforce ceased. Identifiable intangibles continue to be amortized on a straight-line basis over 10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value of goodwill and identifiable intangibles comprised the following: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billions)</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 (including expenses)</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Purchase accounting adjustments</w:t>
            </w:r>
          </w:p>
        </w:tc>
        <w:tc>
          <w:tcPr>
            <w:tcW w:w="5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r>
      <w:tr>
        <w:trPr>
          <w:trHeight w:val="108"/>
        </w:trPr>
        <w:tc>
          <w:tcPr>
            <w:tcW w:w="63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6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r>
      <w:tr>
        <w:trPr>
          <w:trHeight w:val="132"/>
        </w:trPr>
        <w:tc>
          <w:tcPr>
            <w:tcW w:w="63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All remaining severance costs were paid in 2002.</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(unaudited) to $14.3 billion (unaudited) and consolidated net income would have decreased by approximately $140 million (unaudited), to $382 million (unaudited), related primarily to increased interest expense and amortization of intangibles, and lower interest income. On a proforma basis, Schlumberger 2000 operating revenue and net income would have been $12 billion (unaudited) and $300 million (unaudited), respectively.</w:t>
      </w:r>
    </w:p>
    <w:p>
      <w:pPr>
        <w:spacing w:after="0" w:line="10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Sema is an IT services company (with approximately 22,000 employees at the date of acquisition)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2002, subsidiaries of Schlumberger acquired the following:</w:t>
      </w:r>
    </w:p>
    <w:p>
      <w:pPr>
        <w:spacing w:after="0" w:line="77" w:lineRule="exact"/>
        <w:rPr>
          <w:sz w:val="20"/>
          <w:szCs w:val="20"/>
          <w:color w:val="auto"/>
        </w:rPr>
      </w:pPr>
    </w:p>
    <w:p>
      <w:pPr>
        <w:ind w:left="760" w:right="120" w:hanging="306"/>
        <w:spacing w:after="0" w:line="203" w:lineRule="auto"/>
        <w:tabs>
          <w:tab w:leader="none" w:pos="76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In March, Inside Reality, a Norwegian based company specializing in virtual reality technology for the oil and gas industry. The acquisition price was $18 million in cash. Assets acquired included intangible assets of $18 million.</w:t>
      </w:r>
    </w:p>
    <w:p>
      <w:pPr>
        <w:spacing w:after="0" w:line="62" w:lineRule="exact"/>
        <w:rPr>
          <w:rFonts w:ascii="Arial" w:cs="Arial" w:eastAsia="Arial" w:hAnsi="Arial"/>
          <w:sz w:val="27"/>
          <w:szCs w:val="27"/>
          <w:color w:val="auto"/>
          <w:vertAlign w:val="superscript"/>
        </w:rPr>
      </w:pPr>
    </w:p>
    <w:p>
      <w:pPr>
        <w:ind w:left="760" w:right="360" w:hanging="306"/>
        <w:spacing w:after="0" w:line="223" w:lineRule="auto"/>
        <w:tabs>
          <w:tab w:leader="none" w:pos="76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In April, DBR International Inc., a Canadian based company which manufacturers fluid analysis equipment and provides fluid analysis consulting services to the oil and gas industry. The acquisition price was $12 million in cash. Assets acquired included $6 million of goodwill.</w:t>
      </w:r>
    </w:p>
    <w:p>
      <w:pPr>
        <w:spacing w:after="0" w:line="61" w:lineRule="exact"/>
        <w:rPr>
          <w:rFonts w:ascii="Arial" w:cs="Arial" w:eastAsia="Arial" w:hAnsi="Arial"/>
          <w:sz w:val="25"/>
          <w:szCs w:val="25"/>
          <w:color w:val="auto"/>
          <w:vertAlign w:val="superscript"/>
        </w:rPr>
      </w:pPr>
    </w:p>
    <w:p>
      <w:pPr>
        <w:ind w:left="760" w:hanging="306"/>
        <w:spacing w:after="0" w:line="203" w:lineRule="auto"/>
        <w:tabs>
          <w:tab w:leader="none" w:pos="76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In April, A.Comeau and Associates, a Canadian based provider of electrical engineering products and services for artificially lifted wells. The purchase price was $6 million in cash. Assets acquired included goodwill of $6 million.</w:t>
      </w:r>
    </w:p>
    <w:p>
      <w:pPr>
        <w:spacing w:after="0" w:line="62" w:lineRule="exact"/>
        <w:rPr>
          <w:rFonts w:ascii="Arial" w:cs="Arial" w:eastAsia="Arial" w:hAnsi="Arial"/>
          <w:sz w:val="27"/>
          <w:szCs w:val="27"/>
          <w:color w:val="auto"/>
          <w:vertAlign w:val="superscript"/>
        </w:rPr>
      </w:pPr>
    </w:p>
    <w:p>
      <w:pPr>
        <w:ind w:left="760" w:right="220" w:hanging="306"/>
        <w:spacing w:after="0" w:line="216" w:lineRule="auto"/>
        <w:tabs>
          <w:tab w:leader="none" w:pos="76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In December, Technoguide AS, a software leader in the reservoir modeling domain. The purchase price was $68 million comprising of $8 million in cash and 1.35 million shares of Schlumberger stock valued at $60 million. Assets acquired included goodwill of $23 million and $44 million of intangible assets (primarily Intellectual Property).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2001, subsidiaries of Schlumberger acquired the following:</w:t>
      </w:r>
    </w:p>
    <w:p>
      <w:pPr>
        <w:spacing w:after="0" w:line="77" w:lineRule="exact"/>
        <w:rPr>
          <w:sz w:val="20"/>
          <w:szCs w:val="20"/>
          <w:color w:val="auto"/>
        </w:rPr>
      </w:pPr>
    </w:p>
    <w:p>
      <w:pPr>
        <w:jc w:val="both"/>
        <w:ind w:left="760" w:right="20" w:hanging="306"/>
        <w:spacing w:after="0" w:line="264" w:lineRule="auto"/>
        <w:tabs>
          <w:tab w:leader="none" w:pos="76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In March, Bull CP8, a market leader in microprocessor-based smart cards and associated systems applications for the banking, mobile communications and network security industries. The acquisition price was $313 million in cash. Assets acquired included identifiable intangibles (primarily patents) of $136 million and goodwill of $140 million. In-process R&amp;D, which aggregated $25 million, was charged to expense in the first quarter.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60" w:right="320" w:hanging="306"/>
        <w:spacing w:after="0" w:line="203" w:lineRule="auto"/>
        <w:tabs>
          <w:tab w:leader="none" w:pos="76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 June, Infosynergy ASA, a Norwegian based company specializing in customer information and billing systems integration. The acquisition price was $29 million in cash. Assets acquired included goodwill of $29 million.</w:t>
      </w:r>
    </w:p>
    <w:p>
      <w:pPr>
        <w:spacing w:after="0" w:line="143" w:lineRule="exact"/>
        <w:rPr>
          <w:rFonts w:ascii="Arial" w:cs="Arial" w:eastAsia="Arial" w:hAnsi="Arial"/>
          <w:sz w:val="27"/>
          <w:szCs w:val="27"/>
          <w:color w:val="auto"/>
          <w:vertAlign w:val="superscript"/>
        </w:rPr>
      </w:pPr>
    </w:p>
    <w:p>
      <w:pPr>
        <w:ind w:left="760" w:right="20" w:hanging="306"/>
        <w:spacing w:after="0" w:line="239" w:lineRule="auto"/>
        <w:tabs>
          <w:tab w:leader="none" w:pos="76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In September, Sensor Highways Limited, a UK based market leader in the design, manufacture and deployment of a new generation of fiber optic sensors specializing in real-time data solutions to the oil and gas, process and power distribution industries. The acquisition price was $100 million, consisting of $70 million in cash and $30 million in notes. Assets acquired included identifiable intangibles of $48 million and goodwill of $50 million.</w:t>
      </w:r>
    </w:p>
    <w:p>
      <w:pPr>
        <w:spacing w:after="0" w:line="144" w:lineRule="exact"/>
        <w:rPr>
          <w:rFonts w:ascii="Arial" w:cs="Arial" w:eastAsia="Arial" w:hAnsi="Arial"/>
          <w:sz w:val="25"/>
          <w:szCs w:val="25"/>
          <w:color w:val="auto"/>
          <w:vertAlign w:val="superscript"/>
        </w:rPr>
      </w:pPr>
    </w:p>
    <w:p>
      <w:pPr>
        <w:ind w:left="760" w:right="120" w:hanging="306"/>
        <w:spacing w:after="0" w:line="216" w:lineRule="auto"/>
        <w:tabs>
          <w:tab w:leader="none" w:pos="76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 September, Phoenix Petroleum Services, a UK based leader in providing tools, technologies and techniques for optimizing production in artificially lifted wells, particularly those using submersible pumps. The acquisition price was $33 million in cash. Assets acquired included goodwill of $26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2000, subsidiaries of Schlumberger acquired the following:</w:t>
      </w:r>
    </w:p>
    <w:p>
      <w:pPr>
        <w:spacing w:after="0" w:line="158" w:lineRule="exact"/>
        <w:rPr>
          <w:sz w:val="20"/>
          <w:szCs w:val="20"/>
          <w:color w:val="auto"/>
        </w:rPr>
      </w:pPr>
    </w:p>
    <w:p>
      <w:pPr>
        <w:ind w:left="760" w:right="280" w:hanging="306"/>
        <w:spacing w:after="0" w:line="203" w:lineRule="auto"/>
        <w:tabs>
          <w:tab w:leader="none" w:pos="76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In January, Telweb Inc., an Internet access company based in Quebec, Canada. The purchase price was $28 million and the assets acquired included goodwill of $28 million.</w:t>
      </w:r>
    </w:p>
    <w:p>
      <w:pPr>
        <w:spacing w:after="0" w:line="143" w:lineRule="exact"/>
        <w:rPr>
          <w:rFonts w:ascii="Arial" w:cs="Arial" w:eastAsia="Arial" w:hAnsi="Arial"/>
          <w:sz w:val="27"/>
          <w:szCs w:val="27"/>
          <w:color w:val="auto"/>
          <w:vertAlign w:val="superscript"/>
        </w:rPr>
      </w:pPr>
    </w:p>
    <w:p>
      <w:pPr>
        <w:ind w:left="760" w:right="320" w:hanging="306"/>
        <w:spacing w:after="0" w:line="203" w:lineRule="auto"/>
        <w:tabs>
          <w:tab w:leader="none" w:pos="76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In April, Operational Services, Inc., which provides a systematic approach to production management through efficient systems and processes. The purchase price was $13 million and the assets acquired included goodwill of $13 million.</w:t>
      </w:r>
    </w:p>
    <w:p>
      <w:pPr>
        <w:spacing w:after="0" w:line="143" w:lineRule="exact"/>
        <w:rPr>
          <w:rFonts w:ascii="Arial" w:cs="Arial" w:eastAsia="Arial" w:hAnsi="Arial"/>
          <w:sz w:val="27"/>
          <w:szCs w:val="27"/>
          <w:color w:val="auto"/>
          <w:vertAlign w:val="superscript"/>
        </w:rPr>
      </w:pPr>
    </w:p>
    <w:p>
      <w:pPr>
        <w:ind w:left="760" w:hanging="306"/>
        <w:spacing w:after="0" w:line="216" w:lineRule="auto"/>
        <w:tabs>
          <w:tab w:leader="none" w:pos="76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there was no goodwill arising on the acquisition.</w:t>
      </w:r>
    </w:p>
    <w:p>
      <w:pPr>
        <w:spacing w:after="0" w:line="144" w:lineRule="exact"/>
        <w:rPr>
          <w:rFonts w:ascii="Arial" w:cs="Arial" w:eastAsia="Arial" w:hAnsi="Arial"/>
          <w:sz w:val="27"/>
          <w:szCs w:val="27"/>
          <w:color w:val="auto"/>
          <w:vertAlign w:val="superscript"/>
        </w:rPr>
      </w:pPr>
    </w:p>
    <w:p>
      <w:pPr>
        <w:ind w:left="760" w:right="80" w:hanging="306"/>
        <w:spacing w:after="0" w:line="203" w:lineRule="auto"/>
        <w:tabs>
          <w:tab w:leader="none" w:pos="76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In October, Data Marine Systems Limited, a global provider of telecommunications services for transmitting data from remote locations. The purchase price was $83 million and the assets acquired included goodwill of $75 million.</w:t>
      </w:r>
    </w:p>
    <w:p>
      <w:pPr>
        <w:spacing w:after="0" w:line="143" w:lineRule="exact"/>
        <w:rPr>
          <w:rFonts w:ascii="Arial" w:cs="Arial" w:eastAsia="Arial" w:hAnsi="Arial"/>
          <w:sz w:val="27"/>
          <w:szCs w:val="27"/>
          <w:color w:val="auto"/>
          <w:vertAlign w:val="superscript"/>
        </w:rPr>
      </w:pPr>
    </w:p>
    <w:p>
      <w:pPr>
        <w:ind w:left="760" w:right="680" w:hanging="306"/>
        <w:spacing w:after="0" w:line="212" w:lineRule="auto"/>
        <w:tabs>
          <w:tab w:leader="none" w:pos="76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In November, a 70% interest in the Convergent Group, a provider of business consulting, software engineering, system integration and project management services. The purchase price was $263 million and the assets acquired included goodwill of $214 million.</w:t>
      </w:r>
    </w:p>
    <w:p>
      <w:pPr>
        <w:spacing w:after="0" w:line="143" w:lineRule="exact"/>
        <w:rPr>
          <w:rFonts w:ascii="Arial" w:cs="Arial" w:eastAsia="Arial" w:hAnsi="Arial"/>
          <w:sz w:val="26"/>
          <w:szCs w:val="26"/>
          <w:color w:val="auto"/>
          <w:vertAlign w:val="superscript"/>
        </w:rPr>
      </w:pPr>
    </w:p>
    <w:p>
      <w:pPr>
        <w:ind w:left="760" w:right="280" w:hanging="306"/>
        <w:spacing w:after="0" w:line="227" w:lineRule="auto"/>
        <w:tabs>
          <w:tab w:leader="none" w:pos="76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In November, a 70% interest in WesternGeco, a new venture which combined the Schlumberger surface seismic business, Geco-Prakla, and the Western Geophysical seismic unit of Baker Hughes Incorporated. The purchase price was $720 million which comprised $500 million in cash and a 30% interest, valued at $220 million, in Geco-Prakla. There was no goodwill arising on the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Proforma results pertaining to the above acquisitions are not presented as the impact was not significant.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December 31, 2002 and 2001 was $592 million and $573 million, respectively. Schlumberger’s equity income from this joint venture in 2002 was $48 million, $51 million in 2001 and $33 million in 2000.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Balance Sheet reflects the Schlumberger investment portfolio separated between current and long term, based on maturity. Under normal circumstances it is the intent of Schlumberger to hold the investments until maturity, with the exception of investments which are consider trading (December 31, 2002 – $0: December 31, 2001 – $146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Fixed income investments mature as follows: $138 million in 2004 and $270 million in 2005.</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December 31, 2002, there were no interest rate swap arrangements outstanding related to investments. Interest rate swap arrangements had no material effect on consolidated 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and subsequently amended up to $250 million. The amount of receivables sold under this agreement totaled $155 million at December 31, 2002 and $176 million at December 31, 2001. Unless extended by amendment, the agreement expires in September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10"/>
          </w:tcPr>
          <w:p>
            <w:pPr>
              <w:jc w:val="right"/>
              <w:ind w:right="600"/>
              <w:spacing w:after="0"/>
              <w:rPr>
                <w:sz w:val="20"/>
                <w:szCs w:val="20"/>
                <w:color w:val="auto"/>
              </w:rPr>
            </w:pPr>
            <w:r>
              <w:rPr>
                <w:rFonts w:ascii="Arial" w:cs="Arial" w:eastAsia="Arial" w:hAnsi="Arial"/>
                <w:sz w:val="14"/>
                <w:szCs w:val="14"/>
                <w:i w:val="1"/>
                <w:iCs w:val="1"/>
                <w:color w:val="auto"/>
                <w:w w:val="97"/>
              </w:rPr>
              <w:t>(Stated 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As at December 31,</w:t>
            </w:r>
          </w:p>
        </w:tc>
        <w:tc>
          <w:tcPr>
            <w:tcW w:w="50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360"/>
              <w:spacing w:after="0" w:line="148" w:lineRule="exact"/>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1,010</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b w:val="1"/>
                <w:bCs w:val="1"/>
                <w:color w:val="auto"/>
              </w:rPr>
              <w:t>118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Less reserves for obsolescence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b w:val="1"/>
                <w:bCs w:val="1"/>
                <w:color w:val="auto"/>
              </w:rPr>
              <w:t>223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1,043</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w w:val="82"/>
              </w:rPr>
              <w:t>Fixed Assets</w:t>
            </w:r>
          </w:p>
        </w:tc>
        <w:tc>
          <w:tcPr>
            <w:tcW w:w="6640" w:type="dxa"/>
            <w:vAlign w:val="bottom"/>
            <w:gridSpan w:val="4"/>
            <w:vMerge w:val="restart"/>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940" w:type="dxa"/>
            <w:vAlign w:val="bottom"/>
            <w:tcBorders>
              <w:bottom w:val="single" w:sz="8" w:color="auto"/>
            </w:tcBorders>
            <w:vMerge w:val="continue"/>
          </w:tcPr>
          <w:p>
            <w:pPr>
              <w:spacing w:after="0"/>
              <w:rPr>
                <w:sz w:val="24"/>
                <w:szCs w:val="24"/>
                <w:color w:val="auto"/>
              </w:rPr>
            </w:pPr>
          </w:p>
        </w:tc>
        <w:tc>
          <w:tcPr>
            <w:tcW w:w="66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580" w:type="dxa"/>
            <w:vAlign w:val="bottom"/>
            <w:gridSpan w:val="5"/>
          </w:tcPr>
          <w:p>
            <w:pPr>
              <w:spacing w:after="0"/>
              <w:rPr>
                <w:sz w:val="20"/>
                <w:szCs w:val="20"/>
                <w:color w:val="auto"/>
              </w:rPr>
            </w:pPr>
            <w:r>
              <w:rPr>
                <w:rFonts w:ascii="Arial" w:cs="Arial" w:eastAsia="Arial" w:hAnsi="Arial"/>
                <w:sz w:val="18"/>
                <w:szCs w:val="18"/>
                <w:color w:val="auto"/>
              </w:rPr>
              <w:t>A summary of fixed assets follows: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at December 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76"/>
              </w:rPr>
              <w:t>2002</w:t>
            </w:r>
          </w:p>
        </w:tc>
        <w:tc>
          <w:tcPr>
            <w:tcW w:w="1060" w:type="dxa"/>
            <w:vAlign w:val="bottom"/>
            <w:gridSpan w:val="7"/>
          </w:tcPr>
          <w:p>
            <w:pPr>
              <w:ind w:left="20"/>
              <w:spacing w:after="0"/>
              <w:rPr>
                <w:sz w:val="20"/>
                <w:szCs w:val="20"/>
                <w:color w:val="auto"/>
              </w:rPr>
            </w:pPr>
            <w:r>
              <w:rPr>
                <w:rFonts w:ascii="Arial" w:cs="Arial" w:eastAsia="Arial" w:hAnsi="Arial"/>
                <w:sz w:val="14"/>
                <w:szCs w:val="14"/>
                <w:i w:val="1"/>
                <w:iCs w:val="1"/>
                <w:color w:val="auto"/>
                <w:w w:val="88"/>
              </w:rPr>
              <w:t>(Stated in millions)</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83"/>
              </w:rPr>
              <w:t>2001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1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Land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b w:val="1"/>
                <w:bCs w:val="1"/>
                <w:color w:val="auto"/>
              </w:rPr>
              <w:t>63</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Buildings &amp; Improvements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Machinery &amp; Equipment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b w:val="1"/>
                <w:bCs w:val="1"/>
                <w:color w:val="auto"/>
              </w:rPr>
              <w:t>10,314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cost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11,602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b w:val="1"/>
                <w:bCs w:val="1"/>
                <w:color w:val="auto"/>
              </w:rPr>
              <w:t>6,938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4,664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-2096135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-2096135</wp:posOffset>
            </wp:positionV>
            <wp:extent cx="131635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1635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11% is being depreciated over 16 to 25 years, 10% over 10 to 15 years and 79% over 2 to 9 years.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Multiclient Seismic Data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9"/>
          </w:tcPr>
          <w:p>
            <w:pPr>
              <w:ind w:left="80"/>
              <w:spacing w:after="0"/>
              <w:rPr>
                <w:sz w:val="20"/>
                <w:szCs w:val="20"/>
                <w:color w:val="auto"/>
              </w:rPr>
            </w:pPr>
            <w:r>
              <w:rPr>
                <w:rFonts w:ascii="Arial" w:cs="Arial" w:eastAsia="Arial" w:hAnsi="Arial"/>
                <w:sz w:val="14"/>
                <w:szCs w:val="14"/>
                <w:i w:val="1"/>
                <w:iCs w:val="1"/>
                <w:color w:val="auto"/>
                <w:w w:val="92"/>
              </w:rPr>
              <w:t>(Stated in millions)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6"/>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Capitalized in year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sales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(172)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Impairment, charged to income</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136"/>
              <w:spacing w:after="0"/>
              <w:rPr>
                <w:sz w:val="20"/>
                <w:szCs w:val="20"/>
                <w:color w:val="auto"/>
              </w:rPr>
            </w:pPr>
            <w:r>
              <w:rPr>
                <w:rFonts w:ascii="Arial" w:cs="Arial" w:eastAsia="Arial" w:hAnsi="Arial"/>
                <w:sz w:val="18"/>
                <w:szCs w:val="18"/>
                <w:b w:val="1"/>
                <w:bCs w:val="1"/>
                <w:color w:val="auto"/>
              </w:rPr>
              <w:t>(184)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9"/>
              </w:rPr>
              <w:t>Goodwill</w:t>
            </w:r>
          </w:p>
        </w:tc>
        <w:tc>
          <w:tcPr>
            <w:tcW w:w="7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7"/>
        </w:trPr>
        <w:tc>
          <w:tcPr>
            <w:tcW w:w="700" w:type="dxa"/>
            <w:vAlign w:val="bottom"/>
            <w:tcBorders>
              <w:bottom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280" w:type="dxa"/>
            <w:vAlign w:val="bottom"/>
            <w:gridSpan w:val="3"/>
          </w:tcPr>
          <w:p>
            <w:pPr>
              <w:spacing w:after="0"/>
              <w:rPr>
                <w:sz w:val="20"/>
                <w:szCs w:val="20"/>
                <w:color w:val="auto"/>
              </w:rPr>
            </w:pPr>
            <w:r>
              <w:rPr>
                <w:rFonts w:ascii="Arial" w:cs="Arial" w:eastAsia="Arial" w:hAnsi="Arial"/>
                <w:sz w:val="18"/>
                <w:szCs w:val="18"/>
                <w:color w:val="auto"/>
              </w:rPr>
              <w:t>The change in the carrying amount of goodwill is as follows: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9"/>
          </w:tcPr>
          <w:p>
            <w:pPr>
              <w:ind w:left="40"/>
              <w:spacing w:after="0"/>
              <w:rPr>
                <w:sz w:val="20"/>
                <w:szCs w:val="20"/>
                <w:color w:val="auto"/>
              </w:rPr>
            </w:pPr>
            <w:r>
              <w:rPr>
                <w:rFonts w:ascii="Arial" w:cs="Arial" w:eastAsia="Arial" w:hAnsi="Arial"/>
                <w:sz w:val="14"/>
                <w:szCs w:val="14"/>
                <w:i w:val="1"/>
                <w:iCs w:val="1"/>
                <w:color w:val="auto"/>
                <w:w w:val="95"/>
              </w:rPr>
              <w:t>(Stated in millions)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6"/>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6,261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tcPr>
          <w:p>
            <w:pPr>
              <w:spacing w:after="0" w:line="217" w:lineRule="exact"/>
              <w:rPr>
                <w:sz w:val="20"/>
                <w:szCs w:val="20"/>
                <w:color w:val="auto"/>
              </w:rPr>
            </w:pPr>
            <w:r>
              <w:rPr>
                <w:rFonts w:ascii="Arial" w:cs="Arial" w:eastAsia="Arial" w:hAnsi="Arial"/>
                <w:sz w:val="18"/>
                <w:szCs w:val="18"/>
                <w:color w:val="auto"/>
                <w:w w:val="93"/>
              </w:rPr>
              <w:t xml:space="preserve">Reclassification of Assembled Workforce, net of deferred taxes </w:t>
            </w:r>
            <w:r>
              <w:rPr>
                <w:rFonts w:ascii="Arial" w:cs="Arial" w:eastAsia="Arial" w:hAnsi="Arial"/>
                <w:sz w:val="22"/>
                <w:szCs w:val="22"/>
                <w:color w:val="auto"/>
                <w:w w:val="93"/>
                <w:vertAlign w:val="superscript"/>
              </w:rPr>
              <w:t>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charged to income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8"/>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(2,638)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Impact of change in exchange rates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charged to income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93"/>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Other, including acquisitions and divestitures </w:t>
            </w:r>
            <w:r>
              <w:rPr>
                <w:rFonts w:ascii="Arial" w:cs="Arial" w:eastAsia="Arial" w:hAnsi="Arial"/>
                <w:sz w:val="22"/>
                <w:szCs w:val="22"/>
                <w:color w:val="auto"/>
                <w:vertAlign w:val="superscript"/>
              </w:rPr>
              <w:t>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62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4,230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jc w:val="right"/>
              <w:ind w:right="32"/>
              <w:spacing w:after="0"/>
              <w:rPr>
                <w:sz w:val="20"/>
                <w:szCs w:val="20"/>
                <w:color w:val="auto"/>
              </w:rPr>
            </w:pPr>
            <w:r>
              <w:rPr>
                <w:rFonts w:ascii="Arial" w:cs="Arial" w:eastAsia="Arial" w:hAnsi="Arial"/>
                <w:sz w:val="18"/>
                <w:szCs w:val="18"/>
                <w:color w:val="auto"/>
              </w:rPr>
              <w:t>1.</w:t>
            </w:r>
          </w:p>
        </w:tc>
        <w:tc>
          <w:tcPr>
            <w:tcW w:w="5580" w:type="dxa"/>
            <w:vAlign w:val="bottom"/>
            <w:gridSpan w:val="2"/>
            <w:vMerge w:val="restart"/>
          </w:tcPr>
          <w:p>
            <w:pPr>
              <w:ind w:left="200"/>
              <w:spacing w:after="0"/>
              <w:rPr>
                <w:sz w:val="20"/>
                <w:szCs w:val="20"/>
                <w:color w:val="auto"/>
              </w:rPr>
            </w:pPr>
            <w:r>
              <w:rPr>
                <w:rFonts w:ascii="Arial" w:cs="Arial" w:eastAsia="Arial" w:hAnsi="Arial"/>
                <w:sz w:val="18"/>
                <w:szCs w:val="18"/>
                <w:color w:val="auto"/>
              </w:rPr>
              <w:t>Following adoption of SFAS 142 on January 1, 2002.</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700" w:type="dxa"/>
            <w:vAlign w:val="bottom"/>
            <w:vMerge w:val="continue"/>
          </w:tcPr>
          <w:p>
            <w:pPr>
              <w:spacing w:after="0"/>
              <w:rPr>
                <w:sz w:val="24"/>
                <w:szCs w:val="24"/>
                <w:color w:val="auto"/>
              </w:rPr>
            </w:pPr>
          </w:p>
        </w:tc>
        <w:tc>
          <w:tcPr>
            <w:tcW w:w="5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5580" w:type="dxa"/>
            <w:vAlign w:val="bottom"/>
            <w:gridSpan w:val="2"/>
          </w:tcPr>
          <w:p>
            <w:pPr>
              <w:ind w:left="200"/>
              <w:spacing w:after="0"/>
              <w:rPr>
                <w:sz w:val="20"/>
                <w:szCs w:val="20"/>
                <w:color w:val="auto"/>
              </w:rPr>
            </w:pPr>
            <w:r>
              <w:rPr>
                <w:rFonts w:ascii="Arial" w:cs="Arial" w:eastAsia="Arial" w:hAnsi="Arial"/>
                <w:sz w:val="18"/>
                <w:szCs w:val="18"/>
                <w:color w:val="auto"/>
              </w:rPr>
              <w:t>2001 includes acquisition of Sema plc ($4.84 billion).</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460" w:type="dxa"/>
            <w:vAlign w:val="bottom"/>
            <w:gridSpan w:val="4"/>
          </w:tcPr>
          <w:p>
            <w:pPr>
              <w:spacing w:after="0"/>
              <w:rPr>
                <w:sz w:val="20"/>
                <w:szCs w:val="20"/>
                <w:color w:val="auto"/>
              </w:rPr>
            </w:pPr>
            <w:r>
              <w:rPr>
                <w:rFonts w:ascii="Arial" w:cs="Arial" w:eastAsia="Arial" w:hAnsi="Arial"/>
                <w:sz w:val="18"/>
                <w:szCs w:val="18"/>
                <w:color w:val="auto"/>
                <w:w w:val="89"/>
              </w:rPr>
              <w:t>The changes in the carrying amount of goodwill by business segment in 2002 is as follows: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11"/>
          </w:tcPr>
          <w:p>
            <w:pPr>
              <w:jc w:val="right"/>
              <w:ind w:righ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Oilfield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4"/>
              </w:rPr>
              <w:t>Schlumberger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Sema</w:t>
            </w:r>
          </w:p>
        </w:tc>
        <w:tc>
          <w:tcPr>
            <w:tcW w:w="240" w:type="dxa"/>
            <w:vAlign w:val="bottom"/>
          </w:tcPr>
          <w:p>
            <w:pPr>
              <w:spacing w:after="0"/>
              <w:rPr>
                <w:sz w:val="15"/>
                <w:szCs w:val="15"/>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6"/>
              </w:rPr>
              <w:t>Reclassification of Assembled Workforce, net of deferred taxes</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charged to income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93"/>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267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-4342765</wp:posOffset>
            </wp:positionV>
            <wp:extent cx="13677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677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-2190115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-2190115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-2190115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-2190115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-2190115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-2190115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68135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1355" cy="29845"/>
                    </a:xfrm>
                    <a:prstGeom prst="rect">
                      <a:avLst/>
                    </a:prstGeom>
                    <a:noFill/>
                  </pic:spPr>
                </pic:pic>
              </a:graphicData>
            </a:graphic>
          </wp:anchor>
        </w:drawing>
      </w:r>
    </w:p>
    <w:p>
      <w:pPr>
        <w:spacing w:after="0" w:line="225" w:lineRule="exact"/>
        <w:rPr>
          <w:sz w:val="20"/>
          <w:szCs w:val="20"/>
          <w:color w:val="auto"/>
        </w:rPr>
      </w:pPr>
    </w:p>
    <w:p>
      <w:pPr>
        <w:ind w:left="5620" w:right="4019" w:hanging="5166"/>
        <w:spacing w:after="0" w:line="511" w:lineRule="auto"/>
        <w:tabs>
          <w:tab w:leader="none" w:pos="893"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Including acquisitions, divestitures and impact of change in exchange rates. 51</w:t>
      </w:r>
    </w:p>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in 2001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4"/>
                <w:szCs w:val="14"/>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Oilfield</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Schlumberger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79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w:t>
            </w:r>
          </w:p>
        </w:tc>
        <w:tc>
          <w:tcPr>
            <w:tcW w:w="130" w:type="dxa"/>
            <w:vAlign w:val="bottom"/>
          </w:tcPr>
          <w:p>
            <w:pPr>
              <w:spacing w:after="0"/>
              <w:rPr>
                <w:sz w:val="15"/>
                <w:szCs w:val="15"/>
                <w:color w:val="auto"/>
              </w:rPr>
            </w:pPr>
          </w:p>
        </w:tc>
        <w:tc>
          <w:tcPr>
            <w:tcW w:w="91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Sema</w:t>
            </w:r>
          </w:p>
        </w:tc>
        <w:tc>
          <w:tcPr>
            <w:tcW w:w="180" w:type="dxa"/>
            <w:vAlign w:val="bottom"/>
          </w:tcPr>
          <w:p>
            <w:pPr>
              <w:spacing w:after="0"/>
              <w:rPr>
                <w:sz w:val="15"/>
                <w:szCs w:val="15"/>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7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$1,036</w:t>
            </w:r>
          </w:p>
        </w:tc>
        <w:tc>
          <w:tcPr>
            <w:tcW w:w="4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Acquisition of Sema plc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3,890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charged to income</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13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7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(32)</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93"/>
        </w:trPr>
        <w:tc>
          <w:tcPr>
            <w:tcW w:w="7900" w:type="dxa"/>
            <w:vAlign w:val="bottom"/>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0" w:type="dxa"/>
            <w:vAlign w:val="bottom"/>
            <w:tcBorders>
              <w:bottom w:val="single" w:sz="8" w:color="auto"/>
            </w:tcBorders>
          </w:tcPr>
          <w:p>
            <w:pPr>
              <w:spacing w:after="0"/>
              <w:rPr>
                <w:sz w:val="2"/>
                <w:szCs w:val="2"/>
                <w:color w:val="auto"/>
              </w:rPr>
            </w:pPr>
          </w:p>
        </w:tc>
        <w:tc>
          <w:tcPr>
            <w:tcW w:w="69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$1,980</w:t>
            </w:r>
          </w:p>
        </w:tc>
        <w:tc>
          <w:tcPr>
            <w:tcW w:w="4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34734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6162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37274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Including other acquisitions, divestitures and impact of change in exchange rates.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6"/>
          </w:tcPr>
          <w:p>
            <w:pP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10100" w:type="dxa"/>
            <w:vAlign w:val="bottom"/>
          </w:tcPr>
          <w:p>
            <w:pPr>
              <w:spacing w:after="0"/>
              <w:rPr>
                <w:sz w:val="12"/>
                <w:szCs w:val="12"/>
                <w:color w:val="auto"/>
              </w:rPr>
            </w:pPr>
          </w:p>
        </w:tc>
        <w:tc>
          <w:tcPr>
            <w:tcW w:w="8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Dec. 31</w:t>
            </w:r>
          </w:p>
        </w:tc>
        <w:tc>
          <w:tcPr>
            <w:tcW w:w="5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10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book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10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0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-27305</wp:posOffset>
            </wp:positionV>
            <wp:extent cx="83629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36295" cy="29845"/>
                    </a:xfrm>
                    <a:prstGeom prst="rect">
                      <a:avLst/>
                    </a:prstGeom>
                    <a:noFill/>
                  </pic:spPr>
                </pic:pic>
              </a:graphicData>
            </a:graphic>
          </wp:anchor>
        </w:drawing>
      </w:r>
    </w:p>
    <w:p>
      <w:pPr>
        <w:spacing w:after="0" w:line="22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amortization charged to income was $118 million in 2002. In accordance with SFAS 142 (see New Accounting Standards), $259 million (net of amortization) has been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Intangible assets principally comprise patents, software, technology and other. At December 31, the gross book value, accumulated amortization and amortization periods of intangible assets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vMerge w:val="restart"/>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w w:val="78"/>
              </w:rPr>
              <w:t>Gross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Accumulated</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7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Book Value</w:t>
            </w:r>
          </w:p>
        </w:tc>
        <w:tc>
          <w:tcPr>
            <w:tcW w:w="3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32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w w:val="96"/>
              </w:rPr>
              <w:t>Amortization Periods</w:t>
            </w:r>
          </w:p>
        </w:tc>
        <w:tc>
          <w:tcPr>
            <w:tcW w:w="0" w:type="dxa"/>
            <w:vAlign w:val="bottom"/>
          </w:tcPr>
          <w:p>
            <w:pPr>
              <w:spacing w:after="0"/>
              <w:rPr>
                <w:sz w:val="1"/>
                <w:szCs w:val="1"/>
                <w:color w:val="auto"/>
              </w:rPr>
            </w:pPr>
          </w:p>
        </w:tc>
      </w:tr>
      <w:tr>
        <w:trPr>
          <w:trHeight w:val="95"/>
        </w:trPr>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5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4"/>
              </w:rPr>
              <w:t>5-10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480" w:type="dxa"/>
            <w:vAlign w:val="bottom"/>
          </w:tcPr>
          <w:p>
            <w:pPr>
              <w:ind w:left="740"/>
              <w:spacing w:after="0"/>
              <w:rPr>
                <w:sz w:val="20"/>
                <w:szCs w:val="20"/>
                <w:color w:val="auto"/>
              </w:rPr>
            </w:pPr>
            <w:r>
              <w:rPr>
                <w:rFonts w:ascii="Arial" w:cs="Arial" w:eastAsia="Arial" w:hAnsi="Arial"/>
                <w:sz w:val="18"/>
                <w:szCs w:val="18"/>
                <w:color w:val="auto"/>
                <w:w w:val="84"/>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4"/>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700" w:type="dxa"/>
            <w:vAlign w:val="bottom"/>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1480" w:type="dxa"/>
            <w:vAlign w:val="bottom"/>
          </w:tcPr>
          <w:p>
            <w:pPr>
              <w:ind w:left="740"/>
              <w:spacing w:after="0"/>
              <w:rPr>
                <w:sz w:val="20"/>
                <w:szCs w:val="20"/>
                <w:color w:val="auto"/>
              </w:rPr>
            </w:pPr>
            <w:r>
              <w:rPr>
                <w:rFonts w:ascii="Arial" w:cs="Arial" w:eastAsia="Arial" w:hAnsi="Arial"/>
                <w:sz w:val="18"/>
                <w:szCs w:val="18"/>
                <w:color w:val="auto"/>
                <w:w w:val="84"/>
              </w:rPr>
              <w:t>1-15 years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5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5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640" w:firstLine="8"/>
        <w:spacing w:after="0" w:line="422"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2001, includes Assembled Workforce which was reclassified to goodwill following the adoption of SFAS 142 on January 1, 2002. The weighted average amortization period for all intangible assets is approximately 7 years.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Amortization charged to income for the subsequent five years is estimated, based on the December 31, 2002 Gross Book Value, to be 2003 – $134 million, 2004 – $112 million, 2005 – $96 million, 2006 – $75 million and 2007 – $56 million.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long-term debt by currency at December 31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4"/>
          </w:tcPr>
          <w:p>
            <w:pPr>
              <w:ind w:left="3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00" w:type="dxa"/>
            <w:vAlign w:val="bottom"/>
          </w:tcPr>
          <w:p>
            <w:pPr>
              <w:spacing w:after="0"/>
              <w:rPr>
                <w:sz w:val="22"/>
                <w:szCs w:val="22"/>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rPr>
              <w:t>Bonds</w:t>
            </w:r>
          </w:p>
        </w:tc>
        <w:tc>
          <w:tcPr>
            <w:tcW w:w="8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CP</w:t>
            </w:r>
          </w:p>
        </w:tc>
        <w:tc>
          <w:tcPr>
            <w:tcW w:w="32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Others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w w:val="91"/>
              </w:rPr>
              <w:t>Bonds</w:t>
            </w:r>
          </w:p>
        </w:tc>
        <w:tc>
          <w:tcPr>
            <w:tcW w:w="34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CP</w:t>
            </w:r>
          </w:p>
        </w:tc>
        <w:tc>
          <w:tcPr>
            <w:tcW w:w="3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Others</w:t>
            </w:r>
          </w:p>
        </w:tc>
        <w:tc>
          <w:tcPr>
            <w:tcW w:w="340" w:type="dxa"/>
            <w:vAlign w:val="bottom"/>
          </w:tcPr>
          <w:p>
            <w:pPr>
              <w:spacing w:after="0"/>
              <w:rPr>
                <w:sz w:val="22"/>
                <w:szCs w:val="22"/>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724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407</w:t>
            </w:r>
          </w:p>
        </w:tc>
        <w:tc>
          <w:tcPr>
            <w:tcW w:w="10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$335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Euro</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1,399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b w:val="1"/>
                <w:bCs w:val="1"/>
                <w:color w:val="auto"/>
                <w:w w:val="86"/>
              </w:rPr>
              <w:t>442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237</w:t>
            </w:r>
          </w:p>
        </w:tc>
        <w:tc>
          <w:tcPr>
            <w:tcW w:w="10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2,078</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1,188</w:t>
            </w:r>
          </w:p>
        </w:tc>
        <w:tc>
          <w:tcPr>
            <w:tcW w:w="3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pound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122</w:t>
            </w:r>
          </w:p>
        </w:tc>
        <w:tc>
          <w:tcPr>
            <w:tcW w:w="10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615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Canadian dollar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75</w:t>
            </w:r>
          </w:p>
        </w:tc>
        <w:tc>
          <w:tcPr>
            <w:tcW w:w="10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115</w:t>
            </w:r>
          </w:p>
        </w:tc>
        <w:tc>
          <w:tcPr>
            <w:tcW w:w="3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Japanese yen</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w:t>
            </w:r>
          </w:p>
        </w:tc>
        <w:tc>
          <w:tcPr>
            <w:tcW w:w="10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197</w:t>
            </w:r>
          </w:p>
        </w:tc>
        <w:tc>
          <w:tcPr>
            <w:tcW w:w="10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3,188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4"/>
              </w:rPr>
              <w:t>1,745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1,096</w:t>
            </w:r>
          </w:p>
        </w:tc>
        <w:tc>
          <w:tcPr>
            <w:tcW w:w="10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1,918</w:t>
            </w:r>
          </w:p>
        </w:tc>
        <w:tc>
          <w:tcPr>
            <w:tcW w:w="7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$335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89433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94330" cy="29845"/>
                    </a:xfrm>
                    <a:prstGeom prst="rect">
                      <a:avLst/>
                    </a:prstGeom>
                    <a:noFill/>
                  </pic:spPr>
                </pic:pic>
              </a:graphicData>
            </a:graphic>
          </wp:anchor>
        </w:drawing>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January 2002, two principal subsidiaries of Schlumberger in Europe initiated a Euro commercial paper program, which is guaranteed by Schlumberger Limited and supported by a long-term credit facility. Commercial paper borrowings are classified as long-term debt to the extent of their backup by available and unused committed facilities maturing in more than one year and the intent to maintain these obligations for longer than one year.</w:t>
      </w:r>
    </w:p>
    <w:p>
      <w:pPr>
        <w:spacing w:after="0" w:line="9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On April 4, 2002, the principal US subsidiary of Schlumberger issued $1 billion of 10 year notes with a coupon rate of 6.50% in the US market. The notes were issued under rule 144A without registration rights for life. The fair market value at December 31, 2002 was $1,112 million.</w:t>
      </w:r>
    </w:p>
    <w:p>
      <w:pPr>
        <w:spacing w:after="0" w:line="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At December 31, 2002, the borrowings in euro included $881 million of bonds at 5.25% due in 2008 and $518 million of bonds at 5.875% due in 2011 issued in the Euro market by the principal subsidiary in France. The aggregate fair market value at December 31, 2002 was $1,483 million.</w:t>
      </w:r>
    </w:p>
    <w:p>
      <w:pPr>
        <w:spacing w:after="0" w:line="7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At December 31, 2002, the borrowings in UK pound included $398 million of bonds at 6.25% due in 2008 and $278 million of bonds at 6.50% due in 2032 issued in the Euro market by the principal subsidiary in the UK. The aggregate fair market value at December 31, 2002 was $734 million.</w:t>
      </w:r>
    </w:p>
    <w:p>
      <w:pPr>
        <w:spacing w:after="0" w:line="7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remainder of the long-term debt is at variable interest rates. Such rates are reset every six months or sooner. The carrying value of this long-term debt on December 31, 2002 approximates its fair market value. The weighted-average interest rate of the total debt outstanding on December 31, 2002 was 5.0%, including the effect of the interest rate swaps discussed below.</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Long-term debt on December 31, 2002, is due as follows: $410 million in 2004, $355 million in 2005, $315 million in 2006, $1,835 million in 2007 and $3,114 million thereafter.</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31, 2002, interest rate swap arrangements outstanding were: pay fixed/receive floating on US dollar debt of $800 million; pay fixed/receive floating on Japanese yen debt of $67 million. These arrangements mature at various dates to December 2009. Interest rate swap arrangements increased consolidated interest expense in 2002 by $37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Lines of Credit</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On December 31, 2002, wholly owned subsidiaries of Schlumberger had separate lines of credit agreements aggregating $7.7 billion with commercial banks, of which $7.3 billion was committed and $3.7 billion was available and unused. It included $4.6 billion of committed facilities which support borrowings under commercial paper programs in the United States and Europe, of which $3.6 billion matures in January 2007 and $1 billion which matured in January 2003 was renewed for $500 million. Interest rates and other terms of borrowing under these lines of credit vary from country to country.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and Hedging Activities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Commencing January 1, 2001, Schlumberger adopted SFAS 133 (Accounting for Derivative Instruments and Hedging Activities). Schlumberger uses derivative instruments such as interest rate swaps, currency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fixed rate debt and derivatives to minimize significant, unanticipated earnings fluctuations caused by interest rate volatility.</w:t>
      </w:r>
    </w:p>
    <w:p>
      <w:pPr>
        <w:spacing w:after="0" w:line="12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Schlumberger’s specific goals are (1) to manage interest rate sensitivity by modifying the repricing or maturity characteristics of certain of its debt and (2) to lower (where possible) the cost of borrowed funds.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At December 31, 2002, Schlumberger recognized a net $83 million charge in Stockholders’ Equity relating to derivative instruments and hedging activities. This charge was primarily due to the change in the fair market value of Schlumberger’s US interest rate swaps as a result of declining interest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Schlumberger is authorized to issue 1,500,000,000 shares of common stock, par value $0.01 per share, of which 582,173,115 and 575,890,398 shares were outstanding on December 31, 2002 and 2001,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As of December 31, 2002,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60" w:type="dxa"/>
            <w:vAlign w:val="bottom"/>
            <w:gridSpan w:val="7"/>
          </w:tcPr>
          <w:p>
            <w:pPr>
              <w:jc w:val="right"/>
              <w:spacing w:after="0"/>
              <w:rPr>
                <w:sz w:val="20"/>
                <w:szCs w:val="20"/>
                <w:color w:val="auto"/>
              </w:rPr>
            </w:pPr>
            <w:r>
              <w:rPr>
                <w:rFonts w:ascii="Arial" w:cs="Arial" w:eastAsia="Arial" w:hAnsi="Arial"/>
                <w:sz w:val="14"/>
                <w:szCs w:val="14"/>
                <w:i w:val="1"/>
                <w:iCs w:val="1"/>
                <w:color w:val="auto"/>
                <w:w w:val="86"/>
              </w:rPr>
              <w:t>(Stated in millions except per share amounts)</w:t>
            </w:r>
          </w:p>
        </w:tc>
      </w:tr>
      <w:tr>
        <w:trPr>
          <w:trHeight w:val="174"/>
        </w:trPr>
        <w:tc>
          <w:tcPr>
            <w:tcW w:w="39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2000</w:t>
            </w:r>
          </w:p>
        </w:tc>
      </w:tr>
      <w:tr>
        <w:trPr>
          <w:trHeight w:val="95"/>
        </w:trPr>
        <w:tc>
          <w:tcPr>
            <w:tcW w:w="3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3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960" w:type="dxa"/>
            <w:vAlign w:val="bottom"/>
          </w:tcPr>
          <w:p>
            <w:pPr>
              <w:ind w:left="320"/>
              <w:spacing w:after="0"/>
              <w:rPr>
                <w:sz w:val="20"/>
                <w:szCs w:val="20"/>
                <w:color w:val="auto"/>
              </w:rPr>
            </w:pPr>
            <w:r>
              <w:rPr>
                <w:rFonts w:ascii="Arial" w:cs="Arial" w:eastAsia="Arial" w:hAnsi="Arial"/>
                <w:sz w:val="18"/>
                <w:szCs w:val="18"/>
                <w:color w:val="auto"/>
              </w:rPr>
              <w:t>As reported</w:t>
            </w:r>
          </w:p>
        </w:tc>
        <w:tc>
          <w:tcPr>
            <w:tcW w:w="4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(2,320)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16"/>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 forma</w:t>
            </w:r>
          </w:p>
        </w:tc>
        <w:tc>
          <w:tcPr>
            <w:tcW w:w="4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322"/>
        </w:trPr>
        <w:tc>
          <w:tcPr>
            <w:tcW w:w="396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reported</w:t>
            </w:r>
          </w:p>
        </w:tc>
        <w:tc>
          <w:tcPr>
            <w:tcW w:w="4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8"/>
        </w:trPr>
        <w:tc>
          <w:tcPr>
            <w:tcW w:w="3960" w:type="dxa"/>
            <w:vAlign w:val="bottom"/>
          </w:tcPr>
          <w:p>
            <w:pPr>
              <w:ind w:left="320"/>
              <w:spacing w:after="0"/>
              <w:rPr>
                <w:sz w:val="20"/>
                <w:szCs w:val="20"/>
                <w:color w:val="auto"/>
              </w:rPr>
            </w:pPr>
            <w:r>
              <w:rPr>
                <w:rFonts w:ascii="Arial" w:cs="Arial" w:eastAsia="Arial" w:hAnsi="Arial"/>
                <w:sz w:val="18"/>
                <w:szCs w:val="18"/>
                <w:color w:val="auto"/>
              </w:rPr>
              <w:t>Pro forma</w:t>
            </w:r>
          </w:p>
        </w:tc>
        <w:tc>
          <w:tcPr>
            <w:tcW w:w="4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96"/>
        </w:trPr>
        <w:tc>
          <w:tcPr>
            <w:tcW w:w="3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3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960" w:type="dxa"/>
            <w:vAlign w:val="bottom"/>
          </w:tcPr>
          <w:p>
            <w:pPr>
              <w:ind w:left="320"/>
              <w:spacing w:after="0"/>
              <w:rPr>
                <w:sz w:val="20"/>
                <w:szCs w:val="20"/>
                <w:color w:val="auto"/>
              </w:rPr>
            </w:pPr>
            <w:r>
              <w:rPr>
                <w:rFonts w:ascii="Arial" w:cs="Arial" w:eastAsia="Arial" w:hAnsi="Arial"/>
                <w:sz w:val="18"/>
                <w:szCs w:val="18"/>
                <w:color w:val="auto"/>
              </w:rPr>
              <w:t>As reported</w:t>
            </w:r>
          </w:p>
        </w:tc>
        <w:tc>
          <w:tcPr>
            <w:tcW w:w="4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 forma</w:t>
            </w:r>
          </w:p>
        </w:tc>
        <w:tc>
          <w:tcPr>
            <w:tcW w:w="4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511"/>
        </w:trPr>
        <w:tc>
          <w:tcPr>
            <w:tcW w:w="3960" w:type="dxa"/>
            <w:vAlign w:val="bottom"/>
          </w:tcPr>
          <w:p>
            <w:pPr>
              <w:spacing w:after="0"/>
              <w:rPr>
                <w:sz w:val="24"/>
                <w:szCs w:val="24"/>
                <w:color w:val="auto"/>
              </w:rPr>
            </w:pPr>
          </w:p>
        </w:tc>
        <w:tc>
          <w:tcPr>
            <w:tcW w:w="3800" w:type="dxa"/>
            <w:vAlign w:val="bottom"/>
          </w:tcPr>
          <w:p>
            <w:pPr>
              <w:jc w:val="right"/>
              <w:ind w:right="1872"/>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2002, 2001, 2000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required by SFAS 123, the fair value of each grant is estimated on the date of grant using the multiple option Black-Scholes option-pricing model with the following weighted-average assumptions used for 2002, 2001 and 2000: dividend of $0.75; expected volatility of 32-36% for 2002 grants, 32-35% for 2001 grants and 27-33% for 2000 grants; risk-free interest rates for the 2002 grants of 4.34%-5.25% for officers and 3.04%-4.73% for the 2002 grants to all other employees; risk-free interest rates for the 2001 grants of 4.91% for officers and 3.87%-5.01% for the 2001 grants to all other employees; risk-free interest rates for the 2000 grants of 5.75%-6.84% for officers and 5.69%-6.72% for the 2000 grants to all other employees; and expected option lives of 6.6 years for officers and 5.07 years for other employees for 2002 grants, expected option lives of 5.51 years for officers and 5.02 years for other employees for 2001 grants, expected option lives of 7.16 years for officers and 5.49 years for other employees for 2000 grants.</w:t>
      </w:r>
    </w:p>
    <w:p>
      <w:pPr>
        <w:spacing w:after="0" w:line="1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summary of the status of the Schlumberger stock option plans as of December 31, 2002, 2001 and 2000, and changes during the years ending on those dates is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3360" w:type="dxa"/>
            <w:vAlign w:val="bottom"/>
          </w:tcPr>
          <w:p>
            <w:pPr>
              <w:spacing w:after="0"/>
              <w:rPr>
                <w:sz w:val="20"/>
                <w:szCs w:val="20"/>
                <w:color w:val="auto"/>
              </w:rPr>
            </w:pPr>
            <w:r>
              <w:rPr>
                <w:rFonts w:ascii="Arial" w:cs="Arial" w:eastAsia="Arial" w:hAnsi="Arial"/>
                <w:sz w:val="14"/>
                <w:szCs w:val="14"/>
                <w:b w:val="1"/>
                <w:bCs w:val="1"/>
                <w:color w:val="auto"/>
              </w:rPr>
              <w:t>Fixed Options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exercise price</w:t>
            </w: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exercise price</w:t>
            </w: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33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4"/>
              </w:rPr>
              <w:t>32,836,340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31,208,321</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31,613,924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7,314,617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$55.14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4,110,468</w:t>
            </w:r>
          </w:p>
        </w:tc>
        <w:tc>
          <w:tcPr>
            <w:tcW w:w="3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5,643,500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(2,296,593)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(1,444,588)</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(5,447,870)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(984,680)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$66.69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(1,037,861)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$71.27</w:t>
            </w:r>
          </w:p>
        </w:tc>
        <w:tc>
          <w:tcPr>
            <w:tcW w:w="1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(601,233)</w:t>
            </w:r>
          </w:p>
        </w:tc>
        <w:tc>
          <w:tcPr>
            <w:tcW w:w="880" w:type="dxa"/>
            <w:vAlign w:val="bottom"/>
          </w:tcPr>
          <w:p>
            <w:pPr>
              <w:jc w:val="right"/>
              <w:spacing w:after="0"/>
              <w:rPr>
                <w:sz w:val="20"/>
                <w:szCs w:val="20"/>
                <w:color w:val="auto"/>
              </w:rPr>
            </w:pPr>
            <w:r>
              <w:rPr>
                <w:rFonts w:ascii="Arial" w:cs="Arial" w:eastAsia="Arial" w:hAnsi="Arial"/>
                <w:sz w:val="18"/>
                <w:szCs w:val="18"/>
                <w:color w:val="auto"/>
              </w:rPr>
              <w:t>$62.03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4"/>
              </w:rPr>
              <w:t>36,869,684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32,836,340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31,208,321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year-end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4"/>
              </w:rPr>
              <w:t>21,142,473</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19,724,680</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16,277,868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Weighted-average fair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Arial" w:cs="Arial" w:eastAsia="Arial" w:hAnsi="Arial"/>
                <w:sz w:val="18"/>
                <w:szCs w:val="18"/>
                <w:color w:val="auto"/>
              </w:rPr>
              <w:t>value of options granted</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20.22</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80"/>
              <w:spacing w:after="0"/>
              <w:rPr>
                <w:sz w:val="20"/>
                <w:szCs w:val="20"/>
                <w:color w:val="auto"/>
              </w:rPr>
            </w:pPr>
            <w:r>
              <w:rPr>
                <w:rFonts w:ascii="Arial" w:cs="Arial" w:eastAsia="Arial" w:hAnsi="Arial"/>
                <w:sz w:val="18"/>
                <w:szCs w:val="18"/>
                <w:color w:val="auto"/>
              </w:rPr>
              <w:t>during the year</w:t>
            </w:r>
          </w:p>
        </w:tc>
        <w:tc>
          <w:tcPr>
            <w:tcW w:w="11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21.51</w:t>
            </w:r>
          </w:p>
        </w:tc>
        <w:tc>
          <w:tcPr>
            <w:tcW w:w="3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30.03</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-643255</wp:posOffset>
            </wp:positionV>
            <wp:extent cx="59563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-643255</wp:posOffset>
            </wp:positionV>
            <wp:extent cx="59563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-643255</wp:posOffset>
            </wp:positionV>
            <wp:extent cx="59563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currently outstanding and exercisable options by five ranges of exercise prices on December 31, 2002: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3"/>
          </w:tcPr>
          <w:p>
            <w:pPr>
              <w:ind w:left="4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jc w:val="center"/>
              <w:ind w:left="200"/>
              <w:spacing w:after="0"/>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gridSpan w:val="2"/>
          </w:tcPr>
          <w:p>
            <w:pPr>
              <w:jc w:val="center"/>
              <w:ind w:left="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tcPr>
          <w:p>
            <w:pPr>
              <w:jc w:val="center"/>
              <w:ind w:left="200"/>
              <w:spacing w:after="0" w:line="149" w:lineRule="exact"/>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920" w:type="dxa"/>
            <w:vAlign w:val="bottom"/>
            <w:gridSpan w:val="2"/>
          </w:tcPr>
          <w:p>
            <w:pPr>
              <w:jc w:val="center"/>
              <w:ind w:lef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Range of</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Number outstanding</w:t>
            </w:r>
          </w:p>
        </w:tc>
        <w:tc>
          <w:tcPr>
            <w:tcW w:w="17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tcPr>
          <w:p>
            <w:pPr>
              <w:jc w:val="center"/>
              <w:ind w:left="200"/>
              <w:spacing w:after="0" w:line="149" w:lineRule="exact"/>
              <w:rPr>
                <w:sz w:val="20"/>
                <w:szCs w:val="20"/>
                <w:color w:val="auto"/>
              </w:rPr>
            </w:pPr>
            <w:r>
              <w:rPr>
                <w:rFonts w:ascii="Arial" w:cs="Arial" w:eastAsia="Arial" w:hAnsi="Arial"/>
                <w:sz w:val="14"/>
                <w:szCs w:val="14"/>
                <w:b w:val="1"/>
                <w:bCs w:val="1"/>
                <w:color w:val="auto"/>
                <w:w w:val="78"/>
              </w:rPr>
              <w:t>exercise</w:t>
            </w:r>
          </w:p>
        </w:tc>
        <w:tc>
          <w:tcPr>
            <w:tcW w:w="3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exercisable as of</w:t>
            </w:r>
          </w:p>
        </w:tc>
        <w:tc>
          <w:tcPr>
            <w:tcW w:w="920" w:type="dxa"/>
            <w:vAlign w:val="bottom"/>
            <w:gridSpan w:val="2"/>
          </w:tcPr>
          <w:p>
            <w:pPr>
              <w:jc w:val="center"/>
              <w:ind w:left="220"/>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74"/>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1320" w:type="dxa"/>
            <w:vAlign w:val="bottom"/>
          </w:tcPr>
          <w:p>
            <w:pPr>
              <w:jc w:val="right"/>
              <w:ind w:right="197"/>
              <w:spacing w:after="0"/>
              <w:rPr>
                <w:sz w:val="20"/>
                <w:szCs w:val="20"/>
                <w:color w:val="auto"/>
              </w:rPr>
            </w:pPr>
            <w:r>
              <w:rPr>
                <w:rFonts w:ascii="Arial" w:cs="Arial" w:eastAsia="Arial" w:hAnsi="Arial"/>
                <w:sz w:val="14"/>
                <w:szCs w:val="14"/>
                <w:b w:val="1"/>
                <w:bCs w:val="1"/>
                <w:color w:val="auto"/>
              </w:rPr>
              <w:t>as of 12/31/02</w:t>
            </w:r>
          </w:p>
        </w:tc>
        <w:tc>
          <w:tcPr>
            <w:tcW w:w="17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contractual life</w:t>
            </w:r>
          </w:p>
        </w:tc>
        <w:tc>
          <w:tcPr>
            <w:tcW w:w="880" w:type="dxa"/>
            <w:vAlign w:val="bottom"/>
          </w:tcPr>
          <w:p>
            <w:pPr>
              <w:jc w:val="center"/>
              <w:ind w:left="200"/>
              <w:spacing w:after="0"/>
              <w:rPr>
                <w:sz w:val="20"/>
                <w:szCs w:val="20"/>
                <w:color w:val="auto"/>
              </w:rPr>
            </w:pPr>
            <w:r>
              <w:rPr>
                <w:rFonts w:ascii="Arial" w:cs="Arial" w:eastAsia="Arial" w:hAnsi="Arial"/>
                <w:sz w:val="14"/>
                <w:szCs w:val="14"/>
                <w:b w:val="1"/>
                <w:bCs w:val="1"/>
                <w:color w:val="auto"/>
                <w:w w:val="83"/>
              </w:rPr>
              <w:t>price</w:t>
            </w:r>
          </w:p>
        </w:tc>
        <w:tc>
          <w:tcPr>
            <w:tcW w:w="1420" w:type="dxa"/>
            <w:vAlign w:val="bottom"/>
            <w:gridSpan w:val="2"/>
          </w:tcPr>
          <w:p>
            <w:pPr>
              <w:jc w:val="center"/>
              <w:ind w:left="215"/>
              <w:spacing w:after="0"/>
              <w:rPr>
                <w:sz w:val="20"/>
                <w:szCs w:val="20"/>
                <w:color w:val="auto"/>
              </w:rPr>
            </w:pPr>
            <w:r>
              <w:rPr>
                <w:rFonts w:ascii="Arial" w:cs="Arial" w:eastAsia="Arial" w:hAnsi="Arial"/>
                <w:sz w:val="14"/>
                <w:szCs w:val="14"/>
                <w:b w:val="1"/>
                <w:bCs w:val="1"/>
                <w:color w:val="auto"/>
                <w:w w:val="88"/>
              </w:rPr>
              <w:t>12/31/02</w:t>
            </w:r>
          </w:p>
        </w:tc>
        <w:tc>
          <w:tcPr>
            <w:tcW w:w="920" w:type="dxa"/>
            <w:vAlign w:val="bottom"/>
            <w:gridSpan w:val="2"/>
          </w:tcPr>
          <w:p>
            <w:pPr>
              <w:jc w:val="center"/>
              <w:ind w:left="20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40" w:type="dxa"/>
            <w:vAlign w:val="bottom"/>
            <w:shd w:val="clear" w:color="auto" w:fill="CCEEFF"/>
          </w:tcPr>
          <w:p>
            <w:pPr>
              <w:jc w:val="right"/>
              <w:ind w:right="3752"/>
              <w:spacing w:after="0"/>
              <w:rPr>
                <w:sz w:val="20"/>
                <w:szCs w:val="20"/>
                <w:color w:val="auto"/>
              </w:rPr>
            </w:pPr>
            <w:r>
              <w:rPr>
                <w:rFonts w:ascii="Arial" w:cs="Arial" w:eastAsia="Arial" w:hAnsi="Arial"/>
                <w:sz w:val="18"/>
                <w:szCs w:val="18"/>
                <w:color w:val="auto"/>
                <w:w w:val="93"/>
              </w:rPr>
              <w:t>3.831 - $22.073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114,170</w:t>
            </w:r>
          </w:p>
        </w:tc>
        <w:tc>
          <w:tcPr>
            <w:tcW w:w="1760" w:type="dxa"/>
            <w:vAlign w:val="bottom"/>
            <w:shd w:val="clear" w:color="auto" w:fill="CCEEFF"/>
          </w:tcPr>
          <w:p>
            <w:pPr>
              <w:jc w:val="center"/>
              <w:ind w:left="201"/>
              <w:spacing w:after="0"/>
              <w:rPr>
                <w:sz w:val="20"/>
                <w:szCs w:val="20"/>
                <w:color w:val="auto"/>
              </w:rPr>
            </w:pPr>
            <w:r>
              <w:rPr>
                <w:rFonts w:ascii="Arial" w:cs="Arial" w:eastAsia="Arial" w:hAnsi="Arial"/>
                <w:sz w:val="18"/>
                <w:szCs w:val="18"/>
                <w:color w:val="auto"/>
                <w:w w:val="91"/>
              </w:rPr>
              <w:t>2.71</w:t>
            </w:r>
          </w:p>
        </w:tc>
        <w:tc>
          <w:tcPr>
            <w:tcW w:w="880" w:type="dxa"/>
            <w:vAlign w:val="bottom"/>
            <w:shd w:val="clear" w:color="auto" w:fill="CCEEFF"/>
          </w:tcPr>
          <w:p>
            <w:pPr>
              <w:jc w:val="center"/>
              <w:ind w:left="200"/>
              <w:spacing w:after="0"/>
              <w:rPr>
                <w:sz w:val="20"/>
                <w:szCs w:val="20"/>
                <w:color w:val="auto"/>
              </w:rPr>
            </w:pPr>
            <w:r>
              <w:rPr>
                <w:rFonts w:ascii="Arial" w:cs="Arial" w:eastAsia="Arial" w:hAnsi="Arial"/>
                <w:sz w:val="18"/>
                <w:szCs w:val="18"/>
                <w:color w:val="auto"/>
                <w:w w:val="85"/>
              </w:rPr>
              <w:t>$ 18.925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114,170</w:t>
            </w:r>
          </w:p>
        </w:tc>
        <w:tc>
          <w:tcPr>
            <w:tcW w:w="900" w:type="dxa"/>
            <w:vAlign w:val="bottom"/>
            <w:shd w:val="clear" w:color="auto" w:fill="CCEEFF"/>
          </w:tcPr>
          <w:p>
            <w:pPr>
              <w:jc w:val="center"/>
              <w:ind w:left="220"/>
              <w:spacing w:after="0"/>
              <w:rPr>
                <w:sz w:val="20"/>
                <w:szCs w:val="20"/>
                <w:color w:val="auto"/>
              </w:rPr>
            </w:pPr>
            <w:r>
              <w:rPr>
                <w:rFonts w:ascii="Arial" w:cs="Arial" w:eastAsia="Arial" w:hAnsi="Arial"/>
                <w:sz w:val="18"/>
                <w:szCs w:val="18"/>
                <w:color w:val="auto"/>
                <w:w w:val="85"/>
              </w:rPr>
              <w:t>$ 18.925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40" w:type="dxa"/>
            <w:vAlign w:val="bottom"/>
          </w:tcPr>
          <w:p>
            <w:pPr>
              <w:jc w:val="right"/>
              <w:ind w:right="3752"/>
              <w:spacing w:after="0"/>
              <w:rPr>
                <w:sz w:val="20"/>
                <w:szCs w:val="20"/>
                <w:color w:val="auto"/>
              </w:rPr>
            </w:pPr>
            <w:r>
              <w:rPr>
                <w:rFonts w:ascii="Arial" w:cs="Arial" w:eastAsia="Arial" w:hAnsi="Arial"/>
                <w:sz w:val="18"/>
                <w:szCs w:val="18"/>
                <w:color w:val="auto"/>
                <w:w w:val="86"/>
              </w:rPr>
              <w:t>24.142 - $30.710</w:t>
            </w:r>
          </w:p>
        </w:tc>
        <w:tc>
          <w:tcPr>
            <w:tcW w:w="1320" w:type="dxa"/>
            <w:vAlign w:val="bottom"/>
          </w:tcPr>
          <w:p>
            <w:pPr>
              <w:jc w:val="right"/>
              <w:spacing w:after="0"/>
              <w:rPr>
                <w:sz w:val="20"/>
                <w:szCs w:val="20"/>
                <w:color w:val="auto"/>
              </w:rPr>
            </w:pPr>
            <w:r>
              <w:rPr>
                <w:rFonts w:ascii="Arial" w:cs="Arial" w:eastAsia="Arial" w:hAnsi="Arial"/>
                <w:sz w:val="18"/>
                <w:szCs w:val="18"/>
                <w:color w:val="auto"/>
              </w:rPr>
              <w:t>5,354,259</w:t>
            </w:r>
          </w:p>
        </w:tc>
        <w:tc>
          <w:tcPr>
            <w:tcW w:w="1760" w:type="dxa"/>
            <w:vAlign w:val="bottom"/>
          </w:tcPr>
          <w:p>
            <w:pPr>
              <w:jc w:val="center"/>
              <w:ind w:left="201"/>
              <w:spacing w:after="0"/>
              <w:rPr>
                <w:sz w:val="20"/>
                <w:szCs w:val="20"/>
                <w:color w:val="auto"/>
              </w:rPr>
            </w:pPr>
            <w:r>
              <w:rPr>
                <w:rFonts w:ascii="Arial" w:cs="Arial" w:eastAsia="Arial" w:hAnsi="Arial"/>
                <w:sz w:val="18"/>
                <w:szCs w:val="18"/>
                <w:color w:val="auto"/>
                <w:w w:val="91"/>
              </w:rPr>
              <w:t>2.18</w:t>
            </w:r>
          </w:p>
        </w:tc>
        <w:tc>
          <w:tcPr>
            <w:tcW w:w="880" w:type="dxa"/>
            <w:vAlign w:val="bottom"/>
          </w:tcPr>
          <w:p>
            <w:pPr>
              <w:jc w:val="center"/>
              <w:ind w:left="200"/>
              <w:spacing w:after="0"/>
              <w:rPr>
                <w:sz w:val="20"/>
                <w:szCs w:val="20"/>
                <w:color w:val="auto"/>
              </w:rPr>
            </w:pPr>
            <w:r>
              <w:rPr>
                <w:rFonts w:ascii="Arial" w:cs="Arial" w:eastAsia="Arial" w:hAnsi="Arial"/>
                <w:sz w:val="18"/>
                <w:szCs w:val="18"/>
                <w:color w:val="auto"/>
                <w:w w:val="85"/>
              </w:rPr>
              <w:t>$ 27.634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5,354,259</w:t>
            </w:r>
          </w:p>
        </w:tc>
        <w:tc>
          <w:tcPr>
            <w:tcW w:w="900" w:type="dxa"/>
            <w:vAlign w:val="bottom"/>
          </w:tcPr>
          <w:p>
            <w:pPr>
              <w:jc w:val="center"/>
              <w:ind w:left="220"/>
              <w:spacing w:after="0"/>
              <w:rPr>
                <w:sz w:val="20"/>
                <w:szCs w:val="20"/>
                <w:color w:val="auto"/>
              </w:rPr>
            </w:pPr>
            <w:r>
              <w:rPr>
                <w:rFonts w:ascii="Arial" w:cs="Arial" w:eastAsia="Arial" w:hAnsi="Arial"/>
                <w:sz w:val="18"/>
                <w:szCs w:val="18"/>
                <w:color w:val="auto"/>
                <w:w w:val="85"/>
              </w:rPr>
              <w:t>$ 27.634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40" w:type="dxa"/>
            <w:vAlign w:val="bottom"/>
            <w:shd w:val="clear" w:color="auto" w:fill="CCEEFF"/>
          </w:tcPr>
          <w:p>
            <w:pPr>
              <w:jc w:val="right"/>
              <w:ind w:right="3752"/>
              <w:spacing w:after="0"/>
              <w:rPr>
                <w:sz w:val="20"/>
                <w:szCs w:val="20"/>
                <w:color w:val="auto"/>
              </w:rPr>
            </w:pPr>
            <w:r>
              <w:rPr>
                <w:rFonts w:ascii="Arial" w:cs="Arial" w:eastAsia="Arial" w:hAnsi="Arial"/>
                <w:sz w:val="18"/>
                <w:szCs w:val="18"/>
                <w:color w:val="auto"/>
                <w:w w:val="86"/>
              </w:rPr>
              <w:t>30.795 - $44.843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4,290,878</w:t>
            </w:r>
          </w:p>
        </w:tc>
        <w:tc>
          <w:tcPr>
            <w:tcW w:w="1760" w:type="dxa"/>
            <w:vAlign w:val="bottom"/>
            <w:shd w:val="clear" w:color="auto" w:fill="CCEEFF"/>
          </w:tcPr>
          <w:p>
            <w:pPr>
              <w:jc w:val="center"/>
              <w:ind w:left="201"/>
              <w:spacing w:after="0"/>
              <w:rPr>
                <w:sz w:val="20"/>
                <w:szCs w:val="20"/>
                <w:color w:val="auto"/>
              </w:rPr>
            </w:pPr>
            <w:r>
              <w:rPr>
                <w:rFonts w:ascii="Arial" w:cs="Arial" w:eastAsia="Arial" w:hAnsi="Arial"/>
                <w:sz w:val="18"/>
                <w:szCs w:val="18"/>
                <w:color w:val="auto"/>
                <w:w w:val="91"/>
              </w:rPr>
              <w:t>3.97</w:t>
            </w:r>
          </w:p>
        </w:tc>
        <w:tc>
          <w:tcPr>
            <w:tcW w:w="880" w:type="dxa"/>
            <w:vAlign w:val="bottom"/>
            <w:shd w:val="clear" w:color="auto" w:fill="CCEEFF"/>
          </w:tcPr>
          <w:p>
            <w:pPr>
              <w:jc w:val="center"/>
              <w:ind w:left="200"/>
              <w:spacing w:after="0"/>
              <w:rPr>
                <w:sz w:val="20"/>
                <w:szCs w:val="20"/>
                <w:color w:val="auto"/>
              </w:rPr>
            </w:pPr>
            <w:r>
              <w:rPr>
                <w:rFonts w:ascii="Arial" w:cs="Arial" w:eastAsia="Arial" w:hAnsi="Arial"/>
                <w:sz w:val="18"/>
                <w:szCs w:val="18"/>
                <w:color w:val="auto"/>
                <w:w w:val="85"/>
              </w:rPr>
              <w:t>$ 39.264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3,883,836</w:t>
            </w:r>
          </w:p>
        </w:tc>
        <w:tc>
          <w:tcPr>
            <w:tcW w:w="900" w:type="dxa"/>
            <w:vAlign w:val="bottom"/>
            <w:shd w:val="clear" w:color="auto" w:fill="CCEEFF"/>
          </w:tcPr>
          <w:p>
            <w:pPr>
              <w:jc w:val="center"/>
              <w:ind w:left="220"/>
              <w:spacing w:after="0"/>
              <w:rPr>
                <w:sz w:val="20"/>
                <w:szCs w:val="20"/>
                <w:color w:val="auto"/>
              </w:rPr>
            </w:pPr>
            <w:r>
              <w:rPr>
                <w:rFonts w:ascii="Arial" w:cs="Arial" w:eastAsia="Arial" w:hAnsi="Arial"/>
                <w:sz w:val="18"/>
                <w:szCs w:val="18"/>
                <w:color w:val="auto"/>
                <w:w w:val="85"/>
              </w:rPr>
              <w:t>$ 38.990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40" w:type="dxa"/>
            <w:vAlign w:val="bottom"/>
          </w:tcPr>
          <w:p>
            <w:pPr>
              <w:jc w:val="right"/>
              <w:ind w:right="3752"/>
              <w:spacing w:after="0"/>
              <w:rPr>
                <w:sz w:val="20"/>
                <w:szCs w:val="20"/>
                <w:color w:val="auto"/>
              </w:rPr>
            </w:pPr>
            <w:r>
              <w:rPr>
                <w:rFonts w:ascii="Arial" w:cs="Arial" w:eastAsia="Arial" w:hAnsi="Arial"/>
                <w:sz w:val="18"/>
                <w:szCs w:val="18"/>
                <w:color w:val="auto"/>
                <w:w w:val="86"/>
              </w:rPr>
              <w:t>46.075 - $65.330</w:t>
            </w:r>
          </w:p>
        </w:tc>
        <w:tc>
          <w:tcPr>
            <w:tcW w:w="1320" w:type="dxa"/>
            <w:vAlign w:val="bottom"/>
          </w:tcPr>
          <w:p>
            <w:pPr>
              <w:jc w:val="right"/>
              <w:spacing w:after="0"/>
              <w:rPr>
                <w:sz w:val="20"/>
                <w:szCs w:val="20"/>
                <w:color w:val="auto"/>
              </w:rPr>
            </w:pPr>
            <w:r>
              <w:rPr>
                <w:rFonts w:ascii="Arial" w:cs="Arial" w:eastAsia="Arial" w:hAnsi="Arial"/>
                <w:sz w:val="18"/>
                <w:szCs w:val="18"/>
                <w:color w:val="auto"/>
              </w:rPr>
              <w:t>16,516,490</w:t>
            </w:r>
          </w:p>
        </w:tc>
        <w:tc>
          <w:tcPr>
            <w:tcW w:w="1760" w:type="dxa"/>
            <w:vAlign w:val="bottom"/>
          </w:tcPr>
          <w:p>
            <w:pPr>
              <w:jc w:val="center"/>
              <w:ind w:left="201"/>
              <w:spacing w:after="0"/>
              <w:rPr>
                <w:sz w:val="20"/>
                <w:szCs w:val="20"/>
                <w:color w:val="auto"/>
              </w:rPr>
            </w:pPr>
            <w:r>
              <w:rPr>
                <w:rFonts w:ascii="Arial" w:cs="Arial" w:eastAsia="Arial" w:hAnsi="Arial"/>
                <w:sz w:val="18"/>
                <w:szCs w:val="18"/>
                <w:color w:val="auto"/>
                <w:w w:val="91"/>
              </w:rPr>
              <w:t>7.96</w:t>
            </w:r>
          </w:p>
        </w:tc>
        <w:tc>
          <w:tcPr>
            <w:tcW w:w="880" w:type="dxa"/>
            <w:vAlign w:val="bottom"/>
          </w:tcPr>
          <w:p>
            <w:pPr>
              <w:jc w:val="center"/>
              <w:ind w:left="200"/>
              <w:spacing w:after="0"/>
              <w:rPr>
                <w:sz w:val="20"/>
                <w:szCs w:val="20"/>
                <w:color w:val="auto"/>
              </w:rPr>
            </w:pPr>
            <w:r>
              <w:rPr>
                <w:rFonts w:ascii="Arial" w:cs="Arial" w:eastAsia="Arial" w:hAnsi="Arial"/>
                <w:sz w:val="18"/>
                <w:szCs w:val="18"/>
                <w:color w:val="auto"/>
                <w:w w:val="85"/>
              </w:rPr>
              <w:t>$ 56.343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4,528,477</w:t>
            </w:r>
          </w:p>
        </w:tc>
        <w:tc>
          <w:tcPr>
            <w:tcW w:w="900" w:type="dxa"/>
            <w:vAlign w:val="bottom"/>
          </w:tcPr>
          <w:p>
            <w:pPr>
              <w:jc w:val="center"/>
              <w:ind w:left="220"/>
              <w:spacing w:after="0"/>
              <w:rPr>
                <w:sz w:val="20"/>
                <w:szCs w:val="20"/>
                <w:color w:val="auto"/>
              </w:rPr>
            </w:pPr>
            <w:r>
              <w:rPr>
                <w:rFonts w:ascii="Arial" w:cs="Arial" w:eastAsia="Arial" w:hAnsi="Arial"/>
                <w:sz w:val="18"/>
                <w:szCs w:val="18"/>
                <w:color w:val="auto"/>
                <w:w w:val="85"/>
              </w:rPr>
              <w:t>$ 55.207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40" w:type="dxa"/>
            <w:vAlign w:val="bottom"/>
            <w:shd w:val="clear" w:color="auto" w:fill="CCEEFF"/>
          </w:tcPr>
          <w:p>
            <w:pPr>
              <w:jc w:val="right"/>
              <w:ind w:right="3752"/>
              <w:spacing w:after="0"/>
              <w:rPr>
                <w:sz w:val="20"/>
                <w:szCs w:val="20"/>
                <w:color w:val="auto"/>
              </w:rPr>
            </w:pPr>
            <w:r>
              <w:rPr>
                <w:rFonts w:ascii="Arial" w:cs="Arial" w:eastAsia="Arial" w:hAnsi="Arial"/>
                <w:sz w:val="18"/>
                <w:szCs w:val="18"/>
                <w:color w:val="auto"/>
                <w:w w:val="86"/>
              </w:rPr>
              <w:t>71.315 - $82.348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10,593,887</w:t>
            </w:r>
          </w:p>
        </w:tc>
        <w:tc>
          <w:tcPr>
            <w:tcW w:w="1760" w:type="dxa"/>
            <w:vAlign w:val="bottom"/>
            <w:shd w:val="clear" w:color="auto" w:fill="CCEEFF"/>
          </w:tcPr>
          <w:p>
            <w:pPr>
              <w:jc w:val="center"/>
              <w:ind w:left="201"/>
              <w:spacing w:after="0"/>
              <w:rPr>
                <w:sz w:val="20"/>
                <w:szCs w:val="20"/>
                <w:color w:val="auto"/>
              </w:rPr>
            </w:pPr>
            <w:r>
              <w:rPr>
                <w:rFonts w:ascii="Arial" w:cs="Arial" w:eastAsia="Arial" w:hAnsi="Arial"/>
                <w:sz w:val="18"/>
                <w:szCs w:val="18"/>
                <w:color w:val="auto"/>
                <w:w w:val="91"/>
              </w:rPr>
              <w:t>6.28</w:t>
            </w:r>
          </w:p>
        </w:tc>
        <w:tc>
          <w:tcPr>
            <w:tcW w:w="880" w:type="dxa"/>
            <w:vAlign w:val="bottom"/>
            <w:shd w:val="clear" w:color="auto" w:fill="CCEEFF"/>
          </w:tcPr>
          <w:p>
            <w:pPr>
              <w:jc w:val="center"/>
              <w:ind w:left="200"/>
              <w:spacing w:after="0"/>
              <w:rPr>
                <w:sz w:val="20"/>
                <w:szCs w:val="20"/>
                <w:color w:val="auto"/>
              </w:rPr>
            </w:pPr>
            <w:r>
              <w:rPr>
                <w:rFonts w:ascii="Arial" w:cs="Arial" w:eastAsia="Arial" w:hAnsi="Arial"/>
                <w:sz w:val="18"/>
                <w:szCs w:val="18"/>
                <w:color w:val="auto"/>
                <w:w w:val="85"/>
              </w:rPr>
              <w:t>$ 80.566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7,261,731</w:t>
            </w:r>
          </w:p>
        </w:tc>
        <w:tc>
          <w:tcPr>
            <w:tcW w:w="900" w:type="dxa"/>
            <w:vAlign w:val="bottom"/>
            <w:shd w:val="clear" w:color="auto" w:fill="CCEEFF"/>
          </w:tcPr>
          <w:p>
            <w:pPr>
              <w:jc w:val="center"/>
              <w:ind w:left="220"/>
              <w:spacing w:after="0"/>
              <w:rPr>
                <w:sz w:val="20"/>
                <w:szCs w:val="20"/>
                <w:color w:val="auto"/>
              </w:rPr>
            </w:pPr>
            <w:r>
              <w:rPr>
                <w:rFonts w:ascii="Arial" w:cs="Arial" w:eastAsia="Arial" w:hAnsi="Arial"/>
                <w:sz w:val="18"/>
                <w:szCs w:val="18"/>
                <w:color w:val="auto"/>
                <w:w w:val="85"/>
              </w:rPr>
              <w:t>$ 80.811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36,869,684</w:t>
            </w:r>
          </w:p>
        </w:tc>
        <w:tc>
          <w:tcPr>
            <w:tcW w:w="1760" w:type="dxa"/>
            <w:vAlign w:val="bottom"/>
            <w:shd w:val="clear" w:color="auto" w:fill="CCEEFF"/>
          </w:tcPr>
          <w:p>
            <w:pPr>
              <w:jc w:val="center"/>
              <w:ind w:left="201"/>
              <w:spacing w:after="0"/>
              <w:rPr>
                <w:sz w:val="20"/>
                <w:szCs w:val="20"/>
                <w:color w:val="auto"/>
              </w:rPr>
            </w:pPr>
            <w:r>
              <w:rPr>
                <w:rFonts w:ascii="Arial" w:cs="Arial" w:eastAsia="Arial" w:hAnsi="Arial"/>
                <w:sz w:val="18"/>
                <w:szCs w:val="18"/>
                <w:color w:val="auto"/>
                <w:w w:val="91"/>
              </w:rPr>
              <w:t>6.16</w:t>
            </w:r>
          </w:p>
        </w:tc>
        <w:tc>
          <w:tcPr>
            <w:tcW w:w="880" w:type="dxa"/>
            <w:vAlign w:val="bottom"/>
            <w:shd w:val="clear" w:color="auto" w:fill="CCEEFF"/>
          </w:tcPr>
          <w:p>
            <w:pPr>
              <w:jc w:val="center"/>
              <w:ind w:left="200"/>
              <w:spacing w:after="0"/>
              <w:rPr>
                <w:sz w:val="20"/>
                <w:szCs w:val="20"/>
                <w:color w:val="auto"/>
              </w:rPr>
            </w:pPr>
            <w:r>
              <w:rPr>
                <w:rFonts w:ascii="Arial" w:cs="Arial" w:eastAsia="Arial" w:hAnsi="Arial"/>
                <w:sz w:val="18"/>
                <w:szCs w:val="18"/>
                <w:color w:val="auto"/>
                <w:w w:val="85"/>
              </w:rPr>
              <w:t>$ 57.030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21,142,473</w:t>
            </w:r>
          </w:p>
        </w:tc>
        <w:tc>
          <w:tcPr>
            <w:tcW w:w="900" w:type="dxa"/>
            <w:vAlign w:val="bottom"/>
            <w:shd w:val="clear" w:color="auto" w:fill="CCEEFF"/>
          </w:tcPr>
          <w:p>
            <w:pPr>
              <w:jc w:val="center"/>
              <w:ind w:left="220"/>
              <w:spacing w:after="0"/>
              <w:rPr>
                <w:sz w:val="20"/>
                <w:szCs w:val="20"/>
                <w:color w:val="auto"/>
              </w:rPr>
            </w:pPr>
            <w:r>
              <w:rPr>
                <w:rFonts w:ascii="Arial" w:cs="Arial" w:eastAsia="Arial" w:hAnsi="Arial"/>
                <w:sz w:val="18"/>
                <w:szCs w:val="18"/>
                <w:color w:val="auto"/>
                <w:w w:val="85"/>
              </w:rPr>
              <w:t>$ 53.844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320" w:type="dxa"/>
            <w:vAlign w:val="bottom"/>
          </w:tcPr>
          <w:p>
            <w:pPr>
              <w:jc w:val="right"/>
              <w:ind w:right="577"/>
              <w:spacing w:after="0"/>
              <w:rPr>
                <w:sz w:val="20"/>
                <w:szCs w:val="20"/>
                <w:color w:val="auto"/>
              </w:rPr>
            </w:pPr>
            <w:r>
              <w:rPr>
                <w:rFonts w:ascii="Arial" w:cs="Arial" w:eastAsia="Arial" w:hAnsi="Arial"/>
                <w:sz w:val="18"/>
                <w:szCs w:val="18"/>
                <w:color w:val="auto"/>
              </w:rPr>
              <w:t>55</w:t>
            </w: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-420370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-420370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-420370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-420370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2,677,842, 1,752,833 and 1,431,309 shares to employees in 2002, 2001 and 2000, respectively. Proforma compensation cost has been computed for the fair value of the employees’ purchase rights, which was estimated using the Black-Scholes model with the following assumptions for 2002, 2001 and 2000: Dividend of $0.75; expected life of one year; expected volatility of 34% for 2002, 36% for 2001 and 38% for 2000; and risk-free interest rates of 1.74% for 2002, 3.03% for 2001, 5.71% for 2000. The weighted-average fair value of those purchase rights granted in 2002, 2001 and 2000, was $13.324, $15.540 and $23.141,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2002, pretax book income in the US included gains from a business divestiture aggregating approximately $143 million. Pretax book income from continuing operations subject to US and non-US income taxes for each of the three years ended December 31,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4"/>
        </w:trPr>
        <w:tc>
          <w:tcPr>
            <w:tcW w:w="9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140" w:type="dxa"/>
            <w:vAlign w:val="bottom"/>
          </w:tcPr>
          <w:p>
            <w:pPr>
              <w:ind w:left="20"/>
              <w:spacing w:after="0"/>
              <w:rPr>
                <w:sz w:val="20"/>
                <w:szCs w:val="20"/>
                <w:color w:val="auto"/>
              </w:rPr>
            </w:pPr>
            <w:r>
              <w:rPr>
                <w:rFonts w:ascii="Arial" w:cs="Arial" w:eastAsia="Arial" w:hAnsi="Arial"/>
                <w:sz w:val="18"/>
                <w:szCs w:val="18"/>
                <w:color w:val="auto"/>
              </w:rPr>
              <w:t>Outside United States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(2,376)</w:t>
            </w:r>
          </w:p>
        </w:tc>
        <w:tc>
          <w:tcPr>
            <w:tcW w:w="1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(2,230)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83629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36295" cy="29845"/>
                    </a:xfrm>
                    <a:prstGeom prst="rect">
                      <a:avLst/>
                    </a:prstGeom>
                    <a:noFill/>
                  </pic:spPr>
                </pic:pic>
              </a:graphicData>
            </a:graphic>
          </wp:anchor>
        </w:drawing>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 has net deferred tax assets of $583 million on December 31, 2002 including a partial valuation allowance of $147 million relating to a certain European net operating loss, and $488 million on December 31, 2001. Significant components of net deferred tax assets at December 31, 2002 included postretirement and other long-term benefits ($200 million), current employee benefits ($225 million), fixed assets, inventory and other ($123 million) and net operating losses ($182 million less a partial valuation allowance of $147 million). At December 31, 2001, it included postretirement and other long-term benefits ($186 million), current employee benefits ($93 million), fixed assets, inventory and other ($120 million) and net operating losses ($49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6"/>
          </w:tcPr>
          <w:p>
            <w:pPr>
              <w:jc w:val="right"/>
              <w:ind w:right="2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15"/>
                <w:szCs w:val="15"/>
                <w:color w:val="auto"/>
              </w:rPr>
            </w:pPr>
          </w:p>
        </w:tc>
        <w:tc>
          <w:tcPr>
            <w:tcW w:w="5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4"/>
              <w:spacing w:after="0"/>
              <w:rPr>
                <w:sz w:val="20"/>
                <w:szCs w:val="20"/>
                <w:color w:val="auto"/>
              </w:rPr>
            </w:pPr>
            <w:r>
              <w:rPr>
                <w:rFonts w:ascii="Arial" w:cs="Arial" w:eastAsia="Arial" w:hAnsi="Arial"/>
                <w:sz w:val="14"/>
                <w:szCs w:val="14"/>
                <w:b w:val="1"/>
                <w:bCs w:val="1"/>
                <w:color w:val="auto"/>
                <w:w w:val="76"/>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80"/>
              <w:spacing w:after="0"/>
              <w:rPr>
                <w:sz w:val="20"/>
                <w:szCs w:val="20"/>
                <w:color w:val="auto"/>
              </w:rPr>
            </w:pPr>
            <w:r>
              <w:rPr>
                <w:rFonts w:ascii="Arial" w:cs="Arial" w:eastAsia="Arial" w:hAnsi="Arial"/>
                <w:sz w:val="18"/>
                <w:szCs w:val="18"/>
                <w:color w:val="auto"/>
              </w:rPr>
              <w:t>United States - Federal</w:t>
            </w:r>
          </w:p>
        </w:tc>
        <w:tc>
          <w:tcPr>
            <w:tcW w:w="5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 State</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Outside United States</w:t>
            </w: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8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80"/>
              <w:spacing w:after="0"/>
              <w:rPr>
                <w:sz w:val="20"/>
                <w:szCs w:val="20"/>
                <w:color w:val="auto"/>
              </w:rPr>
            </w:pPr>
            <w:r>
              <w:rPr>
                <w:rFonts w:ascii="Arial" w:cs="Arial" w:eastAsia="Arial" w:hAnsi="Arial"/>
                <w:sz w:val="18"/>
                <w:szCs w:val="18"/>
                <w:color w:val="auto"/>
              </w:rPr>
              <w:t>United States - Federal</w:t>
            </w:r>
          </w:p>
        </w:tc>
        <w:tc>
          <w:tcPr>
            <w:tcW w:w="5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 State</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80" w:type="dxa"/>
            <w:vAlign w:val="bottom"/>
          </w:tcPr>
          <w:p>
            <w:pPr>
              <w:ind w:left="380"/>
              <w:spacing w:after="0"/>
              <w:rPr>
                <w:sz w:val="20"/>
                <w:szCs w:val="20"/>
                <w:color w:val="auto"/>
              </w:rPr>
            </w:pPr>
            <w:r>
              <w:rPr>
                <w:rFonts w:ascii="Arial" w:cs="Arial" w:eastAsia="Arial" w:hAnsi="Arial"/>
                <w:sz w:val="18"/>
                <w:szCs w:val="18"/>
                <w:color w:val="auto"/>
              </w:rPr>
              <w:t>Outside United States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taxes on income</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880" w:type="dxa"/>
            <w:vAlign w:val="bottom"/>
          </w:tcPr>
          <w:p>
            <w:pPr>
              <w:spacing w:after="0"/>
              <w:rPr>
                <w:sz w:val="11"/>
                <w:szCs w:val="11"/>
                <w:color w:val="auto"/>
              </w:rPr>
            </w:pPr>
          </w:p>
        </w:tc>
        <w:tc>
          <w:tcPr>
            <w:tcW w:w="5360" w:type="dxa"/>
            <w:vAlign w:val="bottom"/>
            <w:vMerge w:val="restart"/>
          </w:tcPr>
          <w:p>
            <w:pPr>
              <w:jc w:val="right"/>
              <w:ind w:right="335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88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-325755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-325755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-325755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reported several charges/credits in continuing operations in each of the three years. These are more fully described in the note </w:t>
      </w:r>
      <w:r>
        <w:rPr>
          <w:rFonts w:ascii="Arial" w:cs="Arial" w:eastAsia="Arial" w:hAnsi="Arial"/>
          <w:sz w:val="16"/>
          <w:szCs w:val="16"/>
          <w:i w:val="1"/>
          <w:iCs w:val="1"/>
          <w:color w:val="auto"/>
        </w:rPr>
        <w:t>Charges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Continuing Operations </w:t>
      </w:r>
      <w:r>
        <w:rPr>
          <w:rFonts w:ascii="Arial" w:cs="Arial" w:eastAsia="Arial" w:hAnsi="Arial"/>
          <w:sz w:val="18"/>
          <w:szCs w:val="18"/>
          <w:color w:val="auto"/>
        </w:rPr>
        <w:t>on page 45. A reconciliation of the US statutory federal tax rate (35%) to the consolidated effective tax rate 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37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2002</w:t>
            </w:r>
          </w:p>
        </w:tc>
        <w:tc>
          <w:tcPr>
            <w:tcW w:w="15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2000</w:t>
            </w:r>
          </w:p>
        </w:tc>
        <w:tc>
          <w:tcPr>
            <w:tcW w:w="22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(benefit) rate</w:t>
            </w:r>
          </w:p>
        </w:tc>
        <w:tc>
          <w:tcPr>
            <w:tcW w:w="3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5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US state income taxes</w:t>
            </w:r>
          </w:p>
        </w:tc>
        <w:tc>
          <w:tcPr>
            <w:tcW w:w="29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 US income taxed at different rates</w:t>
            </w:r>
          </w:p>
        </w:tc>
        <w:tc>
          <w:tcPr>
            <w:tcW w:w="3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(12)%</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740" w:type="dxa"/>
            <w:vAlign w:val="bottom"/>
            <w:gridSpan w:val="3"/>
          </w:tcPr>
          <w:p>
            <w:pPr>
              <w:jc w:val="right"/>
              <w:ind w:right="3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and credits</w:t>
            </w:r>
          </w:p>
        </w:tc>
        <w:tc>
          <w:tcPr>
            <w:tcW w:w="3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5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108"/>
        </w:trPr>
        <w:tc>
          <w:tcPr>
            <w:tcW w:w="57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57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3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5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66675</wp:posOffset>
            </wp:positionV>
            <wp:extent cx="20129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66675</wp:posOffset>
            </wp:positionV>
            <wp:extent cx="20129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66675</wp:posOffset>
            </wp:positionV>
            <wp:extent cx="20129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effective tax rate, excluding charges and credits, was 26%, 32% and 23% in 2002, 2001 and 2000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 and Lease Commitments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Total rental expense was $458 million in 2002, $390 million in 2001 and $287 million in 2000. Future minimum rental commitments under noncancelable leases for years ending December 31 are: $219 million in 2003; $187 million in 2004; $130 million in 2005; $109 million in 2006; and $117 million in 2007. For the ensuing three five-year periods, these commitments decrease from $309 million to $19 million. The minimum rentals over the remaining terms of the leases aggregate to $29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three reportable business segments: Oilfield Services (OFS), SchlumbergerSema (SLSEMA) and Other.</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Oilfield Services segment falls into four clearly defined economic and geographical areas and is evaluated on the following basis: North America is a major self-contained market; Latin America comprises regional markets that share a common dependence on the United States; Europe is a major self-contained market that includes the CIS and West Africa, whose economy is increasingly linked to that of Europe; Middle East/Asia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SchlumbergerSema segment falls into three clearly defined economic and geographic areas and is evaluated on the following basis: North and South America is a major self-contained market; Europe is a major self-contained market that includes the Middle East and Africa; Asia includes the remainder of the Eastern Hemisphere. The SchlumbergerSema segment is a leading information technology services company providing domain expertise and global capabilities delivered on a local basis. SchlumbergerSema has proven capabilities delivering consulting, systems integration, managed services and products serving the telecommunications, energy &amp; utilities, finance, transport, public sector markets and oil and gas markets.</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Other segment comprises principally the Cards, Terminals, Meters North America and NPTest activities. In 2001 and 2000, also included are the divested Resource Management Services businesses.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years ended December 31, 2002, 2001 and 2000, by segment,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2 0 0 2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Income after</w:t>
            </w:r>
          </w:p>
        </w:tc>
        <w:tc>
          <w:tcPr>
            <w:tcW w:w="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Minority</w:t>
            </w:r>
          </w:p>
        </w:tc>
        <w:tc>
          <w:tcPr>
            <w:tcW w:w="100" w:type="dxa"/>
            <w:vAlign w:val="bottom"/>
          </w:tcPr>
          <w:p>
            <w:pPr>
              <w:spacing w:after="0"/>
              <w:rPr>
                <w:sz w:val="20"/>
                <w:szCs w:val="20"/>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Depn. &amp;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 &amp; MI</w:t>
            </w:r>
          </w:p>
        </w:tc>
        <w:tc>
          <w:tcPr>
            <w:tcW w:w="8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Interest</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before tax</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Assets</w:t>
            </w:r>
          </w:p>
        </w:tc>
        <w:tc>
          <w:tcPr>
            <w:tcW w:w="3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20"/>
              <w:spacing w:after="0" w:line="149" w:lineRule="exact"/>
              <w:rPr>
                <w:sz w:val="20"/>
                <w:szCs w:val="20"/>
                <w:color w:val="auto"/>
              </w:rPr>
            </w:pPr>
            <w:r>
              <w:rPr>
                <w:rFonts w:ascii="Arial" w:cs="Arial" w:eastAsia="Arial" w:hAnsi="Arial"/>
                <w:sz w:val="14"/>
                <w:szCs w:val="14"/>
                <w:color w:val="auto"/>
              </w:rPr>
              <w:t>North America</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2,780</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w:t>
            </w:r>
          </w:p>
        </w:tc>
        <w:tc>
          <w:tcPr>
            <w:tcW w:w="3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3,154</w:t>
            </w:r>
          </w:p>
        </w:tc>
        <w:tc>
          <w:tcPr>
            <w:tcW w:w="5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456</w:t>
            </w:r>
          </w:p>
        </w:tc>
        <w:tc>
          <w:tcPr>
            <w:tcW w:w="4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20"/>
              <w:spacing w:after="0" w:line="149" w:lineRule="exact"/>
              <w:rPr>
                <w:sz w:val="20"/>
                <w:szCs w:val="20"/>
                <w:color w:val="auto"/>
              </w:rPr>
            </w:pPr>
            <w:r>
              <w:rPr>
                <w:rFonts w:ascii="Arial" w:cs="Arial" w:eastAsia="Arial" w:hAnsi="Arial"/>
                <w:sz w:val="14"/>
                <w:szCs w:val="14"/>
                <w:color w:val="auto"/>
              </w:rPr>
              <w:t>Europe/CIS/W. Africa</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2,678</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1,919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Middle East/Asia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Eliminations/Other</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2,762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11,302</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20"/>
              <w:spacing w:after="0" w:line="149" w:lineRule="exact"/>
              <w:rPr>
                <w:sz w:val="20"/>
                <w:szCs w:val="20"/>
                <w:color w:val="auto"/>
              </w:rPr>
            </w:pPr>
            <w:r>
              <w:rPr>
                <w:rFonts w:ascii="Arial" w:cs="Arial" w:eastAsia="Arial" w:hAnsi="Arial"/>
                <w:sz w:val="14"/>
                <w:szCs w:val="14"/>
                <w:color w:val="auto"/>
              </w:rPr>
              <w:t>North &amp; South America</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545</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Europe/M. East/Africa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20"/>
              <w:spacing w:after="0" w:line="149" w:lineRule="exact"/>
              <w:rPr>
                <w:sz w:val="20"/>
                <w:szCs w:val="20"/>
                <w:color w:val="auto"/>
              </w:rPr>
            </w:pPr>
            <w:r>
              <w:rPr>
                <w:rFonts w:ascii="Arial" w:cs="Arial" w:eastAsia="Arial" w:hAnsi="Arial"/>
                <w:sz w:val="14"/>
                <w:szCs w:val="14"/>
                <w:color w:val="auto"/>
              </w:rPr>
              <w:t>Asia</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Eliminations/Other</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3,928</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Corporate eliminations &amp; Other</w:t>
            </w:r>
          </w:p>
        </w:tc>
        <w:tc>
          <w:tcPr>
            <w:tcW w:w="80" w:type="dxa"/>
            <w:vAlign w:val="bottom"/>
          </w:tcPr>
          <w:p>
            <w:pPr>
              <w:spacing w:after="0"/>
              <w:rPr>
                <w:sz w:val="24"/>
                <w:szCs w:val="2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(306)</w:t>
            </w:r>
          </w:p>
        </w:tc>
        <w:tc>
          <w:tcPr>
            <w:tcW w:w="6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(148)</w:t>
            </w: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2,644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13,474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19,325</w:t>
            </w:r>
          </w:p>
        </w:tc>
        <w:tc>
          <w:tcPr>
            <w:tcW w:w="5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w:t>
            </w:r>
          </w:p>
        </w:tc>
        <w:tc>
          <w:tcPr>
            <w:tcW w:w="4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(364)</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(3,168)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(2,230)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-715010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-715010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-715010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-715010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-715010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-715010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-715010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-715010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-715010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-715010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-715010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-715010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-715010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-715010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-715010</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-715010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-715010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-715010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-715010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-715010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2 0 0 1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Income after</w:t>
            </w:r>
          </w:p>
        </w:tc>
        <w:tc>
          <w:tcPr>
            <w:tcW w:w="20" w:type="dxa"/>
            <w:vAlign w:val="bottom"/>
          </w:tcPr>
          <w:p>
            <w:pPr>
              <w:spacing w:after="0"/>
              <w:rPr>
                <w:sz w:val="20"/>
                <w:szCs w:val="20"/>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Minority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Depn. &amp;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0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tax &amp; MI</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Interest</w:t>
            </w:r>
          </w:p>
        </w:tc>
        <w:tc>
          <w:tcPr>
            <w:tcW w:w="2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5"/>
                <w:szCs w:val="15"/>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before tax</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Assets</w:t>
            </w:r>
          </w:p>
        </w:tc>
        <w:tc>
          <w:tcPr>
            <w:tcW w:w="3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Amortn.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North America</w:t>
            </w: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3,654</w:t>
            </w: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534</w:t>
            </w:r>
          </w:p>
        </w:tc>
        <w:tc>
          <w:tcPr>
            <w:tcW w:w="36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38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852</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3,070</w:t>
            </w:r>
          </w:p>
        </w:tc>
        <w:tc>
          <w:tcPr>
            <w:tcW w:w="5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4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Europe/CIS/W. Africa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2,341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264</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2,022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Middle East/Asia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80" w:type="dxa"/>
            <w:vAlign w:val="bottom"/>
          </w:tcPr>
          <w:p>
            <w:pPr>
              <w:ind w:left="160"/>
              <w:spacing w:after="0"/>
              <w:rPr>
                <w:sz w:val="20"/>
                <w:szCs w:val="20"/>
                <w:color w:val="auto"/>
              </w:rPr>
            </w:pPr>
            <w:r>
              <w:rPr>
                <w:rFonts w:ascii="Arial" w:cs="Arial" w:eastAsia="Arial" w:hAnsi="Arial"/>
                <w:sz w:val="14"/>
                <w:szCs w:val="14"/>
                <w:color w:val="auto"/>
              </w:rPr>
              <w:t>Eliminations/Other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2,532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36</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1,254</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10,947</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North &amp; South America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Europe/M. East/Africa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3,763</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Asia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Eliminations/Other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2,321</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7,498</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0"/>
                <w:szCs w:val="20"/>
                <w:color w:val="auto"/>
              </w:rPr>
            </w:pPr>
            <w:r>
              <w:rPr>
                <w:rFonts w:ascii="Arial" w:cs="Arial" w:eastAsia="Arial" w:hAnsi="Arial"/>
                <w:sz w:val="14"/>
                <w:szCs w:val="14"/>
                <w:color w:val="auto"/>
              </w:rPr>
              <w:t>Corporate eliminations &amp;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4"/>
                <w:szCs w:val="24"/>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4"/>
                <w:szCs w:val="14"/>
                <w:color w:val="auto"/>
              </w:rPr>
              <w:t>(303)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(420)</w:t>
            </w: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2,416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356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$ 14,058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1,014</w:t>
            </w:r>
          </w:p>
        </w:tc>
        <w:tc>
          <w:tcPr>
            <w:tcW w:w="3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3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$22,326</w:t>
            </w: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w:t>
            </w:r>
          </w:p>
        </w:tc>
        <w:tc>
          <w:tcPr>
            <w:tcW w:w="4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(380)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5"/>
            <w:vMerge w:val="restart"/>
          </w:tcPr>
          <w:p>
            <w:pPr>
              <w:jc w:val="right"/>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415"/>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2 0 0 0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Income after</w:t>
            </w:r>
          </w:p>
        </w:tc>
        <w:tc>
          <w:tcPr>
            <w:tcW w:w="20" w:type="dxa"/>
            <w:vAlign w:val="bottom"/>
          </w:tcPr>
          <w:p>
            <w:pPr>
              <w:spacing w:after="0"/>
              <w:rPr>
                <w:sz w:val="20"/>
                <w:szCs w:val="20"/>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Minority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Depn. &amp;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0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tax &amp; MI</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Interest</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5"/>
                <w:szCs w:val="15"/>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before tax</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Assets</w:t>
            </w:r>
          </w:p>
        </w:tc>
        <w:tc>
          <w:tcPr>
            <w:tcW w:w="3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Amortn.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North America</w:t>
            </w: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2,459</w:t>
            </w: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38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2,985</w:t>
            </w:r>
          </w:p>
        </w:tc>
        <w:tc>
          <w:tcPr>
            <w:tcW w:w="5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4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Europe/CIS/W. Africa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1,666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1,689</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Middle East/Asia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80" w:type="dxa"/>
            <w:vAlign w:val="bottom"/>
          </w:tcPr>
          <w:p>
            <w:pPr>
              <w:ind w:left="160"/>
              <w:spacing w:after="0"/>
              <w:rPr>
                <w:sz w:val="20"/>
                <w:szCs w:val="20"/>
                <w:color w:val="auto"/>
              </w:rPr>
            </w:pPr>
            <w:r>
              <w:rPr>
                <w:rFonts w:ascii="Arial" w:cs="Arial" w:eastAsia="Arial" w:hAnsi="Arial"/>
                <w:sz w:val="14"/>
                <w:szCs w:val="14"/>
                <w:color w:val="auto"/>
              </w:rPr>
              <w:t>Eliminations/Other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1,585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9,039</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North &amp; South America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Europe/M. East/Africa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Asia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Eliminations/Other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1,913</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0"/>
                <w:szCs w:val="20"/>
                <w:color w:val="auto"/>
              </w:rPr>
            </w:pPr>
            <w:r>
              <w:rPr>
                <w:rFonts w:ascii="Arial" w:cs="Arial" w:eastAsia="Arial" w:hAnsi="Arial"/>
                <w:sz w:val="14"/>
                <w:szCs w:val="14"/>
                <w:color w:val="auto"/>
              </w:rPr>
              <w:t>Corporate eliminations &amp;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4"/>
                <w:szCs w:val="24"/>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(134)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(206)</w:t>
            </w: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5,479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50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$17,173</w:t>
            </w: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w:t>
            </w:r>
          </w:p>
        </w:tc>
        <w:tc>
          <w:tcPr>
            <w:tcW w:w="4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-4771390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-4771390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-4771390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-4771390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-4771390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-4771390</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-4771390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-4771390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-4771390</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-4771390</wp:posOffset>
            </wp:positionV>
            <wp:extent cx="33845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-4771390</wp:posOffset>
            </wp:positionV>
            <wp:extent cx="28702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-4771390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-4771390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-4771390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-4771390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-4771390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-4771390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-4085590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-4085590</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-4085590</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-715010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-715010</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-715010</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-715010</wp:posOffset>
            </wp:positionV>
            <wp:extent cx="53594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-715010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-715010</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-715010</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-715010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-715010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-715010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-715010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-715010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-715010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-715010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-715010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-715010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-715010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-715010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340"/>
        <w:spacing w:after="0" w:line="332" w:lineRule="auto"/>
        <w:rPr>
          <w:sz w:val="20"/>
          <w:szCs w:val="20"/>
          <w:color w:val="auto"/>
        </w:rPr>
      </w:pPr>
      <w:r>
        <w:rPr>
          <w:rFonts w:ascii="Arial" w:cs="Arial" w:eastAsia="Arial" w:hAnsi="Arial"/>
          <w:sz w:val="16"/>
          <w:szCs w:val="16"/>
          <w:color w:val="auto"/>
        </w:rPr>
        <w:t>Oilfield Services net income eliminations include certain headquarters administrative costs which are not allocated geographically, manufacturing and certain other operations, and costs maintained at the Oilfield Services level including the WesternGeco minority interest expense.</w:t>
      </w:r>
    </w:p>
    <w:p>
      <w:pPr>
        <w:spacing w:after="0" w:line="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SchlumbergerSema net income eliminations include certain headquarters administrative costs which are not allocated geographically and other costs maintained at the SchlumbergerSema level.</w:t>
      </w:r>
    </w:p>
    <w:p>
      <w:pPr>
        <w:spacing w:after="0" w:line="11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Corporate income eliminations principally comprise the amortization of goodwill (in 2001 and 2000) and other intangibles, as well as nonoperating expenses, such as certain intersegment charges and interest expense (except as shown above), which are not included in the segments’ income. Corporate assets largely comprise short-term investments and fixed income investments, held to maturity.</w:t>
      </w:r>
    </w:p>
    <w:p>
      <w:pPr>
        <w:sectPr>
          <w:pgSz w:w="11900" w:h="16838" w:orient="portrait"/>
          <w:cols w:equalWidth="0" w:num="1">
            <w:col w:w="11420"/>
          </w:cols>
          <w:pgMar w:left="240" w:top="459" w:right="239" w:bottom="225"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225"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years ended December 31, 2002, no single customer exceeded 10% of consolidated revenue.</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Schlumberger did not have revenue from third-party customers in its country of domicile during the last three years. In each of the three years, only revenue in the US exceeded 10% of consolidated revenue. Revenue in the US in 2002, 2001 and 2000 was $4.0 billion, $5.1 billion and $3.5 billion,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excludes amounts which are included in the segments’ income (2002 – $4 million: 2001 – $5 million: 2000 – $5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&amp; Amortization and Capital Expenditure include Multiclient seismic data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and Other Benefit Plans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Pension Plans</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Schlumberger and its US subsidiary sponsor several defined benefit pension plans that cover substantially all employees. The benefits are based on years of service and compensation on a career-average pay basis. These plans are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assumed discount rate, compensation increases and return on plan assets used to determine pension expense in 2002 were 7.25%, 3% and 8.5%,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2001, the assumptions were 7.5%, 4.5% and 9%, respectively. In 2000, the assumptions were 7.75%, 4.5% and 9%,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2002, 2001 and 2000, included the following components: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6"/>
          </w:tcPr>
          <w:p>
            <w:pPr>
              <w:jc w:val="right"/>
              <w:spacing w:after="0"/>
              <w:rPr>
                <w:sz w:val="20"/>
                <w:szCs w:val="20"/>
                <w:color w:val="auto"/>
              </w:rPr>
            </w:pPr>
            <w:r>
              <w:rPr>
                <w:rFonts w:ascii="Arial" w:cs="Arial" w:eastAsia="Arial" w:hAnsi="Arial"/>
                <w:sz w:val="14"/>
                <w:szCs w:val="14"/>
                <w:i w:val="1"/>
                <w:iCs w:val="1"/>
                <w:color w:val="auto"/>
                <w:w w:val="97"/>
              </w:rPr>
              <w:t>(Stated in millions)</w:t>
            </w:r>
          </w:p>
        </w:tc>
      </w:tr>
      <w:tr>
        <w:trPr>
          <w:trHeight w:val="257"/>
        </w:trPr>
        <w:tc>
          <w:tcPr>
            <w:tcW w:w="9420" w:type="dxa"/>
            <w:vAlign w:val="bottom"/>
          </w:tcPr>
          <w:p>
            <w:pPr>
              <w:spacing w:after="0"/>
              <w:rPr>
                <w:sz w:val="22"/>
                <w:szCs w:val="22"/>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2000</w:t>
            </w:r>
          </w:p>
        </w:tc>
        <w:tc>
          <w:tcPr>
            <w:tcW w:w="60" w:type="dxa"/>
            <w:vAlign w:val="bottom"/>
          </w:tcPr>
          <w:p>
            <w:pPr>
              <w:spacing w:after="0"/>
              <w:rPr>
                <w:sz w:val="22"/>
                <w:szCs w:val="22"/>
                <w:color w:val="auto"/>
              </w:rPr>
            </w:pPr>
          </w:p>
        </w:tc>
      </w:tr>
      <w:tr>
        <w:trPr>
          <w:trHeight w:val="95"/>
        </w:trPr>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 benefits earned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942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 (actual return: 2002 – $(114); 2001 – $(70); 2000 – $(2))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(101)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(97)</w:t>
            </w:r>
          </w:p>
        </w:tc>
      </w:tr>
      <w:tr>
        <w:trPr>
          <w:trHeight w:val="216"/>
        </w:trPr>
        <w:tc>
          <w:tcPr>
            <w:tcW w:w="9420" w:type="dxa"/>
            <w:vAlign w:val="bottom"/>
          </w:tcPr>
          <w:p>
            <w:pPr>
              <w:ind w:left="20"/>
              <w:spacing w:after="0"/>
              <w:rPr>
                <w:sz w:val="20"/>
                <w:szCs w:val="20"/>
                <w:color w:val="auto"/>
              </w:rPr>
            </w:pPr>
            <w:r>
              <w:rPr>
                <w:rFonts w:ascii="Arial" w:cs="Arial" w:eastAsia="Arial" w:hAnsi="Arial"/>
                <w:sz w:val="18"/>
                <w:szCs w:val="18"/>
                <w:color w:val="auto"/>
              </w:rPr>
              <w:t>Amortization of transition assets</w:t>
            </w:r>
          </w:p>
        </w:tc>
        <w:tc>
          <w:tcPr>
            <w:tcW w:w="100" w:type="dxa"/>
            <w:vAlign w:val="bottom"/>
          </w:tcPr>
          <w:p>
            <w:pPr>
              <w:spacing w:after="0"/>
              <w:rPr>
                <w:sz w:val="18"/>
                <w:szCs w:val="18"/>
                <w:color w:val="auto"/>
              </w:rPr>
            </w:pPr>
          </w:p>
        </w:tc>
        <w:tc>
          <w:tcPr>
            <w:tcW w:w="6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28"/>
        </w:trPr>
        <w:tc>
          <w:tcPr>
            <w:tcW w:w="9420" w:type="dxa"/>
            <w:vAlign w:val="bottom"/>
          </w:tcPr>
          <w:p>
            <w:pPr>
              <w:ind w:left="20"/>
              <w:spacing w:after="0"/>
              <w:rPr>
                <w:sz w:val="20"/>
                <w:szCs w:val="20"/>
                <w:color w:val="auto"/>
              </w:rPr>
            </w:pPr>
            <w:r>
              <w:rPr>
                <w:rFonts w:ascii="Arial" w:cs="Arial" w:eastAsia="Arial" w:hAnsi="Arial"/>
                <w:sz w:val="18"/>
                <w:szCs w:val="18"/>
                <w:color w:val="auto"/>
              </w:rPr>
              <w:t>Amortization of unrecognized net gain</w:t>
            </w:r>
          </w:p>
        </w:tc>
        <w:tc>
          <w:tcPr>
            <w:tcW w:w="100" w:type="dxa"/>
            <w:vAlign w:val="bottom"/>
          </w:tcPr>
          <w:p>
            <w:pPr>
              <w:spacing w:after="0"/>
              <w:rPr>
                <w:sz w:val="19"/>
                <w:szCs w:val="19"/>
                <w:color w:val="auto"/>
              </w:rPr>
            </w:pPr>
          </w:p>
        </w:tc>
        <w:tc>
          <w:tcPr>
            <w:tcW w:w="6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(11)</w:t>
            </w:r>
          </w:p>
        </w:tc>
      </w:tr>
      <w:tr>
        <w:trPr>
          <w:trHeight w:val="96"/>
        </w:trPr>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pension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132"/>
        </w:trPr>
        <w:tc>
          <w:tcPr>
            <w:tcW w:w="9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-29210</wp:posOffset>
            </wp:positionV>
            <wp:extent cx="26162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2000, Schlumberger and its subsidiaries amended their pension plans to improve retirement benefits for active employees.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projected benefit obligation, plan assets and funded status of the plans on December 31, 2002 and 2001, was as follows: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1,254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Service cost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Actuarial losses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the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1,441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beginning of the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1,074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Contribution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Benefits paid</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Excess of projected benefit obligation over assets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(489)</w:t>
            </w:r>
          </w:p>
        </w:tc>
        <w:tc>
          <w:tcPr>
            <w:tcW w:w="66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Unrecognized net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Contribution receivable</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at end of the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(188)</w:t>
            </w:r>
          </w:p>
        </w:tc>
        <w:tc>
          <w:tcPr>
            <w:tcW w:w="66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benefits obligation at end of the year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(1,336)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Minimum liability</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Pension liability at end of the year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-3088640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-3088640</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-3088640</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-3088640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-3088640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-3088640</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-2094230</wp:posOffset>
            </wp:positionV>
            <wp:extent cx="3816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-2094230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-2094230</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-2094230</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-1099185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-1099185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-1099185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-1099185</wp:posOffset>
            </wp:positionV>
            <wp:extent cx="34734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10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-103505</wp:posOffset>
            </wp:positionV>
            <wp:extent cx="6517640" cy="1371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1240" w:val="left"/>
          <w:tab w:leader="none" w:pos="1480" w:val="left"/>
        </w:tabs>
        <w:rPr>
          <w:sz w:val="20"/>
          <w:szCs w:val="20"/>
          <w:color w:val="auto"/>
        </w:rPr>
      </w:pPr>
      <w:r>
        <w:rPr>
          <w:rFonts w:ascii="Arial" w:cs="Arial" w:eastAsia="Arial" w:hAnsi="Arial"/>
          <w:sz w:val="18"/>
          <w:szCs w:val="18"/>
          <w:b w:val="1"/>
          <w:bCs w:val="1"/>
          <w:color w:val="auto"/>
        </w:rPr>
        <w:t>$  (224)</w:t>
      </w:r>
      <w:r>
        <w:rPr>
          <w:sz w:val="20"/>
          <w:szCs w:val="20"/>
          <w:color w:val="auto"/>
        </w:rPr>
        <w:tab/>
      </w: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3816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81280</wp:posOffset>
            </wp:positionV>
            <wp:extent cx="34734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280"/>
          </w:cols>
          <w:pgMar w:left="240" w:top="459" w:right="359" w:bottom="1440" w:gutter="0" w:footer="0" w:header="0"/>
          <w:type w:val="continuous"/>
        </w:sectPr>
      </w:pP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market performance over the last two years has decreased the value of assets held in the US pension plans and has correspondingly increased the amount by which the pension plans are under-funded. As a result of the decline in the value of the pension plan assets and a decline in the interest rates, which increases the present value of the benefit obligations, Schlumberger recorded in the fourth quarter a non-cash charge to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of $224 million. A recovery in market returns in future periods would reverse a portion of the charge.</w:t>
      </w:r>
    </w:p>
    <w:p>
      <w:pPr>
        <w:spacing w:after="0" w:line="13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assumed discount rate, the rate of compensation increases and the expected long-term rate of return on plan assets used to determine the projected benefit obligations were 6.75%, 3% and 8.5%, respectively, in 2002, and 7.25%, 4.5% and 9%, respectively, in 2001. Plan assets, excluding the contribution receivable, on December 31, 2002, consisted of common stocks ($524 million), cash or cash equivalents ($98 million), fixed income investments ($228 million) and other investments ($52 million). On December 31, 2002, there is no investment of the plan assets in Schlumberger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Pension Plans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funded with trustees in respect to past and current service. For all defined benefit plans, pension expense was $58 million, $52 million and $23 million in 2002, 2001 and 2000, respectively. Based on plan assets and the projected benefit obligation, the only significant defined benefit plan is in the UK.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00"/>
          </w:cols>
          <w:pgMar w:left="240" w:top="459" w:right="3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assumed discount rate, compensation increases and return on plan assets used to determine pension expense in 2002 were 5.75%, 4.0% and 9.0% respectively. In 2001, the assumptions were 6%, 4% and 9%, respectively.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pension cost in the UK plan for 2002, 2001 (including the Sema plc plans) and 2000 (translated into US dollars at the average exchange rate for the periods), included the following components: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the period</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$ 58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59</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Expected return on plan assets (actual return: 2002—($147); 2001—($47); 2000 ($28)</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shd w:val="clear" w:color="auto" w:fill="CCEEFF"/>
              </w:rPr>
              <w:t>(91)</w:t>
            </w:r>
          </w:p>
        </w:tc>
        <w:tc>
          <w:tcPr>
            <w:tcW w:w="12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shd w:val="clear" w:color="auto" w:fill="CCEEFF"/>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(34)</w:t>
            </w:r>
          </w:p>
        </w:tc>
        <w:tc>
          <w:tcPr>
            <w:tcW w:w="0" w:type="dxa"/>
            <w:vAlign w:val="bottom"/>
          </w:tcPr>
          <w:p>
            <w:pPr>
              <w:spacing w:after="0"/>
              <w:rPr>
                <w:sz w:val="1"/>
                <w:szCs w:val="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Amortization of transition asset and other</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w:t>
            </w:r>
          </w:p>
        </w:tc>
        <w:tc>
          <w:tcPr>
            <w:tcW w:w="1240" w:type="dxa"/>
            <w:vAlign w:val="bottom"/>
            <w:gridSpan w:val="5"/>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6"/>
        </w:trPr>
        <w:tc>
          <w:tcPr>
            <w:tcW w:w="6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$ 27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32"/>
        </w:trPr>
        <w:tc>
          <w:tcPr>
            <w:tcW w:w="6300" w:type="dxa"/>
            <w:vAlign w:val="bottom"/>
            <w:vMerge w:val="restart"/>
          </w:tcPr>
          <w:p>
            <w:pPr>
              <w:ind w:left="418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-325755</wp:posOffset>
            </wp:positionV>
            <wp:extent cx="2444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6162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projected benefit obligation, plan assets and funded status of the plan (translated into US dollars at year-end exchange rates)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6"/>
          </w:tcPr>
          <w:p>
            <w:pPr>
              <w:jc w:val="right"/>
              <w:ind w:right="60"/>
              <w:spacing w:after="0"/>
              <w:rPr>
                <w:sz w:val="20"/>
                <w:szCs w:val="20"/>
                <w:color w:val="auto"/>
              </w:rPr>
            </w:pPr>
            <w:r>
              <w:rPr>
                <w:rFonts w:ascii="Arial" w:cs="Arial" w:eastAsia="Arial" w:hAnsi="Arial"/>
                <w:sz w:val="14"/>
                <w:szCs w:val="14"/>
                <w:i w:val="1"/>
                <w:iCs w:val="1"/>
                <w:color w:val="auto"/>
                <w:w w:val="92"/>
              </w:rPr>
              <w:t>(Stated in millions)</w:t>
            </w:r>
          </w:p>
        </w:tc>
      </w:tr>
      <w:tr>
        <w:trPr>
          <w:trHeight w:val="257"/>
        </w:trPr>
        <w:tc>
          <w:tcPr>
            <w:tcW w:w="1026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22"/>
                <w:szCs w:val="22"/>
                <w:color w:val="auto"/>
              </w:rPr>
            </w:pPr>
          </w:p>
        </w:tc>
      </w:tr>
      <w:tr>
        <w:trPr>
          <w:trHeight w:val="95"/>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311</w:t>
            </w:r>
          </w:p>
        </w:tc>
        <w:tc>
          <w:tcPr>
            <w:tcW w:w="60" w:type="dxa"/>
            <w:vAlign w:val="bottom"/>
            <w:shd w:val="clear" w:color="auto" w:fill="CCEEFF"/>
          </w:tcPr>
          <w:p>
            <w:pPr>
              <w:spacing w:after="0"/>
              <w:rPr>
                <w:sz w:val="12"/>
                <w:szCs w:val="12"/>
                <w:color w:val="auto"/>
              </w:rPr>
            </w:pPr>
          </w:p>
        </w:tc>
      </w:tr>
      <w:tr>
        <w:trPr>
          <w:trHeight w:val="149"/>
        </w:trPr>
        <w:tc>
          <w:tcPr>
            <w:tcW w:w="10260" w:type="dxa"/>
            <w:vAlign w:val="bottom"/>
          </w:tcPr>
          <w:p>
            <w:pPr>
              <w:spacing w:after="0" w:line="149" w:lineRule="exact"/>
              <w:rPr>
                <w:sz w:val="20"/>
                <w:szCs w:val="20"/>
                <w:color w:val="auto"/>
              </w:rPr>
            </w:pPr>
            <w:r>
              <w:rPr>
                <w:rFonts w:ascii="Arial" w:cs="Arial" w:eastAsia="Arial" w:hAnsi="Arial"/>
                <w:sz w:val="14"/>
                <w:szCs w:val="14"/>
                <w:color w:val="auto"/>
              </w:rPr>
              <w:t>Acquisition of Sema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580</w:t>
            </w:r>
          </w:p>
        </w:tc>
        <w:tc>
          <w:tcPr>
            <w:tcW w:w="60" w:type="dxa"/>
            <w:vAlign w:val="bottom"/>
          </w:tcPr>
          <w:p>
            <w:pPr>
              <w:spacing w:after="0"/>
              <w:rPr>
                <w:sz w:val="12"/>
                <w:szCs w:val="12"/>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2"/>
                <w:szCs w:val="12"/>
                <w:color w:val="auto"/>
              </w:rPr>
            </w:pPr>
          </w:p>
        </w:tc>
      </w:tr>
      <w:tr>
        <w:trPr>
          <w:trHeight w:val="149"/>
        </w:trPr>
        <w:tc>
          <w:tcPr>
            <w:tcW w:w="1026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60" w:type="dxa"/>
            <w:vAlign w:val="bottom"/>
          </w:tcPr>
          <w:p>
            <w:pPr>
              <w:spacing w:after="0"/>
              <w:rPr>
                <w:sz w:val="12"/>
                <w:szCs w:val="12"/>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10260" w:type="dxa"/>
            <w:vAlign w:val="bottom"/>
          </w:tcPr>
          <w:p>
            <w:pPr>
              <w:spacing w:after="0" w:line="149" w:lineRule="exact"/>
              <w:rPr>
                <w:sz w:val="20"/>
                <w:szCs w:val="20"/>
                <w:color w:val="auto"/>
              </w:rPr>
            </w:pPr>
            <w:r>
              <w:rPr>
                <w:rFonts w:ascii="Arial" w:cs="Arial" w:eastAsia="Arial" w:hAnsi="Arial"/>
                <w:sz w:val="14"/>
                <w:szCs w:val="14"/>
                <w:color w:val="auto"/>
              </w:rPr>
              <w:t>Actuarial (gains) losses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(45)</w:t>
            </w: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2"/>
                <w:szCs w:val="12"/>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exchange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1026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08"/>
        </w:trPr>
        <w:tc>
          <w:tcPr>
            <w:tcW w:w="10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1,142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989</w:t>
            </w:r>
          </w:p>
        </w:tc>
        <w:tc>
          <w:tcPr>
            <w:tcW w:w="60" w:type="dxa"/>
            <w:vAlign w:val="bottom"/>
            <w:shd w:val="clear" w:color="auto" w:fill="CCEEFF"/>
          </w:tcPr>
          <w:p>
            <w:pPr>
              <w:spacing w:after="0"/>
              <w:rPr>
                <w:sz w:val="12"/>
                <w:szCs w:val="12"/>
                <w:color w:val="auto"/>
              </w:rPr>
            </w:pPr>
          </w:p>
        </w:tc>
      </w:tr>
      <w:tr>
        <w:trPr>
          <w:trHeight w:val="132"/>
        </w:trPr>
        <w:tc>
          <w:tcPr>
            <w:tcW w:w="10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10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385</w:t>
            </w:r>
          </w:p>
        </w:tc>
        <w:tc>
          <w:tcPr>
            <w:tcW w:w="60" w:type="dxa"/>
            <w:vAlign w:val="bottom"/>
            <w:shd w:val="clear" w:color="auto" w:fill="CCEEFF"/>
          </w:tcPr>
          <w:p>
            <w:pPr>
              <w:spacing w:after="0"/>
              <w:rPr>
                <w:sz w:val="12"/>
                <w:szCs w:val="12"/>
                <w:color w:val="auto"/>
              </w:rPr>
            </w:pPr>
          </w:p>
        </w:tc>
      </w:tr>
      <w:tr>
        <w:trPr>
          <w:trHeight w:val="149"/>
        </w:trPr>
        <w:tc>
          <w:tcPr>
            <w:tcW w:w="10260" w:type="dxa"/>
            <w:vAlign w:val="bottom"/>
          </w:tcPr>
          <w:p>
            <w:pPr>
              <w:spacing w:after="0" w:line="149" w:lineRule="exact"/>
              <w:rPr>
                <w:sz w:val="20"/>
                <w:szCs w:val="20"/>
                <w:color w:val="auto"/>
              </w:rPr>
            </w:pPr>
            <w:r>
              <w:rPr>
                <w:rFonts w:ascii="Arial" w:cs="Arial" w:eastAsia="Arial" w:hAnsi="Arial"/>
                <w:sz w:val="14"/>
                <w:szCs w:val="14"/>
                <w:color w:val="auto"/>
              </w:rPr>
              <w:t>Acquisition of Sema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540</w:t>
            </w:r>
          </w:p>
        </w:tc>
        <w:tc>
          <w:tcPr>
            <w:tcW w:w="60" w:type="dxa"/>
            <w:vAlign w:val="bottom"/>
          </w:tcPr>
          <w:p>
            <w:pPr>
              <w:spacing w:after="0"/>
              <w:rPr>
                <w:sz w:val="12"/>
                <w:szCs w:val="12"/>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(147)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9"/>
        </w:trPr>
        <w:tc>
          <w:tcPr>
            <w:tcW w:w="10260" w:type="dxa"/>
            <w:vAlign w:val="bottom"/>
          </w:tcPr>
          <w:p>
            <w:pPr>
              <w:spacing w:after="0" w:line="149" w:lineRule="exact"/>
              <w:rPr>
                <w:sz w:val="20"/>
                <w:szCs w:val="20"/>
                <w:color w:val="auto"/>
              </w:rPr>
            </w:pPr>
            <w:r>
              <w:rPr>
                <w:rFonts w:ascii="Arial" w:cs="Arial" w:eastAsia="Arial" w:hAnsi="Arial"/>
                <w:sz w:val="14"/>
                <w:szCs w:val="14"/>
                <w:color w:val="auto"/>
              </w:rPr>
              <w:t>Gain (loss) on exchange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Employer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r>
      <w:tr>
        <w:trPr>
          <w:trHeight w:val="149"/>
        </w:trPr>
        <w:tc>
          <w:tcPr>
            <w:tcW w:w="10260" w:type="dxa"/>
            <w:vAlign w:val="bottom"/>
          </w:tcPr>
          <w:p>
            <w:pPr>
              <w:spacing w:after="0" w:line="149" w:lineRule="exact"/>
              <w:rPr>
                <w:sz w:val="20"/>
                <w:szCs w:val="20"/>
                <w:color w:val="auto"/>
              </w:rPr>
            </w:pPr>
            <w:r>
              <w:rPr>
                <w:rFonts w:ascii="Arial" w:cs="Arial" w:eastAsia="Arial" w:hAnsi="Arial"/>
                <w:sz w:val="14"/>
                <w:szCs w:val="14"/>
                <w:color w:val="auto"/>
              </w:rPr>
              <w:t>Employee contributions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(25)</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r>
      <w:tr>
        <w:trPr>
          <w:trHeight w:val="174"/>
        </w:trPr>
        <w:tc>
          <w:tcPr>
            <w:tcW w:w="10260" w:type="dxa"/>
            <w:vAlign w:val="bottom"/>
          </w:tcPr>
          <w:p>
            <w:pPr>
              <w:spacing w:after="0"/>
              <w:rPr>
                <w:sz w:val="20"/>
                <w:szCs w:val="20"/>
                <w:color w:val="auto"/>
              </w:rPr>
            </w:pPr>
            <w:r>
              <w:rPr>
                <w:rFonts w:ascii="Arial" w:cs="Arial" w:eastAsia="Arial" w:hAnsi="Arial"/>
                <w:sz w:val="14"/>
                <w:szCs w:val="14"/>
                <w:color w:val="auto"/>
              </w:rPr>
              <w:t>Disposals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(21)</w:t>
            </w:r>
          </w:p>
        </w:tc>
      </w:tr>
      <w:tr>
        <w:trPr>
          <w:trHeight w:val="82"/>
        </w:trPr>
        <w:tc>
          <w:tcPr>
            <w:tcW w:w="10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868</w:t>
            </w:r>
          </w:p>
        </w:tc>
        <w:tc>
          <w:tcPr>
            <w:tcW w:w="60" w:type="dxa"/>
            <w:vAlign w:val="bottom"/>
            <w:shd w:val="clear" w:color="auto" w:fill="CCEEFF"/>
          </w:tcPr>
          <w:p>
            <w:pPr>
              <w:spacing w:after="0"/>
              <w:rPr>
                <w:sz w:val="12"/>
                <w:szCs w:val="12"/>
                <w:color w:val="auto"/>
              </w:rPr>
            </w:pPr>
          </w:p>
        </w:tc>
      </w:tr>
      <w:tr>
        <w:trPr>
          <w:trHeight w:val="132"/>
        </w:trPr>
        <w:tc>
          <w:tcPr>
            <w:tcW w:w="10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10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of projected benefit obligation over assets</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(327)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(121)</w:t>
            </w:r>
          </w:p>
        </w:tc>
      </w:tr>
      <w:tr>
        <w:trPr>
          <w:trHeight w:val="149"/>
        </w:trPr>
        <w:tc>
          <w:tcPr>
            <w:tcW w:w="10260" w:type="dxa"/>
            <w:vAlign w:val="bottom"/>
          </w:tcPr>
          <w:p>
            <w:pPr>
              <w:spacing w:after="0" w:line="149" w:lineRule="exact"/>
              <w:rPr>
                <w:sz w:val="20"/>
                <w:szCs w:val="20"/>
                <w:color w:val="auto"/>
              </w:rPr>
            </w:pPr>
            <w:r>
              <w:rPr>
                <w:rFonts w:ascii="Arial" w:cs="Arial" w:eastAsia="Arial" w:hAnsi="Arial"/>
                <w:sz w:val="14"/>
                <w:szCs w:val="14"/>
                <w:color w:val="auto"/>
              </w:rPr>
              <w:t>Unrecognized net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131</w:t>
            </w:r>
          </w:p>
        </w:tc>
        <w:tc>
          <w:tcPr>
            <w:tcW w:w="60" w:type="dxa"/>
            <w:vAlign w:val="bottom"/>
          </w:tcPr>
          <w:p>
            <w:pPr>
              <w:spacing w:after="0"/>
              <w:rPr>
                <w:sz w:val="12"/>
                <w:szCs w:val="12"/>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r>
      <w:tr>
        <w:trPr>
          <w:trHeight w:val="174"/>
        </w:trPr>
        <w:tc>
          <w:tcPr>
            <w:tcW w:w="10260" w:type="dxa"/>
            <w:vAlign w:val="bottom"/>
          </w:tcPr>
          <w:p>
            <w:pPr>
              <w:spacing w:after="0"/>
              <w:rPr>
                <w:sz w:val="20"/>
                <w:szCs w:val="20"/>
                <w:color w:val="auto"/>
              </w:rPr>
            </w:pPr>
            <w:r>
              <w:rPr>
                <w:rFonts w:ascii="Arial" w:cs="Arial" w:eastAsia="Arial" w:hAnsi="Arial"/>
                <w:sz w:val="14"/>
                <w:szCs w:val="14"/>
                <w:color w:val="auto"/>
              </w:rPr>
              <w:t>Unrecognized net asset at transition date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82"/>
        </w:trPr>
        <w:tc>
          <w:tcPr>
            <w:tcW w:w="10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asset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r>
      <w:tr>
        <w:trPr>
          <w:trHeight w:val="132"/>
        </w:trPr>
        <w:tc>
          <w:tcPr>
            <w:tcW w:w="10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10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 of under-funded plans at market value at end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74"/>
        </w:trPr>
        <w:tc>
          <w:tcPr>
            <w:tcW w:w="10260" w:type="dxa"/>
            <w:vAlign w:val="bottom"/>
          </w:tcPr>
          <w:p>
            <w:pPr>
              <w:spacing w:after="0"/>
              <w:rPr>
                <w:sz w:val="20"/>
                <w:szCs w:val="20"/>
                <w:color w:val="auto"/>
              </w:rPr>
            </w:pPr>
            <w:r>
              <w:rPr>
                <w:rFonts w:ascii="Arial" w:cs="Arial" w:eastAsia="Arial" w:hAnsi="Arial"/>
                <w:sz w:val="14"/>
                <w:szCs w:val="14"/>
                <w:color w:val="auto"/>
              </w:rPr>
              <w:t>Accumulated benefit obligation of under-funded plans at end of the year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(495)</w:t>
            </w:r>
          </w:p>
        </w:tc>
        <w:tc>
          <w:tcPr>
            <w:tcW w:w="8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82"/>
        </w:trPr>
        <w:tc>
          <w:tcPr>
            <w:tcW w:w="10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liability of under-funded plans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(160)</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74"/>
        </w:trPr>
        <w:tc>
          <w:tcPr>
            <w:tcW w:w="10260" w:type="dxa"/>
            <w:vAlign w:val="bottom"/>
          </w:tcPr>
          <w:p>
            <w:pPr>
              <w:spacing w:after="0"/>
              <w:rPr>
                <w:sz w:val="20"/>
                <w:szCs w:val="20"/>
                <w:color w:val="auto"/>
              </w:rPr>
            </w:pPr>
            <w:r>
              <w:rPr>
                <w:rFonts w:ascii="Arial" w:cs="Arial" w:eastAsia="Arial" w:hAnsi="Arial"/>
                <w:sz w:val="14"/>
                <w:szCs w:val="14"/>
                <w:color w:val="auto"/>
              </w:rPr>
              <w:t>Pension liability of under-funded plans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-2573655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-2573655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-2573655</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-2573655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-2573655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-2573655</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-1415415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-1415415</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-1415415</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-1415415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-1415415</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-1415415</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-635000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-635000</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-635000</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-635000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-635000</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-635000</wp:posOffset>
            </wp:positionV>
            <wp:extent cx="3873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52070</wp:posOffset>
            </wp:positionV>
            <wp:extent cx="24003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52070</wp:posOffset>
            </wp:positionV>
            <wp:extent cx="20574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946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180" w:val="left"/>
          <w:tab w:leader="none" w:pos="740" w:val="left"/>
        </w:tabs>
        <w:rPr>
          <w:sz w:val="20"/>
          <w:szCs w:val="20"/>
          <w:color w:val="auto"/>
        </w:rPr>
      </w:pPr>
      <w:r>
        <w:rPr>
          <w:rFonts w:ascii="Arial" w:cs="Arial" w:eastAsia="Arial" w:hAnsi="Arial"/>
          <w:sz w:val="14"/>
          <w:szCs w:val="14"/>
          <w:b w:val="1"/>
          <w:bCs w:val="1"/>
          <w:color w:val="auto"/>
        </w:rPr>
        <w:t>$</w:t>
        <w:tab/>
        <w:t>(90)</w:t>
      </w:r>
      <w:r>
        <w:rPr>
          <w:sz w:val="20"/>
          <w:szCs w:val="20"/>
          <w:color w:val="auto"/>
        </w:rPr>
        <w:tab/>
      </w: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66675</wp:posOffset>
            </wp:positionV>
            <wp:extent cx="2698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66675</wp:posOffset>
            </wp:positionV>
            <wp:extent cx="23558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720"/>
            <w:col w:w="1140"/>
          </w:cols>
          <w:pgMar w:left="240" w:top="459" w:right="239" w:bottom="1440" w:gutter="0" w:footer="0" w:header="0"/>
          <w:type w:val="continuous"/>
        </w:sectPr>
      </w:pP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The market performance over the last two years has decreased the value of assets held in the UK pension plans and has correspondingly increased the amount by which the pension plans are under-funded. As a result of the decline in the value of the pension plan assets and a decline in the interest rates, which increased the present value of the benefit obligations, Schlumberger recorded in the fourth quarter a non-cash charge to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of $90 million. A recovery in market returns in future periods would reverse a portion of the charge.</w:t>
      </w:r>
    </w:p>
    <w:p>
      <w:pPr>
        <w:spacing w:after="0" w:line="13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assumed discount rate and rate of compensation increases used to determine the projected benefit obligation were 5.70% and 3.75%-2.55% respectively in 2002, and 5.75% and 4%, respectively in 2001. Plan assets consisted of common stocks ($610 million), cash or cash equivalents ($64 million) and fixed income investments ($141 million). None of the segregated plan assets represented Schlumberger common stock.</w:t>
      </w:r>
    </w:p>
    <w:p>
      <w:pPr>
        <w:spacing w:after="0" w:line="9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defined contribution plans, funding and cost are generally based upon a predetermined percentage of employee compensation. Charges to expense in 2002, 2001 and 2000, were $44 million, $32 million and $22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Deferred Benefits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providing pension benefits, Schlumberger and its subsidiaries have other deferred benefit programs, primarily profit sharing. Expenses for these programs were $143 million, $192 million and $114 million in 2002, 2001 and 2000,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Benefits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and its US subsidiary provide health care benefits for certain active employees. The cost of providing these benefits is recognized as expense when incurred and aggregated $79 million, $68 million and $60 million in 2002, 2001 and 2000, respectively. Outside the US, such benefits are mostly provided through government-sponsored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 Other than Pensions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US subsidiary provide certain health care benefits to former employees who have retired under the US pension plans.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principal actuarial assumptions used to measure costs were a discount rate of 7.25% in 2002, 7.5% in 2001 and 7.75% in 2000. The overall medical cost trend rate assumption is 9.5% graded to 5% over the next six years and 5%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cost in the US for 2002, 2001 and 2000, included the following components: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jc w:val="center"/>
              <w:ind w:left="52"/>
              <w:spacing w:after="0"/>
              <w:rPr>
                <w:sz w:val="20"/>
                <w:szCs w:val="20"/>
                <w:color w:val="auto"/>
              </w:rPr>
            </w:pPr>
            <w:r>
              <w:rPr>
                <w:rFonts w:ascii="Arial" w:cs="Arial" w:eastAsia="Arial" w:hAnsi="Arial"/>
                <w:sz w:val="14"/>
                <w:szCs w:val="14"/>
                <w:i w:val="1"/>
                <w:iCs w:val="1"/>
                <w:color w:val="auto"/>
                <w:w w:val="90"/>
              </w:rPr>
              <w:t>(Stated in millions)</w:t>
            </w:r>
          </w:p>
        </w:tc>
      </w:tr>
      <w:tr>
        <w:trPr>
          <w:trHeight w:val="174"/>
        </w:trPr>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9"/>
              </w:rPr>
              <w:t>2001</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2000</w:t>
            </w:r>
          </w:p>
        </w:tc>
        <w:tc>
          <w:tcPr>
            <w:tcW w:w="120" w:type="dxa"/>
            <w:vAlign w:val="bottom"/>
          </w:tcPr>
          <w:p>
            <w:pPr>
              <w:spacing w:after="0"/>
              <w:rPr>
                <w:sz w:val="15"/>
                <w:szCs w:val="15"/>
                <w:color w:val="auto"/>
              </w:rPr>
            </w:pPr>
          </w:p>
        </w:tc>
      </w:tr>
      <w:tr>
        <w:trPr>
          <w:trHeight w:val="95"/>
        </w:trPr>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gain and 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108"/>
        </w:trPr>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34734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accumulated postretirement benefit obligation and funded status on December 31, 2002 and 2001, was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74"/>
        </w:trPr>
        <w:tc>
          <w:tcPr>
            <w:tcW w:w="64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4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the year</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Service cost</w:t>
            </w:r>
          </w:p>
        </w:tc>
        <w:tc>
          <w:tcPr>
            <w:tcW w:w="15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Actuarial losses (gains)</w:t>
            </w:r>
          </w:p>
        </w:tc>
        <w:tc>
          <w:tcPr>
            <w:tcW w:w="15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5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Other</w:t>
            </w:r>
          </w:p>
        </w:tc>
        <w:tc>
          <w:tcPr>
            <w:tcW w:w="15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64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the end of the year</w:t>
            </w: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Unrecognized net gain</w:t>
            </w:r>
          </w:p>
        </w:tc>
        <w:tc>
          <w:tcPr>
            <w:tcW w:w="150" w:type="dxa"/>
            <w:vAlign w:val="bottom"/>
          </w:tcPr>
          <w:p>
            <w:pPr>
              <w:spacing w:after="0"/>
              <w:rPr>
                <w:sz w:val="18"/>
                <w:szCs w:val="18"/>
                <w:color w:val="auto"/>
              </w:rPr>
            </w:pPr>
          </w:p>
        </w:tc>
        <w:tc>
          <w:tcPr>
            <w:tcW w:w="73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cost/other</w:t>
            </w:r>
          </w:p>
        </w:tc>
        <w:tc>
          <w:tcPr>
            <w:tcW w:w="15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 liability on December 31</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80" w:type="dxa"/>
            <w:vAlign w:val="bottom"/>
            <w:vMerge w:val="restart"/>
          </w:tcPr>
          <w:p>
            <w:pPr>
              <w:ind w:left="4180"/>
              <w:spacing w:after="0"/>
              <w:rPr>
                <w:sz w:val="20"/>
                <w:szCs w:val="20"/>
                <w:color w:val="auto"/>
              </w:rPr>
            </w:pPr>
            <w:r>
              <w:rPr>
                <w:rFonts w:ascii="Arial" w:cs="Arial" w:eastAsia="Arial" w:hAnsi="Arial"/>
                <w:sz w:val="18"/>
                <w:szCs w:val="18"/>
                <w:color w:val="auto"/>
              </w:rPr>
              <w:t>64</w:t>
            </w: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48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-325755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76708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70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accumulated postretirement benefit obligation on December 31, 2002 and 2001, were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i w:val="1"/>
                <w:iCs w:val="1"/>
                <w:color w:val="auto"/>
                <w:w w:val="88"/>
              </w:rPr>
              <w:t>(Stated in millions)</w:t>
            </w:r>
          </w:p>
        </w:tc>
      </w:tr>
      <w:tr>
        <w:trPr>
          <w:trHeight w:val="174"/>
        </w:trPr>
        <w:tc>
          <w:tcPr>
            <w:tcW w:w="64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r>
      <w:tr>
        <w:trPr>
          <w:trHeight w:val="95"/>
        </w:trPr>
        <w:tc>
          <w:tcPr>
            <w:tcW w:w="64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Retirees</w:t>
            </w: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277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Fully eligible</w:t>
            </w:r>
          </w:p>
        </w:tc>
        <w:tc>
          <w:tcPr>
            <w:tcW w:w="6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110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Actives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r>
      <w:tr>
        <w:trPr>
          <w:trHeight w:val="108"/>
        </w:trPr>
        <w:tc>
          <w:tcPr>
            <w:tcW w:w="64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6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676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r>
      <w:tr>
        <w:trPr>
          <w:trHeight w:val="132"/>
        </w:trPr>
        <w:tc>
          <w:tcPr>
            <w:tcW w:w="64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assumed discount rate used to determine the accumulated postretirement benefit obligation was 6.75% for 2002 and 7.25% for 2001.</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the assumed medical cost trend rate was increased by one percentage point, health care cost in 2002 would have been $76 million, and the accumulated postretirement benefit obligation would have been $806 million on December 31, 2002.</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 assumed medical cost trend rate was decreased by one percentage point, health care cost in 2002 would have been $52 million, and the accumulated postretirement benefit obligation would have been $574 million on December 31,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Supplementary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 and related cost of goods sold and services for continuing operations comprised the following:</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ind w:left="740"/>
              <w:spacing w:after="0"/>
              <w:rPr>
                <w:sz w:val="20"/>
                <w:szCs w:val="20"/>
                <w:color w:val="auto"/>
              </w:rPr>
            </w:pPr>
            <w:r>
              <w:rPr>
                <w:rFonts w:ascii="Arial" w:cs="Arial" w:eastAsia="Arial" w:hAnsi="Arial"/>
                <w:sz w:val="14"/>
                <w:szCs w:val="14"/>
                <w:i w:val="1"/>
                <w:iCs w:val="1"/>
                <w:color w:val="auto"/>
                <w:w w:val="88"/>
              </w:rPr>
              <w:t>(Stated in millions)</w:t>
            </w:r>
          </w:p>
        </w:tc>
      </w:tr>
      <w:tr>
        <w:trPr>
          <w:trHeight w:val="174"/>
        </w:trPr>
        <w:tc>
          <w:tcPr>
            <w:tcW w:w="19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r>
      <w:tr>
        <w:trPr>
          <w:trHeight w:val="95"/>
        </w:trPr>
        <w:tc>
          <w:tcPr>
            <w:tcW w:w="19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9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tcPr>
          <w:p>
            <w:pPr>
              <w:ind w:left="200"/>
              <w:spacing w:after="0"/>
              <w:rPr>
                <w:sz w:val="20"/>
                <w:szCs w:val="20"/>
                <w:color w:val="auto"/>
              </w:rPr>
            </w:pPr>
            <w:r>
              <w:rPr>
                <w:rFonts w:ascii="Arial" w:cs="Arial" w:eastAsia="Arial" w:hAnsi="Arial"/>
                <w:sz w:val="18"/>
                <w:szCs w:val="18"/>
                <w:color w:val="auto"/>
              </w:rPr>
              <w:t>Products</w:t>
            </w:r>
          </w:p>
        </w:tc>
        <w:tc>
          <w:tcPr>
            <w:tcW w:w="3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3,898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4,651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18"/>
                <w:szCs w:val="18"/>
                <w:color w:val="auto"/>
              </w:rPr>
            </w:pPr>
          </w:p>
        </w:tc>
      </w:tr>
      <w:tr>
        <w:trPr>
          <w:trHeight w:val="216"/>
        </w:trPr>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20" w:type="dxa"/>
            <w:vAlign w:val="bottom"/>
          </w:tcPr>
          <w:p>
            <w:pPr>
              <w:spacing w:after="0"/>
              <w:rPr>
                <w:sz w:val="18"/>
                <w:szCs w:val="18"/>
                <w:color w:val="auto"/>
              </w:rPr>
            </w:pPr>
          </w:p>
        </w:tc>
      </w:tr>
      <w:tr>
        <w:trPr>
          <w:trHeight w:val="108"/>
        </w:trPr>
        <w:tc>
          <w:tcPr>
            <w:tcW w:w="19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9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20" w:type="dxa"/>
            <w:vAlign w:val="bottom"/>
          </w:tcPr>
          <w:p>
            <w:pPr>
              <w:spacing w:after="0"/>
              <w:rPr>
                <w:sz w:val="18"/>
                <w:szCs w:val="18"/>
                <w:color w:val="auto"/>
              </w:rPr>
            </w:pPr>
          </w:p>
        </w:tc>
      </w:tr>
      <w:tr>
        <w:trPr>
          <w:trHeight w:val="132"/>
        </w:trPr>
        <w:tc>
          <w:tcPr>
            <w:tcW w:w="19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05"/>
        </w:trPr>
        <w:tc>
          <w:tcPr>
            <w:tcW w:w="19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Direct operating costs</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tcPr>
          <w:p>
            <w:pPr>
              <w:ind w:left="200"/>
              <w:spacing w:after="0"/>
              <w:rPr>
                <w:sz w:val="20"/>
                <w:szCs w:val="20"/>
                <w:color w:val="auto"/>
              </w:rPr>
            </w:pPr>
            <w:r>
              <w:rPr>
                <w:rFonts w:ascii="Arial" w:cs="Arial" w:eastAsia="Arial" w:hAnsi="Arial"/>
                <w:sz w:val="18"/>
                <w:szCs w:val="18"/>
                <w:color w:val="auto"/>
              </w:rPr>
              <w:t>Goods sold</w:t>
            </w:r>
          </w:p>
        </w:tc>
        <w:tc>
          <w:tcPr>
            <w:tcW w:w="3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1,950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Pr>
          <w:p>
            <w:pPr>
              <w:spacing w:after="0"/>
              <w:rPr>
                <w:sz w:val="18"/>
                <w:szCs w:val="18"/>
                <w:color w:val="auto"/>
              </w:rPr>
            </w:pPr>
          </w:p>
        </w:tc>
      </w:tr>
      <w:tr>
        <w:trPr>
          <w:trHeight w:val="216"/>
        </w:trPr>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20" w:type="dxa"/>
            <w:vAlign w:val="bottom"/>
          </w:tcPr>
          <w:p>
            <w:pPr>
              <w:spacing w:after="0"/>
              <w:rPr>
                <w:sz w:val="18"/>
                <w:szCs w:val="18"/>
                <w:color w:val="auto"/>
              </w:rPr>
            </w:pPr>
          </w:p>
        </w:tc>
      </w:tr>
      <w:tr>
        <w:trPr>
          <w:trHeight w:val="108"/>
        </w:trPr>
        <w:tc>
          <w:tcPr>
            <w:tcW w:w="19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9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10,424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20" w:type="dxa"/>
            <w:vAlign w:val="bottom"/>
          </w:tcPr>
          <w:p>
            <w:pPr>
              <w:spacing w:after="0"/>
              <w:rPr>
                <w:sz w:val="18"/>
                <w:szCs w:val="18"/>
                <w:color w:val="auto"/>
              </w:rPr>
            </w:pPr>
          </w:p>
        </w:tc>
      </w:tr>
      <w:tr>
        <w:trPr>
          <w:trHeight w:val="132"/>
        </w:trPr>
        <w:tc>
          <w:tcPr>
            <w:tcW w:w="19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-887095</wp:posOffset>
            </wp:positionV>
            <wp:extent cx="191643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91643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91643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91643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and income taxes for continuing operations was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174"/>
        </w:trPr>
        <w:tc>
          <w:tcPr>
            <w:tcW w:w="19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22"/>
              <w:spacing w:after="0"/>
              <w:rPr>
                <w:sz w:val="20"/>
                <w:szCs w:val="20"/>
                <w:color w:val="auto"/>
              </w:rPr>
            </w:pPr>
            <w:r>
              <w:rPr>
                <w:rFonts w:ascii="Arial" w:cs="Arial" w:eastAsia="Arial" w:hAnsi="Arial"/>
                <w:sz w:val="14"/>
                <w:szCs w:val="14"/>
                <w:b w:val="1"/>
                <w:bCs w:val="1"/>
                <w:color w:val="auto"/>
                <w:w w:val="96"/>
              </w:rPr>
              <w:t>2001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2000</w:t>
            </w:r>
          </w:p>
        </w:tc>
      </w:tr>
      <w:tr>
        <w:trPr>
          <w:trHeight w:val="95"/>
        </w:trPr>
        <w:tc>
          <w:tcPr>
            <w:tcW w:w="19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102"/>
        </w:trPr>
        <w:tc>
          <w:tcPr>
            <w:tcW w:w="196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8"/>
        </w:trPr>
        <w:tc>
          <w:tcPr>
            <w:tcW w:w="1960" w:type="dxa"/>
            <w:vAlign w:val="bottom"/>
          </w:tcPr>
          <w:p>
            <w:pPr>
              <w:spacing w:after="0"/>
              <w:rPr>
                <w:sz w:val="20"/>
                <w:szCs w:val="20"/>
                <w:color w:val="auto"/>
              </w:rPr>
            </w:pPr>
            <w:r>
              <w:rPr>
                <w:rFonts w:ascii="Arial" w:cs="Arial" w:eastAsia="Arial" w:hAnsi="Arial"/>
                <w:sz w:val="18"/>
                <w:szCs w:val="18"/>
                <w:color w:val="auto"/>
              </w:rPr>
              <w:t>Income taxes</w:t>
            </w:r>
          </w:p>
        </w:tc>
        <w:tc>
          <w:tcPr>
            <w:tcW w:w="4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499"/>
        </w:trPr>
        <w:tc>
          <w:tcPr>
            <w:tcW w:w="1960" w:type="dxa"/>
            <w:vAlign w:val="bottom"/>
          </w:tcPr>
          <w:p>
            <w:pPr>
              <w:spacing w:after="0"/>
              <w:rPr>
                <w:sz w:val="24"/>
                <w:szCs w:val="24"/>
                <w:color w:val="auto"/>
              </w:rPr>
            </w:pPr>
          </w:p>
        </w:tc>
        <w:tc>
          <w:tcPr>
            <w:tcW w:w="4080" w:type="dxa"/>
            <w:vAlign w:val="bottom"/>
          </w:tcPr>
          <w:p>
            <w:pPr>
              <w:jc w:val="right"/>
              <w:ind w:right="1592"/>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820"/>
          </w:cols>
          <w:pgMar w:left="240" w:top="459" w:right="8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10"/>
          </w:tcPr>
          <w:p>
            <w:pPr>
              <w:jc w:val="right"/>
              <w:ind w:right="18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74"/>
        </w:trPr>
        <w:tc>
          <w:tcPr>
            <w:tcW w:w="4700" w:type="dxa"/>
            <w:vAlign w:val="bottom"/>
            <w:gridSpan w:val="4"/>
          </w:tcPr>
          <w:p>
            <w:pPr>
              <w:spacing w:after="0"/>
              <w:rPr>
                <w:sz w:val="20"/>
                <w:szCs w:val="20"/>
                <w:color w:val="auto"/>
              </w:rPr>
            </w:pPr>
            <w:r>
              <w:rPr>
                <w:rFonts w:ascii="Arial" w:cs="Arial" w:eastAsia="Arial" w:hAnsi="Arial"/>
                <w:sz w:val="14"/>
                <w:szCs w:val="14"/>
                <w:b w:val="1"/>
                <w:bCs w:val="1"/>
                <w:color w:val="auto"/>
              </w:rPr>
              <w:t>As at December 31,</w:t>
            </w:r>
          </w:p>
        </w:tc>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52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Payroll, vacation and employee benefits</w:t>
            </w:r>
          </w:p>
        </w:tc>
        <w:tc>
          <w:tcPr>
            <w:tcW w:w="4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957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  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ind w:left="20"/>
              <w:spacing w:after="0"/>
              <w:rPr>
                <w:sz w:val="20"/>
                <w:szCs w:val="20"/>
                <w:color w:val="auto"/>
              </w:rPr>
            </w:pPr>
            <w:r>
              <w:rPr>
                <w:rFonts w:ascii="Arial" w:cs="Arial" w:eastAsia="Arial" w:hAnsi="Arial"/>
                <w:sz w:val="18"/>
                <w:szCs w:val="18"/>
                <w:color w:val="auto"/>
                <w:w w:val="84"/>
              </w:rPr>
              <w:t>Trade</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b w:val="1"/>
                <w:bCs w:val="1"/>
                <w:color w:val="auto"/>
              </w:rPr>
              <w:t>999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Taxes, other than income</w:t>
            </w:r>
          </w:p>
        </w:tc>
        <w:tc>
          <w:tcPr>
            <w:tcW w:w="4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ind w:left="20"/>
              <w:spacing w:after="0"/>
              <w:rPr>
                <w:sz w:val="20"/>
                <w:szCs w:val="20"/>
                <w:color w:val="auto"/>
              </w:rPr>
            </w:pPr>
            <w:r>
              <w:rPr>
                <w:rFonts w:ascii="Arial" w:cs="Arial" w:eastAsia="Arial" w:hAnsi="Arial"/>
                <w:sz w:val="18"/>
                <w:szCs w:val="18"/>
                <w:color w:val="auto"/>
              </w:rPr>
              <w:t>Accrued expenses</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b w:val="1"/>
                <w:bCs w:val="1"/>
                <w:color w:val="auto"/>
              </w:rPr>
              <w:t>1,266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Other</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1,114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$4,581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$4,507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0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tc>
        <w:tc>
          <w:tcPr>
            <w:tcW w:w="4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700" w:type="dxa"/>
            <w:vAlign w:val="bottom"/>
            <w:gridSpan w:val="4"/>
            <w:vMerge w:val="continue"/>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12"/>
          </w:tcPr>
          <w:p>
            <w:pPr>
              <w:jc w:val="center"/>
              <w:ind w:right="38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74"/>
        </w:trPr>
        <w:tc>
          <w:tcPr>
            <w:tcW w:w="47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53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700" w:type="dxa"/>
            <w:vAlign w:val="bottom"/>
            <w:gridSpan w:val="7"/>
          </w:tcPr>
          <w:p>
            <w:pPr>
              <w:jc w:val="center"/>
              <w:ind w:left="256"/>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60" w:type="dxa"/>
            <w:vAlign w:val="bottom"/>
            <w:tcBorders>
              <w:bottom w:val="single" w:sz="8" w:color="auto"/>
            </w:tcBorders>
            <w:gridSpan w:val="3"/>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7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ind w:left="20"/>
              <w:spacing w:after="0"/>
              <w:rPr>
                <w:sz w:val="20"/>
                <w:szCs w:val="20"/>
                <w:color w:val="auto"/>
              </w:rPr>
            </w:pPr>
            <w:r>
              <w:rPr>
                <w:rFonts w:ascii="Arial" w:cs="Arial" w:eastAsia="Arial" w:hAnsi="Arial"/>
                <w:sz w:val="18"/>
                <w:szCs w:val="18"/>
                <w:color w:val="auto"/>
              </w:rPr>
              <w:t>Equity in net earnings of affiliated companies</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4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8"/>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gridSpan w:val="4"/>
          </w:tcPr>
          <w:p>
            <w:pPr>
              <w:ind w:left="20"/>
              <w:spacing w:after="0"/>
              <w:rPr>
                <w:sz w:val="20"/>
                <w:szCs w:val="20"/>
                <w:color w:val="auto"/>
              </w:rPr>
            </w:pPr>
            <w:r>
              <w:rPr>
                <w:rFonts w:ascii="Arial" w:cs="Arial" w:eastAsia="Arial" w:hAnsi="Arial"/>
                <w:sz w:val="18"/>
                <w:szCs w:val="18"/>
                <w:color w:val="auto"/>
              </w:rPr>
              <w:t>Gain on sale of financial instruments</w:t>
            </w:r>
          </w:p>
        </w:tc>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139</w:t>
            </w:r>
          </w:p>
        </w:tc>
        <w:tc>
          <w:tcPr>
            <w:tcW w:w="7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0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tc>
        <w:tc>
          <w:tcPr>
            <w:tcW w:w="4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700" w:type="dxa"/>
            <w:vAlign w:val="bottom"/>
            <w:gridSpan w:val="4"/>
            <w:vMerge w:val="continue"/>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10"/>
          </w:tcPr>
          <w:p>
            <w:pPr>
              <w:jc w:val="right"/>
              <w:ind w:right="18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74"/>
        </w:trPr>
        <w:tc>
          <w:tcPr>
            <w:tcW w:w="47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00" w:type="dxa"/>
            <w:vAlign w:val="bottom"/>
            <w:gridSpan w:val="4"/>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400" w:type="dxa"/>
            <w:vAlign w:val="bottom"/>
            <w:gridSpan w:val="3"/>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4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$ 145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ind w:left="20"/>
              <w:spacing w:after="0"/>
              <w:rPr>
                <w:sz w:val="20"/>
                <w:szCs w:val="20"/>
                <w:color w:val="auto"/>
              </w:rPr>
            </w:pPr>
            <w:r>
              <w:rPr>
                <w:rFonts w:ascii="Arial" w:cs="Arial" w:eastAsia="Arial" w:hAnsi="Arial"/>
                <w:sz w:val="18"/>
                <w:szCs w:val="18"/>
                <w:color w:val="auto"/>
              </w:rPr>
              <w:t>Provision in year</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b w:val="1"/>
                <w:bCs w:val="1"/>
                <w:color w:val="auto"/>
              </w:rPr>
              <w:t>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Written off in year</w:t>
            </w:r>
          </w:p>
        </w:tc>
        <w:tc>
          <w:tcPr>
            <w:tcW w:w="4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4700" w:type="dxa"/>
            <w:vAlign w:val="bottom"/>
            <w:gridSpan w:val="4"/>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700" w:type="dxa"/>
            <w:vAlign w:val="bottom"/>
            <w:gridSpan w:val="4"/>
          </w:tcPr>
          <w:p>
            <w:pPr>
              <w:spacing w:after="0"/>
              <w:rPr>
                <w:sz w:val="2"/>
                <w:szCs w:val="2"/>
                <w:color w:val="auto"/>
              </w:rPr>
            </w:pPr>
          </w:p>
        </w:tc>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4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$ 173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0" w:type="dxa"/>
            <w:vAlign w:val="bottom"/>
            <w:vMerge w:val="restart"/>
          </w:tcPr>
          <w:p>
            <w:pPr>
              <w:spacing w:after="0"/>
              <w:rPr>
                <w:sz w:val="20"/>
                <w:szCs w:val="20"/>
                <w:color w:val="auto"/>
              </w:rPr>
            </w:pPr>
            <w:r>
              <w:rPr>
                <w:rFonts w:ascii="Arial" w:cs="Arial" w:eastAsia="Arial" w:hAnsi="Arial"/>
                <w:sz w:val="11"/>
                <w:szCs w:val="11"/>
                <w:color w:val="auto"/>
              </w:rPr>
              <w:t>1</w:t>
            </w:r>
          </w:p>
        </w:tc>
        <w:tc>
          <w:tcPr>
            <w:tcW w:w="4260" w:type="dxa"/>
            <w:vAlign w:val="bottom"/>
            <w:gridSpan w:val="3"/>
            <w:vMerge w:val="restart"/>
          </w:tcPr>
          <w:p>
            <w:pPr>
              <w:ind w:left="20"/>
              <w:spacing w:after="0"/>
              <w:rPr>
                <w:sz w:val="20"/>
                <w:szCs w:val="20"/>
                <w:color w:val="auto"/>
              </w:rPr>
            </w:pPr>
            <w:r>
              <w:rPr>
                <w:rFonts w:ascii="Arial" w:cs="Arial" w:eastAsia="Arial" w:hAnsi="Arial"/>
                <w:sz w:val="18"/>
                <w:szCs w:val="18"/>
                <w:color w:val="auto"/>
              </w:rPr>
              <w:t>Includes business acquisitions and divestitures.</w:t>
            </w:r>
          </w:p>
        </w:tc>
        <w:tc>
          <w:tcPr>
            <w:tcW w:w="4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440" w:type="dxa"/>
            <w:vAlign w:val="bottom"/>
            <w:vMerge w:val="continue"/>
          </w:tcPr>
          <w:p>
            <w:pPr>
              <w:spacing w:after="0"/>
              <w:rPr>
                <w:sz w:val="20"/>
                <w:szCs w:val="20"/>
                <w:color w:val="auto"/>
              </w:rPr>
            </w:pPr>
          </w:p>
        </w:tc>
        <w:tc>
          <w:tcPr>
            <w:tcW w:w="4260" w:type="dxa"/>
            <w:vAlign w:val="bottom"/>
            <w:gridSpan w:val="3"/>
            <w:vMerge w:val="continue"/>
          </w:tcPr>
          <w:p>
            <w:pPr>
              <w:spacing w:after="0"/>
              <w:rPr>
                <w:sz w:val="20"/>
                <w:szCs w:val="20"/>
                <w:color w:val="auto"/>
              </w:rPr>
            </w:pPr>
          </w:p>
        </w:tc>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4260" w:type="dxa"/>
            <w:vAlign w:val="bottom"/>
            <w:gridSpan w:val="3"/>
            <w:vMerge w:val="continue"/>
          </w:tcPr>
          <w:p>
            <w:pPr>
              <w:spacing w:after="0"/>
              <w:rPr>
                <w:sz w:val="7"/>
                <w:szCs w:val="7"/>
                <w:color w:val="auto"/>
              </w:rPr>
            </w:pPr>
          </w:p>
        </w:tc>
        <w:tc>
          <w:tcPr>
            <w:tcW w:w="4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940" w:type="dxa"/>
            <w:vAlign w:val="bottom"/>
          </w:tcPr>
          <w:p>
            <w:pPr>
              <w:jc w:val="right"/>
              <w:ind w:right="3757"/>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-3773805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-3773805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-3773805</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-3773805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-3773805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-3773805</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-2118360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-2118360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-2118360</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-2118360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-2118360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-2118360</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-2118360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-2118360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-2118360</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-463550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-463550</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-463550</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-463550</wp:posOffset>
            </wp:positionV>
            <wp:extent cx="30416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2002 and 2001, and the results of their operations and their cash flows for each of the three years in the period ended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As discussed in the note </w:t>
      </w:r>
      <w:r>
        <w:rPr>
          <w:rFonts w:ascii="Arial" w:cs="Arial" w:eastAsia="Arial" w:hAnsi="Arial"/>
          <w:sz w:val="15"/>
          <w:szCs w:val="15"/>
          <w:i w:val="1"/>
          <w:iCs w:val="1"/>
          <w:color w:val="auto"/>
        </w:rPr>
        <w:t>New Accounting Standards</w:t>
      </w:r>
      <w:r>
        <w:rPr>
          <w:rFonts w:ascii="Arial" w:cs="Arial" w:eastAsia="Arial" w:hAnsi="Arial"/>
          <w:sz w:val="15"/>
          <w:szCs w:val="15"/>
          <w:color w:val="auto"/>
        </w:rPr>
        <w:t xml:space="preserve"> to the Consolidated Financial Statements, in 2002 the Company changed its accounting method for goodwill.</w:t>
      </w:r>
    </w:p>
    <w:p>
      <w:pPr>
        <w:spacing w:after="0" w:line="200" w:lineRule="exact"/>
        <w:rPr>
          <w:sz w:val="20"/>
          <w:szCs w:val="20"/>
          <w:color w:val="auto"/>
        </w:rPr>
      </w:pPr>
    </w:p>
    <w:p>
      <w:pPr>
        <w:spacing w:after="0" w:line="208" w:lineRule="exact"/>
        <w:rPr>
          <w:sz w:val="20"/>
          <w:szCs w:val="20"/>
          <w:color w:val="auto"/>
        </w:rPr>
      </w:pPr>
    </w:p>
    <w:p>
      <w:pPr>
        <w:ind w:left="1720"/>
        <w:spacing w:after="0"/>
        <w:tabs>
          <w:tab w:leader="none" w:pos="2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80010</wp:posOffset>
            </wp:positionV>
            <wp:extent cx="180975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January 22, 2003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Results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following table summarizes Schlumberger’s results for each of the four quarters for the years ended December 31, 2002 and 2001. Revenue and Gross margin, which equals operating revenue less cost of goods sold and services, has been restated to exclude discontinued operations.</w:t>
      </w:r>
    </w:p>
    <w:tbl>
      <w:tblPr>
        <w:tblLayout w:type="fixed"/>
        <w:tblInd w:w="0" w:type="dxa"/>
        <w:tblCellMar>
          <w:top w:w="0" w:type="dxa"/>
          <w:left w:w="0" w:type="dxa"/>
          <w:bottom w:w="0" w:type="dxa"/>
          <w:right w:w="0" w:type="dxa"/>
        </w:tblCellMar>
      </w:tblPr>
      <w:tr>
        <w:trPr>
          <w:trHeight w:val="172"/>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10"/>
          </w:tcPr>
          <w:p>
            <w:pPr>
              <w:jc w:val="right"/>
              <w:ind w:right="60"/>
              <w:spacing w:after="0"/>
              <w:rPr>
                <w:sz w:val="20"/>
                <w:szCs w:val="20"/>
                <w:color w:val="auto"/>
              </w:rPr>
            </w:pPr>
            <w:r>
              <w:rPr>
                <w:rFonts w:ascii="Arial" w:cs="Arial" w:eastAsia="Arial" w:hAnsi="Arial"/>
                <w:sz w:val="14"/>
                <w:szCs w:val="14"/>
                <w:i w:val="1"/>
                <w:iCs w:val="1"/>
                <w:color w:val="auto"/>
                <w:w w:val="90"/>
              </w:rPr>
              <w:t>(Stated in millions except per share amounts)</w:t>
            </w:r>
          </w:p>
        </w:tc>
        <w:tc>
          <w:tcPr>
            <w:tcW w:w="0" w:type="dxa"/>
            <w:vAlign w:val="bottom"/>
          </w:tcPr>
          <w:p>
            <w:pPr>
              <w:spacing w:after="0"/>
              <w:rPr>
                <w:sz w:val="1"/>
                <w:szCs w:val="1"/>
                <w:color w:val="auto"/>
              </w:rPr>
            </w:pPr>
          </w:p>
        </w:tc>
      </w:tr>
      <w:tr>
        <w:trPr>
          <w:trHeight w:val="357"/>
        </w:trPr>
        <w:tc>
          <w:tcPr>
            <w:tcW w:w="7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ind w:left="60"/>
              <w:spacing w:after="0"/>
              <w:rPr>
                <w:sz w:val="20"/>
                <w:szCs w:val="20"/>
                <w:color w:val="auto"/>
              </w:rPr>
            </w:pPr>
            <w:r>
              <w:rPr>
                <w:rFonts w:ascii="Arial" w:cs="Arial" w:eastAsia="Arial" w:hAnsi="Arial"/>
                <w:sz w:val="14"/>
                <w:szCs w:val="14"/>
                <w:b w:val="1"/>
                <w:bCs w:val="1"/>
                <w:color w:val="auto"/>
                <w:w w:val="95"/>
              </w:rPr>
              <w:t xml:space="preserve">Earnings per share </w:t>
            </w:r>
            <w:r>
              <w:rPr>
                <w:rFonts w:ascii="Arial" w:cs="Arial" w:eastAsia="Arial" w:hAnsi="Arial"/>
                <w:sz w:val="22"/>
                <w:szCs w:val="22"/>
                <w:b w:val="1"/>
                <w:bCs w:val="1"/>
                <w:color w:val="auto"/>
                <w:w w:val="95"/>
                <w:vertAlign w:val="superscript"/>
              </w:rPr>
              <w:t>7</w:t>
            </w:r>
          </w:p>
        </w:tc>
        <w:tc>
          <w:tcPr>
            <w:tcW w:w="0" w:type="dxa"/>
            <w:vAlign w:val="bottom"/>
          </w:tcPr>
          <w:p>
            <w:pPr>
              <w:spacing w:after="0"/>
              <w:rPr>
                <w:sz w:val="1"/>
                <w:szCs w:val="1"/>
                <w:color w:val="auto"/>
              </w:rPr>
            </w:pPr>
          </w:p>
        </w:tc>
      </w:tr>
      <w:tr>
        <w:trPr>
          <w:trHeight w:val="40"/>
        </w:trPr>
        <w:tc>
          <w:tcPr>
            <w:tcW w:w="7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78"/>
              </w:rPr>
              <w:t>Gross</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Net</w:t>
            </w:r>
          </w:p>
        </w:tc>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7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180" w:type="dxa"/>
            <w:vAlign w:val="bottom"/>
          </w:tcPr>
          <w:p>
            <w:pPr>
              <w:spacing w:after="0"/>
              <w:rPr>
                <w:sz w:val="15"/>
                <w:szCs w:val="15"/>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Margin</w:t>
            </w:r>
          </w:p>
        </w:tc>
        <w:tc>
          <w:tcPr>
            <w:tcW w:w="240" w:type="dxa"/>
            <w:vAlign w:val="bottom"/>
          </w:tcPr>
          <w:p>
            <w:pPr>
              <w:spacing w:after="0"/>
              <w:rPr>
                <w:sz w:val="15"/>
                <w:szCs w:val="15"/>
                <w:color w:val="auto"/>
              </w:rPr>
            </w:pPr>
          </w:p>
        </w:tc>
        <w:tc>
          <w:tcPr>
            <w:tcW w:w="9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Basic</w:t>
            </w:r>
          </w:p>
        </w:tc>
        <w:tc>
          <w:tcPr>
            <w:tcW w:w="5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Diluted</w:t>
            </w: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Quarters-2002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line="217" w:lineRule="exact"/>
              <w:rPr>
                <w:sz w:val="20"/>
                <w:szCs w:val="20"/>
                <w:color w:val="auto"/>
              </w:rPr>
            </w:pPr>
            <w:r>
              <w:rPr>
                <w:rFonts w:ascii="Arial" w:cs="Arial" w:eastAsia="Arial" w:hAnsi="Arial"/>
                <w:sz w:val="18"/>
                <w:szCs w:val="18"/>
                <w:color w:val="auto"/>
              </w:rPr>
              <w:t xml:space="preserve">First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3,257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7"/>
              </w:rPr>
              <w:t>$ 0.30</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$ 0.30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Third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(2,433)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(2,861)</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(4.92)</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13,474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(2,320)</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$(4.01)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$(4.01)</w:t>
            </w: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Quarters-2001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line="217" w:lineRule="exact"/>
              <w:rPr>
                <w:sz w:val="20"/>
                <w:szCs w:val="20"/>
                <w:color w:val="auto"/>
              </w:rPr>
            </w:pPr>
            <w:r>
              <w:rPr>
                <w:rFonts w:ascii="Arial" w:cs="Arial" w:eastAsia="Arial" w:hAnsi="Arial"/>
                <w:sz w:val="18"/>
                <w:szCs w:val="18"/>
                <w:color w:val="auto"/>
              </w:rPr>
              <w:t xml:space="preserve">First </w:t>
            </w:r>
            <w:r>
              <w:rPr>
                <w:rFonts w:ascii="Arial" w:cs="Arial" w:eastAsia="Arial" w:hAnsi="Arial"/>
                <w:sz w:val="22"/>
                <w:szCs w:val="22"/>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2,951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$ 0.41</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1"/>
              </w:rPr>
              <w:t>$ 0.41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Second </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(0.16)</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line="217" w:lineRule="exact"/>
              <w:rPr>
                <w:sz w:val="20"/>
                <w:szCs w:val="20"/>
                <w:color w:val="auto"/>
              </w:rPr>
            </w:pPr>
            <w:r>
              <w:rPr>
                <w:rFonts w:ascii="Arial" w:cs="Arial" w:eastAsia="Arial" w:hAnsi="Arial"/>
                <w:sz w:val="18"/>
                <w:szCs w:val="18"/>
                <w:color w:val="auto"/>
              </w:rPr>
              <w:t xml:space="preserve">Third </w:t>
            </w:r>
            <w:r>
              <w:rPr>
                <w:rFonts w:ascii="Arial" w:cs="Arial" w:eastAsia="Arial" w:hAnsi="Arial"/>
                <w:sz w:val="22"/>
                <w:szCs w:val="22"/>
                <w:color w:val="auto"/>
                <w:vertAlign w:val="superscript"/>
              </w:rPr>
              <w:t>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0.34</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3,043</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$ 0.91</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-1161415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-1161415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-1161415</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-1161415</wp:posOffset>
            </wp:positionV>
            <wp:extent cx="3816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-1161415</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-1161415</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-1161415</wp:posOffset>
            </wp:positionV>
            <wp:extent cx="3873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-1161415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-1161415</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-1161415</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-1161415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-1161415</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-1161415</wp:posOffset>
            </wp:positionV>
            <wp:extent cx="3873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679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79700" cy="29845"/>
                    </a:xfrm>
                    <a:prstGeom prst="rect">
                      <a:avLst/>
                    </a:prstGeom>
                    <a:noFill/>
                  </pic:spPr>
                </pic:pic>
              </a:graphicData>
            </a:graphic>
          </wp:anchor>
        </w:drawing>
      </w:r>
    </w:p>
    <w:p>
      <w:pPr>
        <w:spacing w:after="0" w:line="33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Includes an after-tax charge of $29 million ($0.05 per share – diluted).</w:t>
      </w:r>
    </w:p>
    <w:p>
      <w:pPr>
        <w:ind w:left="460" w:hanging="452"/>
        <w:spacing w:after="0" w:line="205"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$3,081 million ($5.30 per share).</w:t>
      </w:r>
    </w:p>
    <w:p>
      <w:pPr>
        <w:ind w:left="460" w:hanging="452"/>
        <w:spacing w:after="0" w:line="20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Includes a $25 million (pretax and after tax) in-process R&amp;D charge ($0.04 per share – diluted).</w:t>
      </w:r>
    </w:p>
    <w:p>
      <w:pPr>
        <w:ind w:left="460" w:hanging="452"/>
        <w:spacing w:after="0" w:line="20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$280 million ($0.48 per share – diluted).</w:t>
      </w:r>
    </w:p>
    <w:p>
      <w:pPr>
        <w:ind w:left="460" w:hanging="452"/>
        <w:spacing w:after="0" w:line="205"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credit of $3 million ($0.00 per share – diluted).</w:t>
      </w:r>
    </w:p>
    <w:p>
      <w:pPr>
        <w:ind w:left="460" w:hanging="452"/>
        <w:spacing w:after="0" w:line="205"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credit of $5 million ($0.01 per share – diluted).</w:t>
      </w:r>
    </w:p>
    <w:p>
      <w:pPr>
        <w:ind w:right="4200" w:firstLine="8"/>
        <w:spacing w:after="0" w:line="227" w:lineRule="auto"/>
        <w:tabs>
          <w:tab w:leader="none" w:pos="446"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The addition of earnings per share by quarter may not equal total earnings per share for the year. * Mark of Schlumberger</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auto"/>
        </w:rPr>
        <w:t>and Financial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5"/>
          <w:szCs w:val="15"/>
          <w:b w:val="1"/>
          <w:bCs w:val="1"/>
          <w:u w:val="single" w:color="auto"/>
          <w:color w:val="auto"/>
        </w:rPr>
        <w:t>Directors and Executive Officers of Schlumberger</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See Part I (on pages 7-8 of this Report) for Item 10 information regarding Executive Officers of Schlumberger. The information with respect to the remaining portion of Item 10 is set forth in the first section under the caption, “Election of Directors”, in Schlumberger’s Proxy Statement to be filed for the April 11, 2003 Annual General Meeting, and is incorporated by reference.</w:t>
      </w:r>
    </w:p>
    <w:p>
      <w:pPr>
        <w:spacing w:after="0" w:line="1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8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information set forth under “Executive Compensation” (other than that set forth under the subcaptions “Corporate Performance Graph” and “Compensation Committee Report on Executive Compensation”) in Schlumberger’s Proxy Statement to be filed for the April 11, 2003 Annual General Meeting, is incorporated by reference.</w:t>
      </w:r>
    </w:p>
    <w:p>
      <w:pPr>
        <w:spacing w:after="0" w:line="1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5"/>
          <w:szCs w:val="15"/>
          <w:b w:val="1"/>
          <w:bCs w:val="1"/>
          <w:u w:val="single" w:color="auto"/>
          <w:color w:val="auto"/>
        </w:rPr>
        <w:t>Security Ownership of Certain Beneficial Owners and Management and Related Stockholder Matters</w:t>
      </w:r>
    </w:p>
    <w:p>
      <w:pPr>
        <w:spacing w:after="0" w:line="8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information with respect to Item 12 is set forth in Schlumberger’s Proxy Statement to be filed for the April 11, 2003 Annual General Meeting under the caption, “Security Ownership of Certain Beneficial Owners and Management,” and such information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table below sets forth the following information as of the end of the Schlumberger’s 2002 fiscal year for (i) all compensation plans previously approved by our shareholders and (ii) all compensation plans not previously approved by our shareholders: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1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11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12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future issuance under</w:t>
            </w:r>
          </w:p>
        </w:tc>
      </w:tr>
      <w:tr>
        <w:trPr>
          <w:trHeight w:val="149"/>
        </w:trPr>
        <w:tc>
          <w:tcPr>
            <w:tcW w:w="11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equity compensation</w:t>
            </w:r>
          </w:p>
        </w:tc>
      </w:tr>
      <w:tr>
        <w:trPr>
          <w:trHeight w:val="149"/>
        </w:trPr>
        <w:tc>
          <w:tcPr>
            <w:tcW w:w="11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such outstanding</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r>
      <w:tr>
        <w:trPr>
          <w:trHeight w:val="149"/>
        </w:trPr>
        <w:tc>
          <w:tcPr>
            <w:tcW w:w="11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 warrants and</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r>
      <w:tr>
        <w:trPr>
          <w:trHeight w:val="174"/>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warrants and rights</w:t>
            </w:r>
          </w:p>
        </w:tc>
        <w:tc>
          <w:tcPr>
            <w:tcW w:w="120" w:type="dxa"/>
            <w:vAlign w:val="bottom"/>
          </w:tcPr>
          <w:p>
            <w:pPr>
              <w:spacing w:after="0"/>
              <w:rPr>
                <w:sz w:val="15"/>
                <w:szCs w:val="15"/>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rights</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column (a))</w:t>
            </w:r>
          </w:p>
        </w:tc>
      </w:tr>
      <w:tr>
        <w:trPr>
          <w:trHeight w:val="95"/>
        </w:trPr>
        <w:tc>
          <w:tcPr>
            <w:tcW w:w="11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11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36,869,684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57.036</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6,399,366</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20"/>
              <w:spacing w:after="0" w:line="217" w:lineRule="exact"/>
              <w:rPr>
                <w:sz w:val="20"/>
                <w:szCs w:val="20"/>
                <w:color w:val="auto"/>
              </w:rPr>
            </w:pPr>
            <w:r>
              <w:rPr>
                <w:rFonts w:ascii="Arial" w:cs="Arial" w:eastAsia="Arial" w:hAnsi="Arial"/>
                <w:sz w:val="18"/>
                <w:szCs w:val="18"/>
                <w:color w:val="auto"/>
              </w:rPr>
              <w:t xml:space="preserve">16,700 </w:t>
            </w:r>
            <w:r>
              <w:rPr>
                <w:rFonts w:ascii="Arial" w:cs="Arial" w:eastAsia="Arial" w:hAnsi="Arial"/>
                <w:sz w:val="22"/>
                <w:szCs w:val="22"/>
                <w:color w:val="auto"/>
                <w:vertAlign w:val="superscript"/>
              </w:rPr>
              <w:t>1</w:t>
            </w:r>
          </w:p>
        </w:tc>
      </w:tr>
      <w:tr>
        <w:trPr>
          <w:trHeight w:val="216"/>
        </w:trPr>
        <w:tc>
          <w:tcPr>
            <w:tcW w:w="6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36,869,684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6,416,066</w:t>
            </w:r>
          </w:p>
        </w:tc>
        <w:tc>
          <w:tcPr>
            <w:tcW w:w="12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stock awards available for grant under the Stock and Deferral Plan for Non-Employee Directors.</w:t>
      </w:r>
    </w:p>
    <w:p>
      <w:pPr>
        <w:spacing w:after="0" w:line="158"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Equity compensation plans approved by our shareholders include the Schlumberger 1989 Stock Incentive Plan as amended, the Schlumberger 1994 Stock Option Plan as amended, the Schlumberger 1998 Stock Option Plan as amended, and the Schlumberger 2001 Stock Option Plan. The only equity compensation plan that has not been approved by our shareholders is the Schlumberger Stock and Deferral Plan for Non-Employee Directors.</w:t>
      </w:r>
    </w:p>
    <w:p>
      <w:pPr>
        <w:spacing w:after="0" w:line="9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Schlumberger established the Stock and Deferral Plan for Non-Employee Directors on April 19, 2001. When established, there were 25,000 shares of Schlumberger common stock available for grant under the plan. Non-employee directors are automatically granted 500 shares of Schlumberger common stock as of the last day of the month following the first Board meeting after Schlumberger’s regular annual shareholders meeting. Non-employee directors are entitled to defer the receipt of the annual stock award until up to one year after their termination as a director. During the period of deferral, non-employee directors are credited with any dividends paid on shares of Schlumberger common stock in the interim, and such dividends are paid out in cash, without interest at the same time that the shares are ultimately delivered. The Plan is administered by a Committee appointed by the Board.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Transactions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regarding this item may be found on page 1, the last two sentences of footnote 2, in Schlumberger’s Proxy Statement to be filed for the April 11, 2003 Annual General Meeting and is incorporated by reference.</w:t>
      </w:r>
    </w:p>
    <w:p>
      <w:pPr>
        <w:spacing w:after="0" w:line="1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8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Within the 90-day period prior to the filing of this Annual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 – 14 of the Securities Exchange Act of 1934 (the “Exchange Act”). Based on that evaluation, the CEO and CFO have concluded that Schlumberger’s disclosure controls and procedures are effective to ensure that information required to be disclosed by Schlumberger in reports that it files or submits under the Exchange Act is recorded, processed, summarized and reported within the time periods specified in Securities and Exchange Commission rules and forms. Subsequent to the date of their evaluation, there were no significant changes in Schlumberger’s internal controls or in other factors that could significantly affect these controls.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5"/>
          <w:szCs w:val="15"/>
          <w:b w:val="1"/>
          <w:bCs w:val="1"/>
          <w:u w:val="single" w:color="auto"/>
          <w:color w:val="auto"/>
        </w:rPr>
        <w:t>Exhibits, Financial Statement Schedules and Reports on Form 8-K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480" w:type="dxa"/>
            <w:vAlign w:val="bottom"/>
            <w:vMerge w:val="restart"/>
          </w:tcPr>
          <w:p>
            <w:pPr>
              <w:jc w:val="right"/>
              <w:ind w:right="192"/>
              <w:spacing w:after="0"/>
              <w:rPr>
                <w:sz w:val="20"/>
                <w:szCs w:val="20"/>
                <w:color w:val="auto"/>
              </w:rPr>
            </w:pPr>
            <w:r>
              <w:rPr>
                <w:rFonts w:ascii="Arial" w:cs="Arial" w:eastAsia="Arial" w:hAnsi="Arial"/>
                <w:sz w:val="18"/>
                <w:szCs w:val="18"/>
                <w:color w:val="auto"/>
                <w:w w:val="81"/>
              </w:rPr>
              <w:t>(1)</w:t>
            </w:r>
          </w:p>
        </w:tc>
        <w:tc>
          <w:tcPr>
            <w:tcW w:w="8320" w:type="dxa"/>
            <w:vAlign w:val="bottom"/>
            <w:vMerge w:val="restart"/>
          </w:tcPr>
          <w:p>
            <w:pPr>
              <w:ind w:left="280"/>
              <w:spacing w:after="0"/>
              <w:rPr>
                <w:sz w:val="20"/>
                <w:szCs w:val="20"/>
                <w:color w:val="auto"/>
              </w:rPr>
            </w:pPr>
            <w:r>
              <w:rPr>
                <w:rFonts w:ascii="Arial" w:cs="Arial" w:eastAsia="Arial" w:hAnsi="Arial"/>
                <w:sz w:val="18"/>
                <w:szCs w:val="18"/>
                <w:color w:val="auto"/>
              </w:rPr>
              <w:t>Financial Statements</w:t>
            </w:r>
          </w:p>
        </w:tc>
        <w:tc>
          <w:tcPr>
            <w:tcW w:w="2140" w:type="dxa"/>
            <w:vAlign w:val="bottom"/>
          </w:tcPr>
          <w:p>
            <w:pPr>
              <w:jc w:val="center"/>
              <w:ind w:left="1352"/>
              <w:spacing w:after="0"/>
              <w:rPr>
                <w:sz w:val="20"/>
                <w:szCs w:val="20"/>
                <w:color w:val="auto"/>
              </w:rPr>
            </w:pPr>
            <w:r>
              <w:rPr>
                <w:rFonts w:ascii="Arial" w:cs="Arial" w:eastAsia="Arial" w:hAnsi="Arial"/>
                <w:sz w:val="18"/>
                <w:szCs w:val="18"/>
                <w:color w:val="auto"/>
                <w:w w:val="85"/>
              </w:rPr>
              <w:t>Page(s)</w:t>
            </w: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832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320" w:type="dxa"/>
            <w:vAlign w:val="bottom"/>
          </w:tcPr>
          <w:p>
            <w:pPr>
              <w:ind w:left="280"/>
              <w:spacing w:after="0"/>
              <w:rPr>
                <w:sz w:val="20"/>
                <w:szCs w:val="20"/>
                <w:color w:val="auto"/>
              </w:rPr>
            </w:pPr>
            <w:r>
              <w:rPr>
                <w:rFonts w:ascii="Arial" w:cs="Arial" w:eastAsia="Arial" w:hAnsi="Arial"/>
                <w:sz w:val="18"/>
                <w:szCs w:val="18"/>
                <w:color w:val="auto"/>
              </w:rPr>
              <w:t>Consolidated Statement of Income for the three years ended December 31, 2002</w:t>
            </w:r>
          </w:p>
        </w:tc>
        <w:tc>
          <w:tcPr>
            <w:tcW w:w="2140" w:type="dxa"/>
            <w:vAlign w:val="bottom"/>
          </w:tcPr>
          <w:p>
            <w:pPr>
              <w:jc w:val="center"/>
              <w:ind w:left="1352"/>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320" w:type="dxa"/>
            <w:vAlign w:val="bottom"/>
          </w:tcPr>
          <w:p>
            <w:pPr>
              <w:ind w:left="280"/>
              <w:spacing w:after="0"/>
              <w:rPr>
                <w:sz w:val="20"/>
                <w:szCs w:val="20"/>
                <w:color w:val="auto"/>
              </w:rPr>
            </w:pPr>
            <w:r>
              <w:rPr>
                <w:rFonts w:ascii="Arial" w:cs="Arial" w:eastAsia="Arial" w:hAnsi="Arial"/>
                <w:sz w:val="18"/>
                <w:szCs w:val="18"/>
                <w:color w:val="auto"/>
              </w:rPr>
              <w:t>Consolidated Balance Sheet at December 31, 2002 and 2001</w:t>
            </w:r>
          </w:p>
        </w:tc>
        <w:tc>
          <w:tcPr>
            <w:tcW w:w="2140" w:type="dxa"/>
            <w:vAlign w:val="bottom"/>
          </w:tcPr>
          <w:p>
            <w:pPr>
              <w:jc w:val="center"/>
              <w:ind w:left="1352"/>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320" w:type="dxa"/>
            <w:vAlign w:val="bottom"/>
          </w:tcPr>
          <w:p>
            <w:pPr>
              <w:ind w:left="280"/>
              <w:spacing w:after="0"/>
              <w:rPr>
                <w:sz w:val="20"/>
                <w:szCs w:val="20"/>
                <w:color w:val="auto"/>
              </w:rPr>
            </w:pPr>
            <w:r>
              <w:rPr>
                <w:rFonts w:ascii="Arial" w:cs="Arial" w:eastAsia="Arial" w:hAnsi="Arial"/>
                <w:sz w:val="18"/>
                <w:szCs w:val="18"/>
                <w:color w:val="auto"/>
              </w:rPr>
              <w:t>Consolidated Statement of Cash Flows for the three years ended December 31, 2002</w:t>
            </w:r>
          </w:p>
        </w:tc>
        <w:tc>
          <w:tcPr>
            <w:tcW w:w="2140" w:type="dxa"/>
            <w:vAlign w:val="bottom"/>
          </w:tcPr>
          <w:p>
            <w:pPr>
              <w:jc w:val="center"/>
              <w:ind w:left="1352"/>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320" w:type="dxa"/>
            <w:vAlign w:val="bottom"/>
          </w:tcPr>
          <w:p>
            <w:pPr>
              <w:ind w:left="280"/>
              <w:spacing w:after="0"/>
              <w:rPr>
                <w:sz w:val="20"/>
                <w:szCs w:val="20"/>
                <w:color w:val="auto"/>
              </w:rPr>
            </w:pPr>
            <w:r>
              <w:rPr>
                <w:rFonts w:ascii="Arial" w:cs="Arial" w:eastAsia="Arial" w:hAnsi="Arial"/>
                <w:sz w:val="18"/>
                <w:szCs w:val="18"/>
                <w:color w:val="auto"/>
              </w:rPr>
              <w:t>Consolidated Statement of Stockholders’ Equity for the three years ended December 31, 2002</w:t>
            </w:r>
          </w:p>
        </w:tc>
        <w:tc>
          <w:tcPr>
            <w:tcW w:w="2140" w:type="dxa"/>
            <w:vAlign w:val="bottom"/>
          </w:tcPr>
          <w:p>
            <w:pPr>
              <w:jc w:val="center"/>
              <w:ind w:left="1352"/>
              <w:spacing w:after="0"/>
              <w:rPr>
                <w:sz w:val="20"/>
                <w:szCs w:val="20"/>
                <w:color w:val="auto"/>
              </w:rPr>
            </w:pPr>
            <w:r>
              <w:rPr>
                <w:rFonts w:ascii="Arial" w:cs="Arial" w:eastAsia="Arial" w:hAnsi="Arial"/>
                <w:sz w:val="18"/>
                <w:szCs w:val="18"/>
                <w:color w:val="auto"/>
                <w:w w:val="87"/>
              </w:rPr>
              <w:t>36 and 37</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320" w:type="dxa"/>
            <w:vAlign w:val="bottom"/>
          </w:tcPr>
          <w:p>
            <w:pPr>
              <w:ind w:left="280"/>
              <w:spacing w:after="0"/>
              <w:rPr>
                <w:sz w:val="20"/>
                <w:szCs w:val="20"/>
                <w:color w:val="auto"/>
              </w:rPr>
            </w:pPr>
            <w:r>
              <w:rPr>
                <w:rFonts w:ascii="Arial" w:cs="Arial" w:eastAsia="Arial" w:hAnsi="Arial"/>
                <w:sz w:val="18"/>
                <w:szCs w:val="18"/>
                <w:color w:val="auto"/>
              </w:rPr>
              <w:t>Notes to Consolidated Financial Statements</w:t>
            </w:r>
          </w:p>
        </w:tc>
        <w:tc>
          <w:tcPr>
            <w:tcW w:w="2140" w:type="dxa"/>
            <w:vAlign w:val="bottom"/>
          </w:tcPr>
          <w:p>
            <w:pPr>
              <w:jc w:val="center"/>
              <w:ind w:left="1352"/>
              <w:spacing w:after="0"/>
              <w:rPr>
                <w:sz w:val="20"/>
                <w:szCs w:val="20"/>
                <w:color w:val="auto"/>
              </w:rPr>
            </w:pPr>
            <w:r>
              <w:rPr>
                <w:rFonts w:ascii="Arial" w:cs="Arial" w:eastAsia="Arial" w:hAnsi="Arial"/>
                <w:sz w:val="18"/>
                <w:szCs w:val="18"/>
                <w:color w:val="auto"/>
                <w:w w:val="89"/>
              </w:rPr>
              <w:t>38 to 66</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320" w:type="dxa"/>
            <w:vAlign w:val="bottom"/>
          </w:tcPr>
          <w:p>
            <w:pPr>
              <w:ind w:left="280"/>
              <w:spacing w:after="0"/>
              <w:rPr>
                <w:sz w:val="20"/>
                <w:szCs w:val="20"/>
                <w:color w:val="auto"/>
              </w:rPr>
            </w:pPr>
            <w:r>
              <w:rPr>
                <w:rFonts w:ascii="Arial" w:cs="Arial" w:eastAsia="Arial" w:hAnsi="Arial"/>
                <w:sz w:val="18"/>
                <w:szCs w:val="18"/>
                <w:color w:val="auto"/>
              </w:rPr>
              <w:t>Report of Independent Accountants</w:t>
            </w:r>
          </w:p>
        </w:tc>
        <w:tc>
          <w:tcPr>
            <w:tcW w:w="2140" w:type="dxa"/>
            <w:vAlign w:val="bottom"/>
          </w:tcPr>
          <w:p>
            <w:pPr>
              <w:jc w:val="center"/>
              <w:ind w:left="1352"/>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320" w:type="dxa"/>
            <w:vAlign w:val="bottom"/>
          </w:tcPr>
          <w:p>
            <w:pPr>
              <w:ind w:left="280"/>
              <w:spacing w:after="0"/>
              <w:rPr>
                <w:sz w:val="20"/>
                <w:szCs w:val="20"/>
                <w:color w:val="auto"/>
              </w:rPr>
            </w:pPr>
            <w:r>
              <w:rPr>
                <w:rFonts w:ascii="Arial" w:cs="Arial" w:eastAsia="Arial" w:hAnsi="Arial"/>
                <w:sz w:val="18"/>
                <w:szCs w:val="18"/>
                <w:color w:val="auto"/>
              </w:rPr>
              <w:t>Quarterly Results (Unaudited)</w:t>
            </w:r>
          </w:p>
        </w:tc>
        <w:tc>
          <w:tcPr>
            <w:tcW w:w="2140" w:type="dxa"/>
            <w:vAlign w:val="bottom"/>
          </w:tcPr>
          <w:p>
            <w:pPr>
              <w:jc w:val="center"/>
              <w:ind w:left="1352"/>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statements of 20% – 50% owned companies accounted for under the equity method and unconsolidated subsidiaries have been omitted because they do not meet the materiality tests for assets or income.</w:t>
      </w:r>
    </w:p>
    <w:p>
      <w:pPr>
        <w:spacing w:after="0" w:line="78" w:lineRule="exact"/>
        <w:rPr>
          <w:sz w:val="20"/>
          <w:szCs w:val="20"/>
          <w:color w:val="auto"/>
        </w:rPr>
      </w:pPr>
    </w:p>
    <w:p>
      <w:pPr>
        <w:ind w:left="1120" w:hanging="761"/>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15" w:lineRule="exact"/>
        <w:rPr>
          <w:rFonts w:ascii="Arial" w:cs="Arial" w:eastAsia="Arial" w:hAnsi="Arial"/>
          <w:sz w:val="18"/>
          <w:szCs w:val="18"/>
          <w:color w:val="auto"/>
        </w:rPr>
      </w:pPr>
    </w:p>
    <w:p>
      <w:pPr>
        <w:ind w:left="1120" w:hanging="761"/>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Exhibits are filed or incorporated by reference as indicated in the Index to Exhibits:</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Deed of Incorporation as last amended on May 4, 2001</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By-Laws as last amended on April 19, 2001</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Exhibit 3(a)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Exhibit 3(b)</w:t>
      </w:r>
    </w:p>
    <w:p>
      <w:pPr>
        <w:spacing w:after="0" w:line="133" w:lineRule="exact"/>
        <w:rPr>
          <w:sz w:val="20"/>
          <w:szCs w:val="20"/>
          <w:color w:val="auto"/>
        </w:rPr>
      </w:pPr>
    </w:p>
    <w:p>
      <w:pPr>
        <w:sectPr>
          <w:pgSz w:w="11900" w:h="16838" w:orient="portrait"/>
          <w:cols w:equalWidth="0" w:num="2">
            <w:col w:w="9800" w:space="720"/>
            <w:col w:w="9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Schlumberger is party to a number of [other] long-term debt agreements that, pursuant to Regulation S-K, Item 601(b)(4)(iii), are not filed as exhibits.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agrees to furnish copies of these agreements to the Commission upon its request.</w:t>
      </w:r>
    </w:p>
    <w:p>
      <w:pPr>
        <w:spacing w:after="0" w:line="111"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Schlumberger 1994 Stock Option Plan* as amended on January 5, 1995</w:t>
            </w:r>
          </w:p>
        </w:tc>
        <w:tc>
          <w:tcPr>
            <w:tcW w:w="2640" w:type="dxa"/>
            <w:vAlign w:val="bottom"/>
          </w:tcPr>
          <w:p>
            <w:pPr>
              <w:ind w:left="1700"/>
              <w:spacing w:after="0"/>
              <w:rPr>
                <w:sz w:val="20"/>
                <w:szCs w:val="20"/>
                <w:color w:val="auto"/>
              </w:rPr>
            </w:pPr>
            <w:r>
              <w:rPr>
                <w:rFonts w:ascii="Arial" w:cs="Arial" w:eastAsia="Arial" w:hAnsi="Arial"/>
                <w:sz w:val="18"/>
                <w:szCs w:val="18"/>
                <w:color w:val="auto"/>
                <w:w w:val="91"/>
              </w:rPr>
              <w:t>Exhibit 10(a)</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1994</w:t>
            </w:r>
          </w:p>
        </w:tc>
        <w:tc>
          <w:tcPr>
            <w:tcW w:w="6260" w:type="dxa"/>
            <w:vAlign w:val="bottom"/>
          </w:tcPr>
          <w:p>
            <w:pPr>
              <w:ind w:left="20"/>
              <w:spacing w:after="0"/>
              <w:rPr>
                <w:sz w:val="20"/>
                <w:szCs w:val="20"/>
                <w:color w:val="auto"/>
              </w:rPr>
            </w:pPr>
            <w:r>
              <w:rPr>
                <w:rFonts w:ascii="Arial" w:cs="Arial" w:eastAsia="Arial" w:hAnsi="Arial"/>
                <w:sz w:val="18"/>
                <w:szCs w:val="18"/>
                <w:color w:val="auto"/>
              </w:rPr>
              <w:t>Stock Option Plan* Second Amendment</w:t>
            </w:r>
          </w:p>
        </w:tc>
        <w:tc>
          <w:tcPr>
            <w:tcW w:w="2640" w:type="dxa"/>
            <w:vAlign w:val="bottom"/>
          </w:tcPr>
          <w:p>
            <w:pPr>
              <w:ind w:left="1700"/>
              <w:spacing w:after="0"/>
              <w:rPr>
                <w:sz w:val="20"/>
                <w:szCs w:val="20"/>
                <w:color w:val="auto"/>
              </w:rPr>
            </w:pPr>
            <w:r>
              <w:rPr>
                <w:rFonts w:ascii="Arial" w:cs="Arial" w:eastAsia="Arial" w:hAnsi="Arial"/>
                <w:sz w:val="18"/>
                <w:szCs w:val="18"/>
                <w:color w:val="auto"/>
                <w:w w:val="91"/>
              </w:rPr>
              <w:t>Exhibit 10(b)</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1994</w:t>
            </w:r>
          </w:p>
        </w:tc>
        <w:tc>
          <w:tcPr>
            <w:tcW w:w="6260" w:type="dxa"/>
            <w:vAlign w:val="bottom"/>
          </w:tcPr>
          <w:p>
            <w:pPr>
              <w:ind w:left="20"/>
              <w:spacing w:after="0"/>
              <w:rPr>
                <w:sz w:val="20"/>
                <w:szCs w:val="20"/>
                <w:color w:val="auto"/>
              </w:rPr>
            </w:pPr>
            <w:r>
              <w:rPr>
                <w:rFonts w:ascii="Arial" w:cs="Arial" w:eastAsia="Arial" w:hAnsi="Arial"/>
                <w:sz w:val="18"/>
                <w:szCs w:val="18"/>
                <w:color w:val="auto"/>
              </w:rPr>
              <w:t>Stock Option Plan* Third Amendment</w:t>
            </w:r>
          </w:p>
        </w:tc>
        <w:tc>
          <w:tcPr>
            <w:tcW w:w="2640" w:type="dxa"/>
            <w:vAlign w:val="bottom"/>
          </w:tcPr>
          <w:p>
            <w:pPr>
              <w:ind w:left="1700"/>
              <w:spacing w:after="0"/>
              <w:rPr>
                <w:sz w:val="20"/>
                <w:szCs w:val="20"/>
                <w:color w:val="auto"/>
              </w:rPr>
            </w:pPr>
            <w:r>
              <w:rPr>
                <w:rFonts w:ascii="Arial" w:cs="Arial" w:eastAsia="Arial" w:hAnsi="Arial"/>
                <w:sz w:val="18"/>
                <w:szCs w:val="18"/>
                <w:color w:val="auto"/>
                <w:w w:val="91"/>
              </w:rPr>
              <w:t>Exhibit 10(c)</w:t>
            </w:r>
          </w:p>
        </w:tc>
      </w:tr>
      <w:tr>
        <w:trPr>
          <w:trHeight w:val="324"/>
        </w:trPr>
        <w:tc>
          <w:tcPr>
            <w:tcW w:w="7660" w:type="dxa"/>
            <w:vAlign w:val="bottom"/>
            <w:gridSpan w:val="2"/>
          </w:tcPr>
          <w:p>
            <w:pPr>
              <w:spacing w:after="0"/>
              <w:rPr>
                <w:sz w:val="20"/>
                <w:szCs w:val="20"/>
                <w:color w:val="auto"/>
              </w:rPr>
            </w:pPr>
            <w:r>
              <w:rPr>
                <w:rFonts w:ascii="Arial" w:cs="Arial" w:eastAsia="Arial" w:hAnsi="Arial"/>
                <w:sz w:val="18"/>
                <w:szCs w:val="18"/>
                <w:color w:val="auto"/>
              </w:rPr>
              <w:t>Schlumberger Limited Supplementary Benefit Plan* as amended on January 1, 1995</w:t>
            </w:r>
          </w:p>
        </w:tc>
        <w:tc>
          <w:tcPr>
            <w:tcW w:w="2640" w:type="dxa"/>
            <w:vAlign w:val="bottom"/>
          </w:tcPr>
          <w:p>
            <w:pPr>
              <w:ind w:left="1700"/>
              <w:spacing w:after="0"/>
              <w:rPr>
                <w:sz w:val="20"/>
                <w:szCs w:val="20"/>
                <w:color w:val="auto"/>
              </w:rPr>
            </w:pPr>
            <w:r>
              <w:rPr>
                <w:rFonts w:ascii="Arial" w:cs="Arial" w:eastAsia="Arial" w:hAnsi="Arial"/>
                <w:sz w:val="18"/>
                <w:szCs w:val="18"/>
                <w:color w:val="auto"/>
                <w:w w:val="91"/>
              </w:rPr>
              <w:t>Exhibit 10(d)</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1989</w:t>
            </w:r>
          </w:p>
        </w:tc>
        <w:tc>
          <w:tcPr>
            <w:tcW w:w="6260" w:type="dxa"/>
            <w:vAlign w:val="bottom"/>
          </w:tcPr>
          <w:p>
            <w:pPr>
              <w:ind w:left="20"/>
              <w:spacing w:after="0"/>
              <w:rPr>
                <w:sz w:val="20"/>
                <w:szCs w:val="20"/>
                <w:color w:val="auto"/>
              </w:rPr>
            </w:pPr>
            <w:r>
              <w:rPr>
                <w:rFonts w:ascii="Arial" w:cs="Arial" w:eastAsia="Arial" w:hAnsi="Arial"/>
                <w:sz w:val="18"/>
                <w:szCs w:val="18"/>
                <w:color w:val="auto"/>
              </w:rPr>
              <w:t>Stock Incentive Plan* as amended</w:t>
            </w:r>
          </w:p>
        </w:tc>
        <w:tc>
          <w:tcPr>
            <w:tcW w:w="2640" w:type="dxa"/>
            <w:vAlign w:val="bottom"/>
          </w:tcPr>
          <w:p>
            <w:pPr>
              <w:ind w:left="1700"/>
              <w:spacing w:after="0"/>
              <w:rPr>
                <w:sz w:val="20"/>
                <w:szCs w:val="20"/>
                <w:color w:val="auto"/>
              </w:rPr>
            </w:pPr>
            <w:r>
              <w:rPr>
                <w:rFonts w:ascii="Arial" w:cs="Arial" w:eastAsia="Arial" w:hAnsi="Arial"/>
                <w:sz w:val="18"/>
                <w:szCs w:val="18"/>
                <w:color w:val="auto"/>
                <w:w w:val="91"/>
              </w:rPr>
              <w:t>Exhibit 10(e)</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1989</w:t>
            </w:r>
          </w:p>
        </w:tc>
        <w:tc>
          <w:tcPr>
            <w:tcW w:w="6260" w:type="dxa"/>
            <w:vAlign w:val="bottom"/>
          </w:tcPr>
          <w:p>
            <w:pPr>
              <w:ind w:left="20"/>
              <w:spacing w:after="0"/>
              <w:rPr>
                <w:sz w:val="20"/>
                <w:szCs w:val="20"/>
                <w:color w:val="auto"/>
              </w:rPr>
            </w:pPr>
            <w:r>
              <w:rPr>
                <w:rFonts w:ascii="Arial" w:cs="Arial" w:eastAsia="Arial" w:hAnsi="Arial"/>
                <w:sz w:val="18"/>
                <w:szCs w:val="18"/>
                <w:color w:val="auto"/>
              </w:rPr>
              <w:t>Stock Incentive Plan* Third Amendment</w:t>
            </w:r>
          </w:p>
        </w:tc>
        <w:tc>
          <w:tcPr>
            <w:tcW w:w="2640" w:type="dxa"/>
            <w:vAlign w:val="bottom"/>
          </w:tcPr>
          <w:p>
            <w:pPr>
              <w:ind w:left="1720"/>
              <w:spacing w:after="0"/>
              <w:rPr>
                <w:sz w:val="20"/>
                <w:szCs w:val="20"/>
                <w:color w:val="auto"/>
              </w:rPr>
            </w:pPr>
            <w:r>
              <w:rPr>
                <w:rFonts w:ascii="Arial" w:cs="Arial" w:eastAsia="Arial" w:hAnsi="Arial"/>
                <w:sz w:val="18"/>
                <w:szCs w:val="18"/>
                <w:color w:val="auto"/>
                <w:w w:val="93"/>
              </w:rPr>
              <w:t>Exhibit 10(f)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60007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11" w:lineRule="exact"/>
        <w:rPr>
          <w:sz w:val="20"/>
          <w:szCs w:val="20"/>
          <w:color w:val="auto"/>
        </w:rPr>
      </w:pPr>
    </w:p>
    <w:p>
      <w:pPr>
        <w:ind w:left="420" w:hanging="394"/>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Compensatory plan required to be filed as an exhibit.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9180" w:type="dxa"/>
            <w:vAlign w:val="bottom"/>
          </w:tcPr>
          <w:p>
            <w:pPr>
              <w:spacing w:after="0"/>
              <w:rPr>
                <w:sz w:val="20"/>
                <w:szCs w:val="20"/>
                <w:color w:val="auto"/>
              </w:rPr>
            </w:pPr>
            <w:r>
              <w:rPr>
                <w:rFonts w:ascii="Arial" w:cs="Arial" w:eastAsia="Arial" w:hAnsi="Arial"/>
                <w:sz w:val="18"/>
                <w:szCs w:val="18"/>
                <w:color w:val="auto"/>
              </w:rPr>
              <w:t>Schlumberger Restoration Savings Plan</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2"/>
              </w:rPr>
              <w:t>Exhibit 10(g)</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Schlumberger 1998 Stock Option Plan*</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2"/>
              </w:rPr>
              <w:t>Exhibit 10(h)</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Schlumberger 1998 Stock Option Plan* First Amendment</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4"/>
              </w:rPr>
              <w:t>Exhibit 10(i)</w:t>
            </w:r>
          </w:p>
        </w:tc>
      </w:tr>
      <w:tr>
        <w:trPr>
          <w:trHeight w:val="318"/>
        </w:trPr>
        <w:tc>
          <w:tcPr>
            <w:tcW w:w="9180" w:type="dxa"/>
            <w:vAlign w:val="bottom"/>
          </w:tcPr>
          <w:p>
            <w:pPr>
              <w:spacing w:after="0"/>
              <w:rPr>
                <w:sz w:val="20"/>
                <w:szCs w:val="20"/>
                <w:color w:val="auto"/>
              </w:rPr>
            </w:pPr>
            <w:r>
              <w:rPr>
                <w:rFonts w:ascii="Arial" w:cs="Arial" w:eastAsia="Arial" w:hAnsi="Arial"/>
                <w:sz w:val="18"/>
                <w:szCs w:val="18"/>
                <w:color w:val="auto"/>
                <w:w w:val="91"/>
              </w:rPr>
              <w:t>1997 Long-Term Incentive Plan of Camco International Inc.; Long-Term Incentive Plan of Camco International Inc. Production</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4"/>
              </w:rPr>
              <w:t>Exhibit 10(j)</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w w:val="89"/>
              </w:rPr>
              <w:t>Operators Corp. 1992 Long-Term Incentive Plan; Camco 1996 Savings Related Share Option Scheme; Camco International Inc.</w:t>
            </w:r>
          </w:p>
        </w:tc>
        <w:tc>
          <w:tcPr>
            <w:tcW w:w="1120" w:type="dxa"/>
            <w:vAlign w:val="bottom"/>
          </w:tcPr>
          <w:p>
            <w:pPr>
              <w:spacing w:after="0"/>
              <w:rPr>
                <w:sz w:val="18"/>
                <w:szCs w:val="18"/>
                <w:color w:val="auto"/>
              </w:rPr>
            </w:pPr>
          </w:p>
        </w:tc>
      </w:tr>
      <w:tr>
        <w:trPr>
          <w:trHeight w:val="222"/>
        </w:trPr>
        <w:tc>
          <w:tcPr>
            <w:tcW w:w="9180" w:type="dxa"/>
            <w:vAlign w:val="bottom"/>
          </w:tcPr>
          <w:p>
            <w:pPr>
              <w:spacing w:after="0"/>
              <w:rPr>
                <w:sz w:val="20"/>
                <w:szCs w:val="20"/>
                <w:color w:val="auto"/>
              </w:rPr>
            </w:pPr>
            <w:r>
              <w:rPr>
                <w:rFonts w:ascii="Arial" w:cs="Arial" w:eastAsia="Arial" w:hAnsi="Arial"/>
                <w:sz w:val="18"/>
                <w:szCs w:val="18"/>
                <w:color w:val="auto"/>
              </w:rPr>
              <w:t>Amended and Restated Stock Option Plan for Non-Employee Directors</w:t>
            </w:r>
          </w:p>
        </w:tc>
        <w:tc>
          <w:tcPr>
            <w:tcW w:w="1120" w:type="dxa"/>
            <w:vAlign w:val="bottom"/>
          </w:tcPr>
          <w:p>
            <w:pPr>
              <w:spacing w:after="0"/>
              <w:rPr>
                <w:sz w:val="19"/>
                <w:szCs w:val="19"/>
                <w:color w:val="auto"/>
              </w:rPr>
            </w:pP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Schlumberger 2001 Stock Option Plan*</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3"/>
              </w:rPr>
              <w:t>Exhibit 10(k)</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Schlumberger Stock and Deferral Plan for Non-Employee Directors*</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4"/>
              </w:rPr>
              <w:t>Exhibit 10(l)</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Subsidiaries</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3"/>
              </w:rPr>
              <w:t>Exhibit 21</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Consent of Independent Accountants</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3"/>
              </w:rPr>
              <w:t>Exhibit 23</w:t>
            </w:r>
          </w:p>
        </w:tc>
      </w:tr>
      <w:tr>
        <w:trPr>
          <w:trHeight w:val="318"/>
        </w:trPr>
        <w:tc>
          <w:tcPr>
            <w:tcW w:w="9180" w:type="dxa"/>
            <w:vAlign w:val="bottom"/>
          </w:tcPr>
          <w:p>
            <w:pPr>
              <w:spacing w:after="0"/>
              <w:rPr>
                <w:sz w:val="20"/>
                <w:szCs w:val="20"/>
                <w:color w:val="auto"/>
              </w:rPr>
            </w:pPr>
            <w:r>
              <w:rPr>
                <w:rFonts w:ascii="Arial" w:cs="Arial" w:eastAsia="Arial" w:hAnsi="Arial"/>
                <w:sz w:val="18"/>
                <w:szCs w:val="18"/>
                <w:color w:val="auto"/>
              </w:rPr>
              <w:t>Powers of Attorney</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3"/>
              </w:rPr>
              <w:t>Exhibit 24</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(a) D. Euan Baird – dated January 16,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(b) John Deutch – dated January 16,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 Jamie S. Gorelick – dated January 16,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(d) Andrew Gould – dated January 16,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(e) Andrew Gould – dated February 20,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(f) Adrian Lajous – dated February 7,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(g) André Lévy-Lang – dated January 16,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(h) William T. McCormick, Jr. – dated January 16,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(i) Didier Primat – dated January 24,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(j) Nicolas Seydoux – dated January 16, 2003</w:t>
            </w:r>
          </w:p>
        </w:tc>
        <w:tc>
          <w:tcPr>
            <w:tcW w:w="1120" w:type="dxa"/>
            <w:vAlign w:val="bottom"/>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(k) Linda G. Stuntz – dated January 16, 2003</w:t>
            </w:r>
          </w:p>
        </w:tc>
        <w:tc>
          <w:tcPr>
            <w:tcW w:w="1120" w:type="dxa"/>
            <w:vAlign w:val="bottom"/>
          </w:tcPr>
          <w:p>
            <w:pPr>
              <w:spacing w:after="0"/>
              <w:rPr>
                <w:sz w:val="18"/>
                <w:szCs w:val="18"/>
                <w:color w:val="auto"/>
              </w:rPr>
            </w:pPr>
          </w:p>
        </w:tc>
      </w:tr>
      <w:tr>
        <w:trPr>
          <w:trHeight w:val="222"/>
        </w:trPr>
        <w:tc>
          <w:tcPr>
            <w:tcW w:w="9180" w:type="dxa"/>
            <w:vAlign w:val="bottom"/>
          </w:tcPr>
          <w:p>
            <w:pPr>
              <w:ind w:left="360"/>
              <w:spacing w:after="0"/>
              <w:rPr>
                <w:sz w:val="20"/>
                <w:szCs w:val="20"/>
                <w:color w:val="auto"/>
              </w:rPr>
            </w:pPr>
            <w:r>
              <w:rPr>
                <w:rFonts w:ascii="Arial" w:cs="Arial" w:eastAsia="Arial" w:hAnsi="Arial"/>
                <w:sz w:val="18"/>
                <w:szCs w:val="18"/>
                <w:color w:val="auto"/>
              </w:rPr>
              <w:t>(l) Sven Ullring – dated January 16, 2003</w:t>
            </w:r>
          </w:p>
        </w:tc>
        <w:tc>
          <w:tcPr>
            <w:tcW w:w="1120" w:type="dxa"/>
            <w:vAlign w:val="bottom"/>
          </w:tcPr>
          <w:p>
            <w:pPr>
              <w:spacing w:after="0"/>
              <w:rPr>
                <w:sz w:val="19"/>
                <w:szCs w:val="19"/>
                <w:color w:val="auto"/>
              </w:rPr>
            </w:pP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1"/>
              </w:rPr>
              <w:t>Exhibit 99.1</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1"/>
              </w:rPr>
              <w:t>Exhibit 99.2</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Additional Exhibit: Form S-8 Undertakings</w:t>
            </w: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1"/>
              </w:rPr>
              <w:t>Exhibit 99.3</w:t>
            </w:r>
          </w:p>
        </w:tc>
      </w:tr>
    </w:tbl>
    <w:p>
      <w:pPr>
        <w:spacing w:after="0" w:line="102" w:lineRule="exact"/>
        <w:rPr>
          <w:sz w:val="20"/>
          <w:szCs w:val="20"/>
          <w:color w:val="auto"/>
        </w:rPr>
      </w:pPr>
    </w:p>
    <w:p>
      <w:pPr>
        <w:ind w:left="20" w:right="2480" w:firstLine="339"/>
        <w:spacing w:after="0" w:line="532" w:lineRule="auto"/>
        <w:tabs>
          <w:tab w:leader="none" w:pos="112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following reports were filed on Form 8-K during the last quarter of the period covered by this 10-K report: * Compensatory plan required to be filed as an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0007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60"/>
        <w:spacing w:after="0" w:line="268" w:lineRule="auto"/>
        <w:rPr>
          <w:sz w:val="20"/>
          <w:szCs w:val="20"/>
          <w:color w:val="auto"/>
        </w:rPr>
      </w:pPr>
      <w:r>
        <w:rPr>
          <w:rFonts w:ascii="Arial" w:cs="Arial" w:eastAsia="Arial" w:hAnsi="Arial"/>
          <w:sz w:val="18"/>
          <w:szCs w:val="18"/>
          <w:color w:val="auto"/>
        </w:rPr>
        <w:t>Report 8-K dated October 1, 2002, filed as of October 2, 2002 to report the Schlumberger Third Quarter 2002 Business Update press release dated October 1, 2002.</w:t>
      </w:r>
    </w:p>
    <w:p>
      <w:pPr>
        <w:spacing w:after="0" w:line="78" w:lineRule="exact"/>
        <w:rPr>
          <w:sz w:val="20"/>
          <w:szCs w:val="20"/>
          <w:color w:val="auto"/>
        </w:rPr>
      </w:pPr>
    </w:p>
    <w:p>
      <w:pPr>
        <w:ind w:left="760" w:right="60"/>
        <w:spacing w:after="0" w:line="268" w:lineRule="auto"/>
        <w:rPr>
          <w:sz w:val="20"/>
          <w:szCs w:val="20"/>
          <w:color w:val="auto"/>
        </w:rPr>
      </w:pPr>
      <w:r>
        <w:rPr>
          <w:rFonts w:ascii="Arial" w:cs="Arial" w:eastAsia="Arial" w:hAnsi="Arial"/>
          <w:sz w:val="18"/>
          <w:szCs w:val="18"/>
          <w:color w:val="auto"/>
        </w:rPr>
        <w:t>Report 8-K dated October 16, 2002, furnished as of October 17, 2002 to report under item 9 a Question and Answer document on the October 16, 2002 Schlumberger Press Release.</w:t>
      </w:r>
    </w:p>
    <w:p>
      <w:pPr>
        <w:spacing w:after="0" w:line="78" w:lineRule="exact"/>
        <w:rPr>
          <w:sz w:val="20"/>
          <w:szCs w:val="20"/>
          <w:color w:val="auto"/>
        </w:rPr>
      </w:pPr>
    </w:p>
    <w:p>
      <w:pPr>
        <w:ind w:left="760" w:right="140"/>
        <w:spacing w:after="0" w:line="332" w:lineRule="auto"/>
        <w:rPr>
          <w:sz w:val="20"/>
          <w:szCs w:val="20"/>
          <w:color w:val="auto"/>
        </w:rPr>
      </w:pPr>
      <w:r>
        <w:rPr>
          <w:rFonts w:ascii="Arial" w:cs="Arial" w:eastAsia="Arial" w:hAnsi="Arial"/>
          <w:sz w:val="16"/>
          <w:szCs w:val="16"/>
          <w:color w:val="auto"/>
        </w:rPr>
        <w:t>Report 8-K dated December 10, 2002, filed as of December 11, 2002 to report the December 10, 2002 Schlumberger Press Release under Item 5 and a Question and Answer document on the Press Release under Item 9 furnished pursuant to Regulation FD.</w:t>
      </w:r>
    </w:p>
    <w:p>
      <w:pPr>
        <w:spacing w:after="0" w:line="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40"/>
          </w:cols>
          <w:pgMar w:left="240" w:top="459" w:right="6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spacing w:after="0"/>
        <w:tabs>
          <w:tab w:leader="none" w:pos="720" w:val="left"/>
          <w:tab w:leader="none" w:pos="4480" w:val="left"/>
          <w:tab w:leader="none" w:pos="5860" w:val="left"/>
          <w:tab w:leader="none" w:pos="6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80010</wp:posOffset>
            </wp:positionV>
            <wp:extent cx="216979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jc w:val="center"/>
        <w:ind w:left="216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jc w:val="center"/>
        <w:ind w:left="216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87"/>
              </w:rPr>
              <w:t>Name</w:t>
            </w:r>
          </w:p>
        </w:tc>
        <w:tc>
          <w:tcPr>
            <w:tcW w:w="320" w:type="dxa"/>
            <w:vAlign w:val="bottom"/>
          </w:tcPr>
          <w:p>
            <w:pPr>
              <w:spacing w:after="0"/>
              <w:rPr>
                <w:sz w:val="19"/>
                <w:szCs w:val="19"/>
                <w:color w:val="auto"/>
              </w:rPr>
            </w:pPr>
          </w:p>
        </w:tc>
        <w:tc>
          <w:tcPr>
            <w:tcW w:w="5560" w:type="dxa"/>
            <w:vAlign w:val="bottom"/>
          </w:tcPr>
          <w:p>
            <w:pPr>
              <w:ind w:left="2620"/>
              <w:spacing w:after="0"/>
              <w:rPr>
                <w:sz w:val="20"/>
                <w:szCs w:val="20"/>
                <w:color w:val="auto"/>
              </w:rPr>
            </w:pPr>
            <w:r>
              <w:rPr>
                <w:rFonts w:ascii="Arial" w:cs="Arial" w:eastAsia="Arial" w:hAnsi="Arial"/>
                <w:sz w:val="18"/>
                <w:szCs w:val="18"/>
                <w:color w:val="auto"/>
              </w:rPr>
              <w:t>Title</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r>
      <w:tr>
        <w:trPr>
          <w:trHeight w:val="5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 Chairman and Chief Executive Officer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92"/>
              </w:rPr>
              <w:t>Andrew Gould</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ind w:left="176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86"/>
              </w:rPr>
              <w:t>Jean-Marc Perraud</w:t>
            </w: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86"/>
              </w:rPr>
              <w:t>Jean-Marc Perraud</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ind w:left="186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2120"/>
              <w:spacing w:after="0"/>
              <w:rPr>
                <w:sz w:val="20"/>
                <w:szCs w:val="20"/>
                <w:color w:val="auto"/>
              </w:rPr>
            </w:pPr>
            <w:r>
              <w:rPr>
                <w:rFonts w:ascii="Arial" w:cs="Arial" w:eastAsia="Arial" w:hAnsi="Arial"/>
                <w:sz w:val="18"/>
                <w:szCs w:val="18"/>
                <w:color w:val="auto"/>
                <w:w w:val="89"/>
              </w:rPr>
              <w:t>Frank A. Sorgie</w:t>
            </w: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91"/>
              </w:rPr>
              <w:t>Frank A. Sorgie</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89"/>
              </w:rPr>
              <w:t>John Deutch</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89"/>
              </w:rPr>
              <w:t>Jamie S. Gorelick</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92"/>
              </w:rPr>
              <w:t>Adrian Lajous</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91"/>
              </w:rPr>
              <w:t>André Lévy-Lang</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54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5540" w:type="dxa"/>
            <w:vAlign w:val="bottom"/>
            <w:gridSpan w:val="3"/>
          </w:tcPr>
          <w:p>
            <w:pPr>
              <w:jc w:val="center"/>
              <w:spacing w:after="0"/>
              <w:rPr>
                <w:sz w:val="20"/>
                <w:szCs w:val="20"/>
                <w:color w:val="auto"/>
              </w:rPr>
            </w:pPr>
            <w:r>
              <w:rPr>
                <w:rFonts w:ascii="Arial" w:cs="Arial" w:eastAsia="Arial" w:hAnsi="Arial"/>
                <w:sz w:val="18"/>
                <w:szCs w:val="18"/>
                <w:color w:val="auto"/>
                <w:w w:val="93"/>
              </w:rPr>
              <w:t>William T. McCormick, Jr.</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94"/>
              </w:rPr>
              <w:t>Didier Primat</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87"/>
              </w:rPr>
              <w:t>Nicolas Seydoux</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88"/>
              </w:rPr>
              <w:t>Linda G. Stuntz</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3360" w:type="dxa"/>
            <w:vAlign w:val="bottom"/>
          </w:tcPr>
          <w:p>
            <w:pPr>
              <w:jc w:val="center"/>
              <w:ind w:right="19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Arial" w:cs="Arial" w:eastAsia="Arial" w:hAnsi="Arial"/>
                <w:sz w:val="18"/>
                <w:szCs w:val="18"/>
                <w:color w:val="auto"/>
                <w:w w:val="92"/>
              </w:rPr>
              <w:t>Sven Ullring</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32"/>
        </w:trPr>
        <w:tc>
          <w:tcPr>
            <w:tcW w:w="2100" w:type="dxa"/>
            <w:vAlign w:val="bottom"/>
          </w:tcPr>
          <w:p>
            <w:pPr>
              <w:ind w:left="1920"/>
              <w:spacing w:after="0"/>
              <w:rPr>
                <w:sz w:val="20"/>
                <w:szCs w:val="20"/>
                <w:color w:val="auto"/>
              </w:rPr>
            </w:pPr>
            <w:r>
              <w:rPr>
                <w:rFonts w:ascii="Arial" w:cs="Arial" w:eastAsia="Arial" w:hAnsi="Arial"/>
                <w:sz w:val="18"/>
                <w:szCs w:val="18"/>
                <w:color w:val="auto"/>
                <w:w w:val="83"/>
              </w:rPr>
              <w:t>/s/</w:t>
            </w:r>
          </w:p>
        </w:tc>
        <w:tc>
          <w:tcPr>
            <w:tcW w:w="3440" w:type="dxa"/>
            <w:vAlign w:val="bottom"/>
            <w:gridSpan w:val="2"/>
          </w:tcPr>
          <w:p>
            <w:pPr>
              <w:jc w:val="center"/>
              <w:ind w:right="2120"/>
              <w:spacing w:after="0"/>
              <w:rPr>
                <w:sz w:val="20"/>
                <w:szCs w:val="20"/>
                <w:color w:val="auto"/>
              </w:rPr>
            </w:pPr>
            <w:r>
              <w:rPr>
                <w:rFonts w:ascii="Arial" w:cs="Arial" w:eastAsia="Arial" w:hAnsi="Arial"/>
                <w:sz w:val="18"/>
                <w:szCs w:val="18"/>
                <w:color w:val="auto"/>
                <w:w w:val="88"/>
              </w:rPr>
              <w:t>Ellen Summer</w:t>
            </w:r>
          </w:p>
        </w:tc>
        <w:tc>
          <w:tcPr>
            <w:tcW w:w="32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February 27, 2003</w:t>
            </w:r>
          </w:p>
        </w:tc>
      </w:tr>
      <w:tr>
        <w:trPr>
          <w:trHeight w:val="110"/>
        </w:trPr>
        <w:tc>
          <w:tcPr>
            <w:tcW w:w="54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Pr>
          <w:p>
            <w:pPr>
              <w:spacing w:after="0"/>
              <w:rPr>
                <w:sz w:val="9"/>
                <w:szCs w:val="9"/>
                <w:color w:val="auto"/>
              </w:rPr>
            </w:pPr>
          </w:p>
        </w:tc>
      </w:tr>
      <w:tr>
        <w:trPr>
          <w:trHeight w:val="316"/>
        </w:trPr>
        <w:tc>
          <w:tcPr>
            <w:tcW w:w="5540" w:type="dxa"/>
            <w:vAlign w:val="bottom"/>
            <w:gridSpan w:val="3"/>
          </w:tcPr>
          <w:p>
            <w:pPr>
              <w:ind w:left="1860"/>
              <w:spacing w:after="0"/>
              <w:rPr>
                <w:sz w:val="20"/>
                <w:szCs w:val="20"/>
                <w:color w:val="auto"/>
              </w:rPr>
            </w:pPr>
            <w:r>
              <w:rPr>
                <w:rFonts w:ascii="Arial" w:cs="Arial" w:eastAsia="Arial" w:hAnsi="Arial"/>
                <w:sz w:val="18"/>
                <w:szCs w:val="18"/>
                <w:color w:val="auto"/>
              </w:rPr>
              <w:t>* By Ellen Summer  Attorney-in-Fact</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17" w:gutter="0" w:footer="0" w:header="0"/>
        </w:sect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17"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15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jc w:val="both"/>
        <w:ind w:left="460" w:right="1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left="460" w:firstLine="4"/>
        <w:spacing w:after="0" w:line="332" w:lineRule="auto"/>
        <w:tabs>
          <w:tab w:leader="none" w:pos="6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Arial" w:cs="Arial" w:eastAsia="Arial" w:hAnsi="Arial"/>
          <w:sz w:val="16"/>
          <w:szCs w:val="16"/>
          <w:color w:val="auto"/>
        </w:rPr>
      </w:pPr>
    </w:p>
    <w:p>
      <w:pPr>
        <w:ind w:left="460" w:right="20" w:firstLine="4"/>
        <w:spacing w:after="0" w:line="268"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18" w:lineRule="exact"/>
        <w:rPr>
          <w:rFonts w:ascii="Arial" w:cs="Arial" w:eastAsia="Arial" w:hAnsi="Arial"/>
          <w:sz w:val="18"/>
          <w:szCs w:val="18"/>
          <w:color w:val="auto"/>
        </w:rPr>
      </w:pPr>
    </w:p>
    <w:p>
      <w:pPr>
        <w:ind w:left="460" w:right="420" w:firstLine="4"/>
        <w:spacing w:after="0" w:line="268"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fulfilling the equivalent function):</w:t>
      </w:r>
    </w:p>
    <w:p>
      <w:pPr>
        <w:spacing w:after="0" w:line="118" w:lineRule="exact"/>
        <w:rPr>
          <w:rFonts w:ascii="Arial" w:cs="Arial" w:eastAsia="Arial" w:hAnsi="Arial"/>
          <w:sz w:val="18"/>
          <w:szCs w:val="18"/>
          <w:color w:val="auto"/>
        </w:rPr>
      </w:pPr>
    </w:p>
    <w:p>
      <w:pPr>
        <w:ind w:left="460" w:right="600" w:firstLine="4"/>
        <w:spacing w:after="0" w:line="332" w:lineRule="auto"/>
        <w:tabs>
          <w:tab w:leader="none" w:pos="6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660" w:hanging="196"/>
        <w:spacing w:after="0"/>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180"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spacing w:after="0"/>
        <w:tabs>
          <w:tab w:leader="none" w:pos="700" w:val="left"/>
          <w:tab w:leader="none" w:pos="8180" w:val="left"/>
          <w:tab w:leader="none" w:pos="8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80010</wp:posOffset>
            </wp:positionV>
            <wp:extent cx="300164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19"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80"/>
          </w:cols>
          <w:pgMar w:left="240" w:top="459" w:right="3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15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jc w:val="both"/>
        <w:ind w:left="460" w:right="10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left="460" w:firstLine="4"/>
        <w:spacing w:after="0" w:line="332" w:lineRule="auto"/>
        <w:tabs>
          <w:tab w:leader="none" w:pos="6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Arial" w:cs="Arial" w:eastAsia="Arial" w:hAnsi="Arial"/>
          <w:sz w:val="16"/>
          <w:szCs w:val="16"/>
          <w:color w:val="auto"/>
        </w:rPr>
      </w:pPr>
    </w:p>
    <w:p>
      <w:pPr>
        <w:ind w:left="460" w:right="20" w:firstLine="4"/>
        <w:spacing w:after="0" w:line="268" w:lineRule="auto"/>
        <w:tabs>
          <w:tab w:leader="none" w:pos="65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18" w:lineRule="exact"/>
        <w:rPr>
          <w:rFonts w:ascii="Arial" w:cs="Arial" w:eastAsia="Arial" w:hAnsi="Arial"/>
          <w:sz w:val="18"/>
          <w:szCs w:val="18"/>
          <w:color w:val="auto"/>
        </w:rPr>
      </w:pPr>
    </w:p>
    <w:p>
      <w:pPr>
        <w:ind w:left="460" w:right="420" w:firstLine="4"/>
        <w:spacing w:after="0" w:line="268"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fulfilling the equivalent function):</w:t>
      </w:r>
    </w:p>
    <w:p>
      <w:pPr>
        <w:spacing w:after="0" w:line="118" w:lineRule="exact"/>
        <w:rPr>
          <w:rFonts w:ascii="Arial" w:cs="Arial" w:eastAsia="Arial" w:hAnsi="Arial"/>
          <w:sz w:val="18"/>
          <w:szCs w:val="18"/>
          <w:color w:val="auto"/>
        </w:rPr>
      </w:pPr>
    </w:p>
    <w:p>
      <w:pPr>
        <w:ind w:left="460" w:right="600" w:firstLine="4"/>
        <w:spacing w:after="0" w:line="332" w:lineRule="auto"/>
        <w:tabs>
          <w:tab w:leader="none" w:pos="6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660" w:hanging="196"/>
        <w:spacing w:after="0"/>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180"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spacing w:after="0"/>
        <w:tabs>
          <w:tab w:leader="none" w:pos="700" w:val="left"/>
          <w:tab w:leader="none" w:pos="802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80010</wp:posOffset>
            </wp:positionV>
            <wp:extent cx="300164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19"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80"/>
          </w:cols>
          <w:pgMar w:left="24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INDEX TO EXHIBITS</w:t>
            </w:r>
          </w:p>
        </w:tc>
        <w:tc>
          <w:tcPr>
            <w:tcW w:w="2800" w:type="dxa"/>
            <w:vAlign w:val="bottom"/>
            <w:vMerge w:val="restart"/>
          </w:tcPr>
          <w:p>
            <w:pPr>
              <w:ind w:left="1200"/>
              <w:spacing w:after="0"/>
              <w:rPr>
                <w:sz w:val="20"/>
                <w:szCs w:val="20"/>
                <w:color w:val="auto"/>
              </w:rPr>
            </w:pPr>
            <w:r>
              <w:rPr>
                <w:rFonts w:ascii="Arial" w:cs="Arial" w:eastAsia="Arial" w:hAnsi="Arial"/>
                <w:sz w:val="18"/>
                <w:szCs w:val="18"/>
                <w:color w:val="auto"/>
              </w:rPr>
              <w:t>Exhibit</w:t>
            </w:r>
          </w:p>
        </w:tc>
        <w:tc>
          <w:tcPr>
            <w:tcW w:w="1980" w:type="dxa"/>
            <w:vAlign w:val="bottom"/>
            <w:vMerge w:val="restart"/>
          </w:tcPr>
          <w:p>
            <w:pPr>
              <w:ind w:left="10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w w:val="98"/>
              </w:rPr>
              <w:t>Deed of Incorporation as last amended on May 4, 2001 incorporated by reference to</w:t>
            </w:r>
          </w:p>
        </w:tc>
        <w:tc>
          <w:tcPr>
            <w:tcW w:w="2800" w:type="dxa"/>
            <w:vAlign w:val="bottom"/>
          </w:tcPr>
          <w:p>
            <w:pPr>
              <w:ind w:left="440"/>
              <w:spacing w:after="0"/>
              <w:rPr>
                <w:sz w:val="20"/>
                <w:szCs w:val="20"/>
                <w:color w:val="auto"/>
              </w:rPr>
            </w:pPr>
            <w:r>
              <w:rPr>
                <w:rFonts w:ascii="Arial" w:cs="Arial" w:eastAsia="Arial" w:hAnsi="Arial"/>
                <w:sz w:val="18"/>
                <w:szCs w:val="18"/>
                <w:color w:val="auto"/>
              </w:rPr>
              <w:t>3(a)</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Form 10-Q for the period ended June 30, 2001</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8"/>
              </w:rPr>
              <w:t>By-Laws as last amended on April 19, 2001, incorporated by reference to Form 10-Q</w:t>
            </w:r>
          </w:p>
        </w:tc>
        <w:tc>
          <w:tcPr>
            <w:tcW w:w="2800" w:type="dxa"/>
            <w:vAlign w:val="bottom"/>
          </w:tcPr>
          <w:p>
            <w:pPr>
              <w:ind w:left="440"/>
              <w:spacing w:after="0"/>
              <w:rPr>
                <w:sz w:val="20"/>
                <w:szCs w:val="20"/>
                <w:color w:val="auto"/>
              </w:rPr>
            </w:pPr>
            <w:r>
              <w:rPr>
                <w:rFonts w:ascii="Arial" w:cs="Arial" w:eastAsia="Arial" w:hAnsi="Arial"/>
                <w:sz w:val="18"/>
                <w:szCs w:val="18"/>
                <w:color w:val="auto"/>
              </w:rPr>
              <w:t>3(b)</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for the period ended June 30, 2001</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3"/>
              </w:rPr>
              <w:t>Schlumberger 1994 Stock Option Plan, as amended on January 5, 1995, incorporated by</w:t>
            </w:r>
          </w:p>
        </w:tc>
        <w:tc>
          <w:tcPr>
            <w:tcW w:w="2800" w:type="dxa"/>
            <w:vAlign w:val="bottom"/>
          </w:tcPr>
          <w:p>
            <w:pPr>
              <w:ind w:left="440"/>
              <w:spacing w:after="0"/>
              <w:rPr>
                <w:sz w:val="20"/>
                <w:szCs w:val="20"/>
                <w:color w:val="auto"/>
              </w:rPr>
            </w:pPr>
            <w:r>
              <w:rPr>
                <w:rFonts w:ascii="Arial" w:cs="Arial" w:eastAsia="Arial" w:hAnsi="Arial"/>
                <w:sz w:val="18"/>
                <w:szCs w:val="18"/>
                <w:color w:val="auto"/>
              </w:rPr>
              <w:t>10(a)</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reference to Exhibit 10(a) to Form 10-K for year 1995</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4"/>
              </w:rPr>
              <w:t>Schlumberger 1994 Stock Option Plan – Second Amendment incorporated by reference</w:t>
            </w:r>
          </w:p>
        </w:tc>
        <w:tc>
          <w:tcPr>
            <w:tcW w:w="2800" w:type="dxa"/>
            <w:vAlign w:val="bottom"/>
          </w:tcPr>
          <w:p>
            <w:pPr>
              <w:ind w:left="440"/>
              <w:spacing w:after="0"/>
              <w:rPr>
                <w:sz w:val="20"/>
                <w:szCs w:val="20"/>
                <w:color w:val="auto"/>
              </w:rPr>
            </w:pPr>
            <w:r>
              <w:rPr>
                <w:rFonts w:ascii="Arial" w:cs="Arial" w:eastAsia="Arial" w:hAnsi="Arial"/>
                <w:sz w:val="18"/>
                <w:szCs w:val="18"/>
                <w:color w:val="auto"/>
              </w:rPr>
              <w:t>10(b)</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 Exhibit 10(b) to Form</w:t>
            </w:r>
          </w:p>
        </w:tc>
        <w:tc>
          <w:tcPr>
            <w:tcW w:w="2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10-K for the year 1999</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7"/>
              </w:rPr>
              <w:t>Schlumberger 1994 Stock Option Plan – Third Amendment incorporated by reference</w:t>
            </w:r>
          </w:p>
        </w:tc>
        <w:tc>
          <w:tcPr>
            <w:tcW w:w="2800" w:type="dxa"/>
            <w:vAlign w:val="bottom"/>
          </w:tcPr>
          <w:p>
            <w:pPr>
              <w:ind w:left="440"/>
              <w:spacing w:after="0"/>
              <w:rPr>
                <w:sz w:val="20"/>
                <w:szCs w:val="20"/>
                <w:color w:val="auto"/>
              </w:rPr>
            </w:pPr>
            <w:r>
              <w:rPr>
                <w:rFonts w:ascii="Arial" w:cs="Arial" w:eastAsia="Arial" w:hAnsi="Arial"/>
                <w:sz w:val="18"/>
                <w:szCs w:val="18"/>
                <w:color w:val="auto"/>
              </w:rPr>
              <w:t>10(c)</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to Exhibit 10(c) to Form 10-K for the year 1999</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7"/>
              </w:rPr>
              <w:t>Schlumberger Limited Supplementary Benefit Plan, as amended, on January 1, 1995,</w:t>
            </w:r>
          </w:p>
        </w:tc>
        <w:tc>
          <w:tcPr>
            <w:tcW w:w="2800" w:type="dxa"/>
            <w:vAlign w:val="bottom"/>
          </w:tcPr>
          <w:p>
            <w:pPr>
              <w:ind w:left="440"/>
              <w:spacing w:after="0"/>
              <w:rPr>
                <w:sz w:val="20"/>
                <w:szCs w:val="20"/>
                <w:color w:val="auto"/>
              </w:rPr>
            </w:pPr>
            <w:r>
              <w:rPr>
                <w:rFonts w:ascii="Arial" w:cs="Arial" w:eastAsia="Arial" w:hAnsi="Arial"/>
                <w:sz w:val="18"/>
                <w:szCs w:val="18"/>
                <w:color w:val="auto"/>
              </w:rPr>
              <w:t>10(d)</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incorporated by reference to Exhibit 10(b) to Form 10-K for 1996</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8"/>
              </w:rPr>
              <w:t>Schlumberger 1989 Stock Incentive Plan, as amended, incorporated by reference to</w:t>
            </w:r>
          </w:p>
        </w:tc>
        <w:tc>
          <w:tcPr>
            <w:tcW w:w="2800" w:type="dxa"/>
            <w:vAlign w:val="bottom"/>
          </w:tcPr>
          <w:p>
            <w:pPr>
              <w:ind w:left="440"/>
              <w:spacing w:after="0"/>
              <w:rPr>
                <w:sz w:val="20"/>
                <w:szCs w:val="20"/>
                <w:color w:val="auto"/>
              </w:rPr>
            </w:pPr>
            <w:r>
              <w:rPr>
                <w:rFonts w:ascii="Arial" w:cs="Arial" w:eastAsia="Arial" w:hAnsi="Arial"/>
                <w:sz w:val="18"/>
                <w:szCs w:val="18"/>
                <w:color w:val="auto"/>
              </w:rPr>
              <w:t>10(e)</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Exhibit 10(c) to Form 10-K for year 1995</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4"/>
              </w:rPr>
              <w:t>Schlumberger 1989 Stock Incentive Plan – Third Amendment incorporated by reference</w:t>
            </w:r>
          </w:p>
        </w:tc>
        <w:tc>
          <w:tcPr>
            <w:tcW w:w="2800" w:type="dxa"/>
            <w:vAlign w:val="bottom"/>
          </w:tcPr>
          <w:p>
            <w:pPr>
              <w:ind w:left="440"/>
              <w:spacing w:after="0"/>
              <w:rPr>
                <w:sz w:val="20"/>
                <w:szCs w:val="20"/>
                <w:color w:val="auto"/>
              </w:rPr>
            </w:pPr>
            <w:r>
              <w:rPr>
                <w:rFonts w:ascii="Arial" w:cs="Arial" w:eastAsia="Arial" w:hAnsi="Arial"/>
                <w:sz w:val="18"/>
                <w:szCs w:val="18"/>
                <w:color w:val="auto"/>
              </w:rPr>
              <w:t>10(f)</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to Exhibit 10(f) to Form 10-K for the year 1999</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8"/>
              </w:rPr>
              <w:t>Schlumberger Restoration Savings Plan, incorporated by reference to Exhibit 10(f) to</w:t>
            </w:r>
          </w:p>
        </w:tc>
        <w:tc>
          <w:tcPr>
            <w:tcW w:w="2800" w:type="dxa"/>
            <w:vAlign w:val="bottom"/>
          </w:tcPr>
          <w:p>
            <w:pPr>
              <w:ind w:left="440"/>
              <w:spacing w:after="0"/>
              <w:rPr>
                <w:sz w:val="20"/>
                <w:szCs w:val="20"/>
                <w:color w:val="auto"/>
              </w:rPr>
            </w:pPr>
            <w:r>
              <w:rPr>
                <w:rFonts w:ascii="Arial" w:cs="Arial" w:eastAsia="Arial" w:hAnsi="Arial"/>
                <w:sz w:val="18"/>
                <w:szCs w:val="18"/>
                <w:color w:val="auto"/>
              </w:rPr>
              <w:t>10(g)</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Form 10-K for year 1995</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9"/>
              </w:rPr>
              <w:t>Schlumberger 1998 Stock Option Plan, incorporated by reference to Exhibit 10(g) to</w:t>
            </w:r>
          </w:p>
        </w:tc>
        <w:tc>
          <w:tcPr>
            <w:tcW w:w="2800" w:type="dxa"/>
            <w:vAlign w:val="bottom"/>
          </w:tcPr>
          <w:p>
            <w:pPr>
              <w:ind w:left="440"/>
              <w:spacing w:after="0"/>
              <w:rPr>
                <w:sz w:val="20"/>
                <w:szCs w:val="20"/>
                <w:color w:val="auto"/>
              </w:rPr>
            </w:pPr>
            <w:r>
              <w:rPr>
                <w:rFonts w:ascii="Arial" w:cs="Arial" w:eastAsia="Arial" w:hAnsi="Arial"/>
                <w:sz w:val="18"/>
                <w:szCs w:val="18"/>
                <w:color w:val="auto"/>
              </w:rPr>
              <w:t>10(h)</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Form 10-K for year 1997</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5"/>
              </w:rPr>
              <w:t>Schlumberger 1998 Stock Option Plan – First Amendment incorporated by reference to</w:t>
            </w:r>
          </w:p>
        </w:tc>
        <w:tc>
          <w:tcPr>
            <w:tcW w:w="2800" w:type="dxa"/>
            <w:vAlign w:val="bottom"/>
          </w:tcPr>
          <w:p>
            <w:pPr>
              <w:ind w:left="440"/>
              <w:spacing w:after="0"/>
              <w:rPr>
                <w:sz w:val="20"/>
                <w:szCs w:val="20"/>
                <w:color w:val="auto"/>
              </w:rPr>
            </w:pPr>
            <w:r>
              <w:rPr>
                <w:rFonts w:ascii="Arial" w:cs="Arial" w:eastAsia="Arial" w:hAnsi="Arial"/>
                <w:sz w:val="18"/>
                <w:szCs w:val="18"/>
                <w:color w:val="auto"/>
              </w:rPr>
              <w:t>10(i)</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Exhibit 10(i) to Form 10-K for the year 1999</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rPr>
              <w:t>1997 Long-Term Incentive Plan of Camco International Inc.;</w:t>
            </w:r>
          </w:p>
        </w:tc>
        <w:tc>
          <w:tcPr>
            <w:tcW w:w="2800" w:type="dxa"/>
            <w:vAlign w:val="bottom"/>
          </w:tcPr>
          <w:p>
            <w:pPr>
              <w:ind w:left="440"/>
              <w:spacing w:after="0"/>
              <w:rPr>
                <w:sz w:val="20"/>
                <w:szCs w:val="20"/>
                <w:color w:val="auto"/>
              </w:rPr>
            </w:pPr>
            <w:r>
              <w:rPr>
                <w:rFonts w:ascii="Arial" w:cs="Arial" w:eastAsia="Arial" w:hAnsi="Arial"/>
                <w:sz w:val="18"/>
                <w:szCs w:val="18"/>
                <w:color w:val="auto"/>
              </w:rPr>
              <w:t>10(j)</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Long-Term Incentive Plan of Camco International Inc.;</w:t>
            </w:r>
          </w:p>
        </w:tc>
        <w:tc>
          <w:tcPr>
            <w:tcW w:w="2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Production Operators Corp. 1992 Long-Term Incentive Plan;</w:t>
            </w:r>
          </w:p>
        </w:tc>
        <w:tc>
          <w:tcPr>
            <w:tcW w:w="2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Camco 1996 Savings Related Share Option Scheme;</w:t>
            </w:r>
          </w:p>
        </w:tc>
        <w:tc>
          <w:tcPr>
            <w:tcW w:w="2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w w:val="97"/>
              </w:rPr>
              <w:t>Camco International Inc. Amended and Restated Stock Option Plan for Nonemployee</w:t>
            </w:r>
          </w:p>
        </w:tc>
        <w:tc>
          <w:tcPr>
            <w:tcW w:w="2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Directors;</w:t>
            </w:r>
          </w:p>
        </w:tc>
        <w:tc>
          <w:tcPr>
            <w:tcW w:w="2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incorporated by reference to Exhibit 10 to Form S-8 of August 31, 1998</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6"/>
              </w:rPr>
              <w:t>Schlumberger 2001 Stock Option Plan, incorporated by reference to Form 10-Q for the</w:t>
            </w:r>
          </w:p>
        </w:tc>
        <w:tc>
          <w:tcPr>
            <w:tcW w:w="2800" w:type="dxa"/>
            <w:vAlign w:val="bottom"/>
          </w:tcPr>
          <w:p>
            <w:pPr>
              <w:ind w:left="440"/>
              <w:spacing w:after="0"/>
              <w:rPr>
                <w:sz w:val="20"/>
                <w:szCs w:val="20"/>
                <w:color w:val="auto"/>
              </w:rPr>
            </w:pPr>
            <w:r>
              <w:rPr>
                <w:rFonts w:ascii="Arial" w:cs="Arial" w:eastAsia="Arial" w:hAnsi="Arial"/>
                <w:sz w:val="18"/>
                <w:szCs w:val="18"/>
                <w:color w:val="auto"/>
              </w:rPr>
              <w:t>10(k)</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period ended March 31, 2001</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0"/>
                <w:szCs w:val="20"/>
                <w:color w:val="auto"/>
              </w:rPr>
            </w:pPr>
            <w:r>
              <w:rPr>
                <w:rFonts w:ascii="Arial" w:cs="Arial" w:eastAsia="Arial" w:hAnsi="Arial"/>
                <w:sz w:val="18"/>
                <w:szCs w:val="18"/>
                <w:color w:val="auto"/>
                <w:w w:val="99"/>
              </w:rPr>
              <w:t>Schlumberger Stock and Deferral Plan for Non-Employee Directors, incorporated by</w:t>
            </w:r>
          </w:p>
        </w:tc>
        <w:tc>
          <w:tcPr>
            <w:tcW w:w="2800" w:type="dxa"/>
            <w:vAlign w:val="bottom"/>
          </w:tcPr>
          <w:p>
            <w:pPr>
              <w:ind w:left="440"/>
              <w:spacing w:after="0"/>
              <w:rPr>
                <w:sz w:val="20"/>
                <w:szCs w:val="20"/>
                <w:color w:val="auto"/>
              </w:rPr>
            </w:pPr>
            <w:r>
              <w:rPr>
                <w:rFonts w:ascii="Arial" w:cs="Arial" w:eastAsia="Arial" w:hAnsi="Arial"/>
                <w:sz w:val="18"/>
                <w:szCs w:val="18"/>
                <w:color w:val="auto"/>
              </w:rPr>
              <w:t>10(l)</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reference to Exhibit 10(l) to Form 10-K for the year 2001</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0"/>
                <w:szCs w:val="20"/>
                <w:color w:val="auto"/>
              </w:rPr>
            </w:pPr>
            <w:r>
              <w:rPr>
                <w:rFonts w:ascii="Arial" w:cs="Arial" w:eastAsia="Arial" w:hAnsi="Arial"/>
                <w:sz w:val="18"/>
                <w:szCs w:val="18"/>
                <w:color w:val="auto"/>
              </w:rPr>
              <w:t>Subsidiaries</w:t>
            </w:r>
          </w:p>
        </w:tc>
        <w:tc>
          <w:tcPr>
            <w:tcW w:w="2800" w:type="dxa"/>
            <w:vAlign w:val="bottom"/>
          </w:tcPr>
          <w:p>
            <w:pPr>
              <w:ind w:left="440"/>
              <w:spacing w:after="0"/>
              <w:rPr>
                <w:sz w:val="20"/>
                <w:szCs w:val="20"/>
                <w:color w:val="auto"/>
              </w:rPr>
            </w:pPr>
            <w:r>
              <w:rPr>
                <w:rFonts w:ascii="Arial" w:cs="Arial" w:eastAsia="Arial" w:hAnsi="Arial"/>
                <w:sz w:val="18"/>
                <w:szCs w:val="18"/>
                <w:color w:val="auto"/>
              </w:rPr>
              <w:t>21</w:t>
            </w:r>
          </w:p>
        </w:tc>
        <w:tc>
          <w:tcPr>
            <w:tcW w:w="1980" w:type="dxa"/>
            <w:vAlign w:val="bottom"/>
          </w:tcPr>
          <w:p>
            <w:pPr>
              <w:ind w:left="1800"/>
              <w:spacing w:after="0"/>
              <w:rPr>
                <w:sz w:val="20"/>
                <w:szCs w:val="20"/>
                <w:color w:val="auto"/>
              </w:rPr>
            </w:pPr>
            <w:r>
              <w:rPr>
                <w:rFonts w:ascii="Arial" w:cs="Arial" w:eastAsia="Arial" w:hAnsi="Arial"/>
                <w:sz w:val="18"/>
                <w:szCs w:val="18"/>
                <w:color w:val="auto"/>
                <w:w w:val="79"/>
              </w:rPr>
              <w:t>79</w:t>
            </w: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0"/>
                <w:szCs w:val="20"/>
                <w:color w:val="auto"/>
              </w:rPr>
            </w:pPr>
            <w:r>
              <w:rPr>
                <w:rFonts w:ascii="Arial" w:cs="Arial" w:eastAsia="Arial" w:hAnsi="Arial"/>
                <w:sz w:val="18"/>
                <w:szCs w:val="18"/>
                <w:color w:val="auto"/>
              </w:rPr>
              <w:t>Consent of Independent Accountants</w:t>
            </w:r>
          </w:p>
        </w:tc>
        <w:tc>
          <w:tcPr>
            <w:tcW w:w="2800" w:type="dxa"/>
            <w:vAlign w:val="bottom"/>
          </w:tcPr>
          <w:p>
            <w:pPr>
              <w:ind w:left="440"/>
              <w:spacing w:after="0"/>
              <w:rPr>
                <w:sz w:val="20"/>
                <w:szCs w:val="20"/>
                <w:color w:val="auto"/>
              </w:rPr>
            </w:pPr>
            <w:r>
              <w:rPr>
                <w:rFonts w:ascii="Arial" w:cs="Arial" w:eastAsia="Arial" w:hAnsi="Arial"/>
                <w:sz w:val="18"/>
                <w:szCs w:val="18"/>
                <w:color w:val="auto"/>
              </w:rPr>
              <w:t>23</w:t>
            </w:r>
          </w:p>
        </w:tc>
        <w:tc>
          <w:tcPr>
            <w:tcW w:w="1980" w:type="dxa"/>
            <w:vAlign w:val="bottom"/>
          </w:tcPr>
          <w:p>
            <w:pPr>
              <w:ind w:left="1800"/>
              <w:spacing w:after="0"/>
              <w:rPr>
                <w:sz w:val="20"/>
                <w:szCs w:val="20"/>
                <w:color w:val="auto"/>
              </w:rPr>
            </w:pPr>
            <w:r>
              <w:rPr>
                <w:rFonts w:ascii="Arial" w:cs="Arial" w:eastAsia="Arial" w:hAnsi="Arial"/>
                <w:sz w:val="18"/>
                <w:szCs w:val="18"/>
                <w:color w:val="auto"/>
                <w:w w:val="79"/>
              </w:rPr>
              <w:t>80</w:t>
            </w:r>
          </w:p>
        </w:tc>
        <w:tc>
          <w:tcPr>
            <w:tcW w:w="0" w:type="dxa"/>
            <w:vAlign w:val="bottom"/>
          </w:tcPr>
          <w:p>
            <w:pPr>
              <w:spacing w:after="0"/>
              <w:rPr>
                <w:sz w:val="1"/>
                <w:szCs w:val="1"/>
                <w:color w:val="auto"/>
              </w:rPr>
            </w:pPr>
          </w:p>
        </w:tc>
      </w:tr>
      <w:tr>
        <w:trPr>
          <w:trHeight w:val="365"/>
        </w:trPr>
        <w:tc>
          <w:tcPr>
            <w:tcW w:w="6640" w:type="dxa"/>
            <w:vAlign w:val="bottom"/>
          </w:tcPr>
          <w:p>
            <w:pPr>
              <w:ind w:left="5620"/>
              <w:spacing w:after="0"/>
              <w:rPr>
                <w:sz w:val="20"/>
                <w:szCs w:val="20"/>
                <w:color w:val="auto"/>
              </w:rPr>
            </w:pPr>
            <w:r>
              <w:rPr>
                <w:rFonts w:ascii="Arial" w:cs="Arial" w:eastAsia="Arial" w:hAnsi="Arial"/>
                <w:sz w:val="18"/>
                <w:szCs w:val="18"/>
                <w:color w:val="auto"/>
              </w:rPr>
              <w:t>77</w:t>
            </w: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Powers of Attorney</w:t>
            </w:r>
          </w:p>
        </w:tc>
        <w:tc>
          <w:tcPr>
            <w:tcW w:w="3440" w:type="dxa"/>
            <w:vAlign w:val="bottom"/>
          </w:tcPr>
          <w:p>
            <w:pPr>
              <w:ind w:left="760"/>
              <w:spacing w:after="0"/>
              <w:rPr>
                <w:sz w:val="20"/>
                <w:szCs w:val="20"/>
                <w:color w:val="auto"/>
              </w:rPr>
            </w:pPr>
            <w:r>
              <w:rPr>
                <w:rFonts w:ascii="Arial" w:cs="Arial" w:eastAsia="Arial" w:hAnsi="Arial"/>
                <w:sz w:val="18"/>
                <w:szCs w:val="18"/>
                <w:color w:val="auto"/>
              </w:rPr>
              <w:t>dated:</w:t>
            </w:r>
          </w:p>
        </w:tc>
        <w:tc>
          <w:tcPr>
            <w:tcW w:w="2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980" w:type="dxa"/>
            <w:vAlign w:val="bottom"/>
          </w:tcPr>
          <w:p>
            <w:pPr>
              <w:spacing w:after="0"/>
              <w:rPr>
                <w:sz w:val="20"/>
                <w:szCs w:val="20"/>
                <w:color w:val="auto"/>
              </w:rPr>
            </w:pPr>
            <w:r>
              <w:rPr>
                <w:rFonts w:ascii="Arial" w:cs="Arial" w:eastAsia="Arial" w:hAnsi="Arial"/>
                <w:sz w:val="18"/>
                <w:szCs w:val="18"/>
                <w:color w:val="auto"/>
              </w:rPr>
              <w:t>INDEX TO EXHIBITS</w:t>
            </w:r>
          </w:p>
        </w:tc>
        <w:tc>
          <w:tcPr>
            <w:tcW w:w="3440" w:type="dxa"/>
            <w:vAlign w:val="bottom"/>
          </w:tcPr>
          <w:p>
            <w:pPr>
              <w:spacing w:after="0"/>
              <w:rPr>
                <w:sz w:val="24"/>
                <w:szCs w:val="24"/>
                <w:color w:val="auto"/>
              </w:rPr>
            </w:pPr>
          </w:p>
        </w:tc>
        <w:tc>
          <w:tcPr>
            <w:tcW w:w="2520" w:type="dxa"/>
            <w:vAlign w:val="bottom"/>
            <w:vMerge w:val="restart"/>
          </w:tcPr>
          <w:p>
            <w:pPr>
              <w:ind w:left="1880"/>
              <w:spacing w:after="0"/>
              <w:rPr>
                <w:sz w:val="20"/>
                <w:szCs w:val="20"/>
                <w:color w:val="auto"/>
              </w:rPr>
            </w:pPr>
            <w:r>
              <w:rPr>
                <w:rFonts w:ascii="Arial" w:cs="Arial" w:eastAsia="Arial" w:hAnsi="Arial"/>
                <w:sz w:val="18"/>
                <w:szCs w:val="18"/>
                <w:color w:val="auto"/>
              </w:rPr>
              <w:t>Exhibit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D. Euan Baird</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72"/>
              <w:spacing w:after="0"/>
              <w:rPr>
                <w:sz w:val="20"/>
                <w:szCs w:val="20"/>
                <w:color w:val="auto"/>
              </w:rPr>
            </w:pPr>
            <w:r>
              <w:rPr>
                <w:rFonts w:ascii="Arial" w:cs="Arial" w:eastAsia="Arial" w:hAnsi="Arial"/>
                <w:sz w:val="18"/>
                <w:szCs w:val="18"/>
                <w:color w:val="auto"/>
                <w:w w:val="85"/>
              </w:rPr>
              <w:t>24(a)</w:t>
            </w: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John Deutch</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92"/>
              <w:spacing w:after="0"/>
              <w:rPr>
                <w:sz w:val="20"/>
                <w:szCs w:val="20"/>
                <w:color w:val="auto"/>
              </w:rPr>
            </w:pPr>
            <w:r>
              <w:rPr>
                <w:rFonts w:ascii="Arial" w:cs="Arial" w:eastAsia="Arial" w:hAnsi="Arial"/>
                <w:sz w:val="18"/>
                <w:szCs w:val="18"/>
                <w:color w:val="auto"/>
                <w:w w:val="90"/>
              </w:rPr>
              <w:t>24(b)</w:t>
            </w: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Jamie S. Gorelick</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72"/>
              <w:spacing w:after="0"/>
              <w:rPr>
                <w:sz w:val="20"/>
                <w:szCs w:val="20"/>
                <w:color w:val="auto"/>
              </w:rPr>
            </w:pPr>
            <w:r>
              <w:rPr>
                <w:rFonts w:ascii="Arial" w:cs="Arial" w:eastAsia="Arial" w:hAnsi="Arial"/>
                <w:sz w:val="18"/>
                <w:szCs w:val="18"/>
                <w:color w:val="auto"/>
                <w:w w:val="87"/>
              </w:rPr>
              <w:t>24(c)</w:t>
            </w: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Andrew Gould</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92"/>
              <w:spacing w:after="0"/>
              <w:rPr>
                <w:sz w:val="20"/>
                <w:szCs w:val="20"/>
                <w:color w:val="auto"/>
              </w:rPr>
            </w:pPr>
            <w:r>
              <w:rPr>
                <w:rFonts w:ascii="Arial" w:cs="Arial" w:eastAsia="Arial" w:hAnsi="Arial"/>
                <w:sz w:val="18"/>
                <w:szCs w:val="18"/>
                <w:color w:val="auto"/>
                <w:w w:val="90"/>
              </w:rPr>
              <w:t>24(d)</w:t>
            </w: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Andrew Gould</w:t>
            </w:r>
          </w:p>
        </w:tc>
        <w:tc>
          <w:tcPr>
            <w:tcW w:w="3440" w:type="dxa"/>
            <w:vAlign w:val="bottom"/>
          </w:tcPr>
          <w:p>
            <w:pPr>
              <w:ind w:left="280"/>
              <w:spacing w:after="0"/>
              <w:rPr>
                <w:sz w:val="20"/>
                <w:szCs w:val="20"/>
                <w:color w:val="auto"/>
              </w:rPr>
            </w:pPr>
            <w:r>
              <w:rPr>
                <w:rFonts w:ascii="Arial" w:cs="Arial" w:eastAsia="Arial" w:hAnsi="Arial"/>
                <w:sz w:val="18"/>
                <w:szCs w:val="18"/>
                <w:color w:val="auto"/>
              </w:rPr>
              <w:t>February 20, 2003</w:t>
            </w:r>
          </w:p>
        </w:tc>
        <w:tc>
          <w:tcPr>
            <w:tcW w:w="2520" w:type="dxa"/>
            <w:vAlign w:val="bottom"/>
          </w:tcPr>
          <w:p>
            <w:pPr>
              <w:jc w:val="center"/>
              <w:ind w:left="1672"/>
              <w:spacing w:after="0"/>
              <w:rPr>
                <w:sz w:val="20"/>
                <w:szCs w:val="20"/>
                <w:color w:val="auto"/>
              </w:rPr>
            </w:pPr>
            <w:r>
              <w:rPr>
                <w:rFonts w:ascii="Arial" w:cs="Arial" w:eastAsia="Arial" w:hAnsi="Arial"/>
                <w:sz w:val="18"/>
                <w:szCs w:val="18"/>
                <w:color w:val="auto"/>
                <w:w w:val="85"/>
              </w:rPr>
              <w:t>24(e)</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Adrian Lajous</w:t>
            </w:r>
          </w:p>
        </w:tc>
        <w:tc>
          <w:tcPr>
            <w:tcW w:w="3440" w:type="dxa"/>
            <w:vAlign w:val="bottom"/>
          </w:tcPr>
          <w:p>
            <w:pPr>
              <w:ind w:left="280"/>
              <w:spacing w:after="0"/>
              <w:rPr>
                <w:sz w:val="20"/>
                <w:szCs w:val="20"/>
                <w:color w:val="auto"/>
              </w:rPr>
            </w:pPr>
            <w:r>
              <w:rPr>
                <w:rFonts w:ascii="Arial" w:cs="Arial" w:eastAsia="Arial" w:hAnsi="Arial"/>
                <w:sz w:val="18"/>
                <w:szCs w:val="18"/>
                <w:color w:val="auto"/>
              </w:rPr>
              <w:t>February 7, 2003</w:t>
            </w:r>
          </w:p>
        </w:tc>
        <w:tc>
          <w:tcPr>
            <w:tcW w:w="2520" w:type="dxa"/>
            <w:vAlign w:val="bottom"/>
          </w:tcPr>
          <w:p>
            <w:pPr>
              <w:jc w:val="center"/>
              <w:ind w:left="1672"/>
              <w:spacing w:after="0"/>
              <w:rPr>
                <w:sz w:val="20"/>
                <w:szCs w:val="20"/>
                <w:color w:val="auto"/>
              </w:rPr>
            </w:pPr>
            <w:r>
              <w:rPr>
                <w:rFonts w:ascii="Arial" w:cs="Arial" w:eastAsia="Arial" w:hAnsi="Arial"/>
                <w:sz w:val="18"/>
                <w:szCs w:val="18"/>
                <w:color w:val="auto"/>
                <w:w w:val="97"/>
              </w:rPr>
              <w:t>24(f)</w:t>
            </w: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André Lévy-Lang</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92"/>
              <w:spacing w:after="0"/>
              <w:rPr>
                <w:sz w:val="20"/>
                <w:szCs w:val="20"/>
                <w:color w:val="auto"/>
              </w:rPr>
            </w:pPr>
            <w:r>
              <w:rPr>
                <w:rFonts w:ascii="Arial" w:cs="Arial" w:eastAsia="Arial" w:hAnsi="Arial"/>
                <w:sz w:val="18"/>
                <w:szCs w:val="18"/>
                <w:color w:val="auto"/>
                <w:w w:val="90"/>
              </w:rPr>
              <w:t>24(g)</w:t>
            </w: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William T. McCormick, Jr.</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92"/>
              <w:spacing w:after="0"/>
              <w:rPr>
                <w:sz w:val="20"/>
                <w:szCs w:val="20"/>
                <w:color w:val="auto"/>
              </w:rPr>
            </w:pPr>
            <w:r>
              <w:rPr>
                <w:rFonts w:ascii="Arial" w:cs="Arial" w:eastAsia="Arial" w:hAnsi="Arial"/>
                <w:sz w:val="18"/>
                <w:szCs w:val="18"/>
                <w:color w:val="auto"/>
                <w:w w:val="90"/>
              </w:rPr>
              <w:t>24(h)</w:t>
            </w: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Didier Primat</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24, 2003</w:t>
            </w:r>
          </w:p>
        </w:tc>
        <w:tc>
          <w:tcPr>
            <w:tcW w:w="2520" w:type="dxa"/>
            <w:vAlign w:val="bottom"/>
          </w:tcPr>
          <w:p>
            <w:pPr>
              <w:jc w:val="center"/>
              <w:ind w:left="1692"/>
              <w:spacing w:after="0"/>
              <w:rPr>
                <w:sz w:val="20"/>
                <w:szCs w:val="20"/>
                <w:color w:val="auto"/>
              </w:rPr>
            </w:pPr>
            <w:r>
              <w:rPr>
                <w:rFonts w:ascii="Arial" w:cs="Arial" w:eastAsia="Arial" w:hAnsi="Arial"/>
                <w:sz w:val="18"/>
                <w:szCs w:val="18"/>
                <w:color w:val="auto"/>
                <w:w w:val="94"/>
              </w:rPr>
              <w:t>24(i)</w:t>
            </w: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Nicolas Seydoux</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92"/>
              <w:spacing w:after="0"/>
              <w:rPr>
                <w:sz w:val="20"/>
                <w:szCs w:val="20"/>
                <w:color w:val="auto"/>
              </w:rPr>
            </w:pPr>
            <w:r>
              <w:rPr>
                <w:rFonts w:ascii="Arial" w:cs="Arial" w:eastAsia="Arial" w:hAnsi="Arial"/>
                <w:sz w:val="18"/>
                <w:szCs w:val="18"/>
                <w:color w:val="auto"/>
                <w:w w:val="94"/>
              </w:rPr>
              <w:t>24(j)</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Linda G. Stuntz</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92"/>
              <w:spacing w:after="0"/>
              <w:rPr>
                <w:sz w:val="20"/>
                <w:szCs w:val="20"/>
                <w:color w:val="auto"/>
              </w:rPr>
            </w:pPr>
            <w:r>
              <w:rPr>
                <w:rFonts w:ascii="Arial" w:cs="Arial" w:eastAsia="Arial" w:hAnsi="Arial"/>
                <w:sz w:val="18"/>
                <w:szCs w:val="18"/>
                <w:color w:val="auto"/>
                <w:w w:val="92"/>
              </w:rPr>
              <w:t>24(k)</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4980" w:type="dxa"/>
            <w:vAlign w:val="bottom"/>
          </w:tcPr>
          <w:p>
            <w:pPr>
              <w:ind w:left="200"/>
              <w:spacing w:after="0"/>
              <w:rPr>
                <w:sz w:val="20"/>
                <w:szCs w:val="20"/>
                <w:color w:val="auto"/>
              </w:rPr>
            </w:pPr>
            <w:r>
              <w:rPr>
                <w:rFonts w:ascii="Arial" w:cs="Arial" w:eastAsia="Arial" w:hAnsi="Arial"/>
                <w:sz w:val="18"/>
                <w:szCs w:val="18"/>
                <w:color w:val="auto"/>
              </w:rPr>
              <w:t>Sven Ullring</w:t>
            </w:r>
          </w:p>
        </w:tc>
        <w:tc>
          <w:tcPr>
            <w:tcW w:w="3440" w:type="dxa"/>
            <w:vAlign w:val="bottom"/>
          </w:tcPr>
          <w:p>
            <w:pPr>
              <w:ind w:left="280"/>
              <w:spacing w:after="0"/>
              <w:rPr>
                <w:sz w:val="20"/>
                <w:szCs w:val="20"/>
                <w:color w:val="auto"/>
              </w:rPr>
            </w:pPr>
            <w:r>
              <w:rPr>
                <w:rFonts w:ascii="Arial" w:cs="Arial" w:eastAsia="Arial" w:hAnsi="Arial"/>
                <w:sz w:val="18"/>
                <w:szCs w:val="18"/>
                <w:color w:val="auto"/>
              </w:rPr>
              <w:t>January 16, 2003</w:t>
            </w:r>
          </w:p>
        </w:tc>
        <w:tc>
          <w:tcPr>
            <w:tcW w:w="2520" w:type="dxa"/>
            <w:vAlign w:val="bottom"/>
          </w:tcPr>
          <w:p>
            <w:pPr>
              <w:jc w:val="center"/>
              <w:ind w:left="1692"/>
              <w:spacing w:after="0"/>
              <w:rPr>
                <w:sz w:val="20"/>
                <w:szCs w:val="20"/>
                <w:color w:val="auto"/>
              </w:rPr>
            </w:pPr>
            <w:r>
              <w:rPr>
                <w:rFonts w:ascii="Arial" w:cs="Arial" w:eastAsia="Arial" w:hAnsi="Arial"/>
                <w:sz w:val="18"/>
                <w:szCs w:val="18"/>
                <w:color w:val="auto"/>
                <w:w w:val="94"/>
              </w:rPr>
              <w:t>24(l)</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Additional Exhibits:</w:t>
            </w:r>
          </w:p>
        </w:tc>
        <w:tc>
          <w:tcPr>
            <w:tcW w:w="3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00"/>
              <w:spacing w:after="0"/>
              <w:rPr>
                <w:sz w:val="20"/>
                <w:szCs w:val="20"/>
                <w:color w:val="auto"/>
              </w:rPr>
            </w:pPr>
            <w:r>
              <w:rPr>
                <w:rFonts w:ascii="Arial" w:cs="Arial" w:eastAsia="Arial" w:hAnsi="Arial"/>
                <w:sz w:val="18"/>
                <w:szCs w:val="18"/>
                <w:color w:val="auto"/>
                <w:w w:val="93"/>
              </w:rPr>
              <w:t>Certification Pursuant to 18 U.S.C. Section 1350, as Adopted</w:t>
            </w:r>
          </w:p>
        </w:tc>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Pr>
          <w:p>
            <w:pPr>
              <w:ind w:left="400"/>
              <w:spacing w:after="0"/>
              <w:rPr>
                <w:sz w:val="20"/>
                <w:szCs w:val="20"/>
                <w:color w:val="auto"/>
              </w:rPr>
            </w:pPr>
            <w:r>
              <w:rPr>
                <w:rFonts w:ascii="Arial" w:cs="Arial" w:eastAsia="Arial" w:hAnsi="Arial"/>
                <w:sz w:val="18"/>
                <w:szCs w:val="18"/>
                <w:color w:val="auto"/>
                <w:w w:val="96"/>
              </w:rPr>
              <w:t>Pursuant to Section 906 of the Sarbanes-Oxley Act of 2002</w:t>
            </w:r>
          </w:p>
        </w:tc>
        <w:tc>
          <w:tcPr>
            <w:tcW w:w="3440" w:type="dxa"/>
            <w:vAlign w:val="bottom"/>
          </w:tcPr>
          <w:p>
            <w:pPr>
              <w:spacing w:after="0"/>
              <w:rPr>
                <w:sz w:val="19"/>
                <w:szCs w:val="19"/>
                <w:color w:val="auto"/>
              </w:rPr>
            </w:pPr>
          </w:p>
        </w:tc>
        <w:tc>
          <w:tcPr>
            <w:tcW w:w="2520" w:type="dxa"/>
            <w:vAlign w:val="bottom"/>
          </w:tcPr>
          <w:p>
            <w:pPr>
              <w:jc w:val="center"/>
              <w:ind w:left="1672"/>
              <w:spacing w:after="0"/>
              <w:rPr>
                <w:sz w:val="20"/>
                <w:szCs w:val="20"/>
                <w:color w:val="auto"/>
              </w:rPr>
            </w:pPr>
            <w:r>
              <w:rPr>
                <w:rFonts w:ascii="Arial" w:cs="Arial" w:eastAsia="Arial" w:hAnsi="Arial"/>
                <w:sz w:val="18"/>
                <w:szCs w:val="18"/>
                <w:color w:val="auto"/>
                <w:w w:val="91"/>
              </w:rPr>
              <w:t>99.1</w:t>
            </w: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18"/>
        </w:trPr>
        <w:tc>
          <w:tcPr>
            <w:tcW w:w="4980" w:type="dxa"/>
            <w:vAlign w:val="bottom"/>
          </w:tcPr>
          <w:p>
            <w:pPr>
              <w:ind w:left="400"/>
              <w:spacing w:after="0"/>
              <w:rPr>
                <w:sz w:val="20"/>
                <w:szCs w:val="20"/>
                <w:color w:val="auto"/>
              </w:rPr>
            </w:pPr>
            <w:r>
              <w:rPr>
                <w:rFonts w:ascii="Arial" w:cs="Arial" w:eastAsia="Arial" w:hAnsi="Arial"/>
                <w:sz w:val="18"/>
                <w:szCs w:val="18"/>
                <w:color w:val="auto"/>
                <w:w w:val="93"/>
              </w:rPr>
              <w:t>Certification Pursuant to 18 U.S.C. Section 1350, as Adopted</w:t>
            </w:r>
          </w:p>
        </w:tc>
        <w:tc>
          <w:tcPr>
            <w:tcW w:w="3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80" w:type="dxa"/>
            <w:vAlign w:val="bottom"/>
          </w:tcPr>
          <w:p>
            <w:pPr>
              <w:ind w:left="400"/>
              <w:spacing w:after="0"/>
              <w:rPr>
                <w:sz w:val="20"/>
                <w:szCs w:val="20"/>
                <w:color w:val="auto"/>
              </w:rPr>
            </w:pPr>
            <w:r>
              <w:rPr>
                <w:rFonts w:ascii="Arial" w:cs="Arial" w:eastAsia="Arial" w:hAnsi="Arial"/>
                <w:sz w:val="18"/>
                <w:szCs w:val="18"/>
                <w:color w:val="auto"/>
                <w:w w:val="96"/>
              </w:rPr>
              <w:t>Pursuant to Section 906 of the Sarbanes-Oxley Act of 2002</w:t>
            </w:r>
          </w:p>
        </w:tc>
        <w:tc>
          <w:tcPr>
            <w:tcW w:w="3440" w:type="dxa"/>
            <w:vAlign w:val="bottom"/>
          </w:tcPr>
          <w:p>
            <w:pPr>
              <w:spacing w:after="0"/>
              <w:rPr>
                <w:sz w:val="19"/>
                <w:szCs w:val="19"/>
                <w:color w:val="auto"/>
              </w:rPr>
            </w:pPr>
          </w:p>
        </w:tc>
        <w:tc>
          <w:tcPr>
            <w:tcW w:w="2520" w:type="dxa"/>
            <w:vAlign w:val="bottom"/>
          </w:tcPr>
          <w:p>
            <w:pPr>
              <w:jc w:val="center"/>
              <w:ind w:left="1672"/>
              <w:spacing w:after="0"/>
              <w:rPr>
                <w:sz w:val="20"/>
                <w:szCs w:val="20"/>
                <w:color w:val="auto"/>
              </w:rPr>
            </w:pPr>
            <w:r>
              <w:rPr>
                <w:rFonts w:ascii="Arial" w:cs="Arial" w:eastAsia="Arial" w:hAnsi="Arial"/>
                <w:sz w:val="18"/>
                <w:szCs w:val="18"/>
                <w:color w:val="auto"/>
                <w:w w:val="91"/>
              </w:rPr>
              <w:t>99.2</w:t>
            </w: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24"/>
        </w:trPr>
        <w:tc>
          <w:tcPr>
            <w:tcW w:w="4980" w:type="dxa"/>
            <w:vAlign w:val="bottom"/>
          </w:tcPr>
          <w:p>
            <w:pPr>
              <w:ind w:left="400"/>
              <w:spacing w:after="0"/>
              <w:rPr>
                <w:sz w:val="20"/>
                <w:szCs w:val="20"/>
                <w:color w:val="auto"/>
              </w:rPr>
            </w:pPr>
            <w:r>
              <w:rPr>
                <w:rFonts w:ascii="Arial" w:cs="Arial" w:eastAsia="Arial" w:hAnsi="Arial"/>
                <w:sz w:val="18"/>
                <w:szCs w:val="18"/>
                <w:color w:val="auto"/>
              </w:rPr>
              <w:t>Form S-8 Undertakings</w:t>
            </w:r>
          </w:p>
        </w:tc>
        <w:tc>
          <w:tcPr>
            <w:tcW w:w="3440" w:type="dxa"/>
            <w:vAlign w:val="bottom"/>
          </w:tcPr>
          <w:p>
            <w:pPr>
              <w:spacing w:after="0"/>
              <w:rPr>
                <w:sz w:val="24"/>
                <w:szCs w:val="24"/>
                <w:color w:val="auto"/>
              </w:rPr>
            </w:pPr>
          </w:p>
        </w:tc>
        <w:tc>
          <w:tcPr>
            <w:tcW w:w="2520" w:type="dxa"/>
            <w:vAlign w:val="bottom"/>
          </w:tcPr>
          <w:p>
            <w:pPr>
              <w:jc w:val="center"/>
              <w:ind w:left="1672"/>
              <w:spacing w:after="0"/>
              <w:rPr>
                <w:sz w:val="20"/>
                <w:szCs w:val="20"/>
                <w:color w:val="auto"/>
              </w:rPr>
            </w:pPr>
            <w:r>
              <w:rPr>
                <w:rFonts w:ascii="Arial" w:cs="Arial" w:eastAsia="Arial" w:hAnsi="Arial"/>
                <w:sz w:val="18"/>
                <w:szCs w:val="18"/>
                <w:color w:val="auto"/>
                <w:w w:val="91"/>
              </w:rPr>
              <w:t>99.3</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65"/>
        </w:trPr>
        <w:tc>
          <w:tcPr>
            <w:tcW w:w="4980" w:type="dxa"/>
            <w:vAlign w:val="bottom"/>
          </w:tcPr>
          <w:p>
            <w:pPr>
              <w:spacing w:after="0"/>
              <w:rPr>
                <w:sz w:val="24"/>
                <w:szCs w:val="24"/>
                <w:color w:val="auto"/>
              </w:rPr>
            </w:pPr>
          </w:p>
        </w:tc>
        <w:tc>
          <w:tcPr>
            <w:tcW w:w="3440" w:type="dxa"/>
            <w:vAlign w:val="bottom"/>
          </w:tcPr>
          <w:p>
            <w:pPr>
              <w:ind w:left="640"/>
              <w:spacing w:after="0"/>
              <w:rPr>
                <w:sz w:val="20"/>
                <w:szCs w:val="20"/>
                <w:color w:val="auto"/>
              </w:rPr>
            </w:pPr>
            <w:r>
              <w:rPr>
                <w:rFonts w:ascii="Arial" w:cs="Arial" w:eastAsia="Arial" w:hAnsi="Arial"/>
                <w:sz w:val="18"/>
                <w:szCs w:val="18"/>
                <w:color w:val="auto"/>
              </w:rPr>
              <w:t>78</w:t>
            </w: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line="1" w:lineRule="exact"/>
        <w:rPr>
          <w:sz w:val="20"/>
          <w:szCs w:val="20"/>
          <w:color w:val="auto"/>
        </w:rPr>
      </w:pPr>
    </w:p>
    <w:tbl>
      <w:tblPr>
        <w:tblLayout w:type="fixed"/>
        <w:tblInd w:w="490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10-K 2002</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b w:val="1"/>
                <w:bCs w:val="1"/>
                <w:color w:val="auto"/>
              </w:rPr>
              <w:t>Significant Subsidiaries</w:t>
            </w:r>
          </w:p>
        </w:tc>
        <w:tc>
          <w:tcPr>
            <w:tcW w:w="7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9"/>
              </w:rPr>
              <w:t>Exhibit 21</w:t>
            </w:r>
          </w:p>
        </w:tc>
      </w:tr>
    </w:tbl>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Listed below are the significant first tier subsidiaries of the Registrant, along with the total number of active subsidiaries directly or indirectly owned by each as of February 10, 2003. Certain second, third and fourth tier subsidiaries, though included in the numbers, are also shown by name. Ownership is 100% unless otherwise indicated. The business activities of the subsidiaries have been keyed as follows: (a) Oilfield Services, (b) SchlumbergerSema, (c) General/Multiple (d) Other.</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974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4"/>
              </w:rPr>
              <w:t>Non-U.S.</w:t>
            </w:r>
          </w:p>
        </w:tc>
        <w:tc>
          <w:tcPr>
            <w:tcW w:w="0" w:type="dxa"/>
            <w:vAlign w:val="bottom"/>
          </w:tcPr>
          <w:p>
            <w:pPr>
              <w:spacing w:after="0"/>
              <w:rPr>
                <w:sz w:val="1"/>
                <w:szCs w:val="1"/>
                <w:color w:val="auto"/>
              </w:rPr>
            </w:pPr>
          </w:p>
        </w:tc>
      </w:tr>
      <w:tr>
        <w:trPr>
          <w:trHeight w:val="95"/>
        </w:trPr>
        <w:tc>
          <w:tcPr>
            <w:tcW w:w="9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9740" w:type="dxa"/>
            <w:vAlign w:val="bottom"/>
          </w:tcPr>
          <w:p>
            <w:pPr>
              <w:spacing w:after="0"/>
              <w:rPr>
                <w:sz w:val="20"/>
                <w:szCs w:val="20"/>
                <w:color w:val="auto"/>
              </w:rPr>
            </w:pPr>
            <w:r>
              <w:rPr>
                <w:rFonts w:ascii="Arial" w:cs="Arial" w:eastAsia="Arial" w:hAnsi="Arial"/>
                <w:sz w:val="18"/>
                <w:szCs w:val="18"/>
                <w:color w:val="auto"/>
              </w:rPr>
              <w:t>Schlumberger B.V., Netherlands (c)</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35(a)</w:t>
            </w:r>
            <w:r>
              <w:rPr>
                <w:rFonts w:ascii="Arial" w:cs="Arial" w:eastAsia="Arial" w:hAnsi="Arial"/>
                <w:sz w:val="22"/>
                <w:szCs w:val="22"/>
                <w:color w:val="auto"/>
                <w:w w:val="99"/>
                <w:vertAlign w:val="superscript"/>
              </w:rPr>
              <w:t>1</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4(b)</w:t>
            </w:r>
          </w:p>
        </w:tc>
        <w:tc>
          <w:tcPr>
            <w:tcW w:w="520" w:type="dxa"/>
            <w:vAlign w:val="bottom"/>
          </w:tcPr>
          <w:p>
            <w:pPr>
              <w:jc w:val="right"/>
              <w:spacing w:after="0" w:line="217" w:lineRule="exact"/>
              <w:rPr>
                <w:sz w:val="20"/>
                <w:szCs w:val="20"/>
                <w:color w:val="auto"/>
              </w:rPr>
            </w:pPr>
            <w:r>
              <w:rPr>
                <w:rFonts w:ascii="Arial" w:cs="Arial" w:eastAsia="Arial" w:hAnsi="Arial"/>
                <w:sz w:val="18"/>
                <w:szCs w:val="18"/>
                <w:color w:val="auto"/>
                <w:w w:val="99"/>
              </w:rPr>
              <w:t>70(b)</w:t>
            </w:r>
            <w:r>
              <w:rPr>
                <w:rFonts w:ascii="Arial" w:cs="Arial" w:eastAsia="Arial" w:hAnsi="Arial"/>
                <w:sz w:val="22"/>
                <w:szCs w:val="22"/>
                <w:color w:val="auto"/>
                <w:w w:val="99"/>
                <w:vertAlign w:val="superscript"/>
              </w:rPr>
              <w:t>2</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8(c)</w:t>
            </w:r>
          </w:p>
        </w:tc>
        <w:tc>
          <w:tcPr>
            <w:tcW w:w="0" w:type="dxa"/>
            <w:vAlign w:val="bottom"/>
          </w:tcPr>
          <w:p>
            <w:pPr>
              <w:spacing w:after="0"/>
              <w:rPr>
                <w:sz w:val="1"/>
                <w:szCs w:val="1"/>
                <w:color w:val="auto"/>
              </w:rPr>
            </w:pPr>
          </w:p>
        </w:tc>
      </w:tr>
      <w:tr>
        <w:trPr>
          <w:trHeight w:val="299"/>
        </w:trPr>
        <w:tc>
          <w:tcPr>
            <w:tcW w:w="9740" w:type="dxa"/>
            <w:vAlign w:val="bottom"/>
            <w:vMerge w:val="restart"/>
          </w:tcPr>
          <w:p>
            <w:pPr>
              <w:ind w:left="380"/>
              <w:spacing w:after="0"/>
              <w:rPr>
                <w:sz w:val="20"/>
                <w:szCs w:val="20"/>
                <w:color w:val="auto"/>
              </w:rPr>
            </w:pPr>
            <w:r>
              <w:rPr>
                <w:rFonts w:ascii="Arial" w:cs="Arial" w:eastAsia="Arial" w:hAnsi="Arial"/>
                <w:sz w:val="18"/>
                <w:szCs w:val="18"/>
                <w:color w:val="auto"/>
              </w:rPr>
              <w:t>Schlumberger Canada Limited, Ontario (c)</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15(d)</w:t>
            </w:r>
            <w:r>
              <w:rPr>
                <w:rFonts w:ascii="Arial" w:cs="Arial" w:eastAsia="Arial" w:hAnsi="Arial"/>
                <w:sz w:val="22"/>
                <w:szCs w:val="22"/>
                <w:color w:val="auto"/>
                <w:w w:val="99"/>
                <w:vertAlign w:val="superscript"/>
              </w:rPr>
              <w:t>3</w:t>
            </w:r>
          </w:p>
        </w:tc>
        <w:tc>
          <w:tcPr>
            <w:tcW w:w="0" w:type="dxa"/>
            <w:vAlign w:val="bottom"/>
          </w:tcPr>
          <w:p>
            <w:pPr>
              <w:spacing w:after="0"/>
              <w:rPr>
                <w:sz w:val="1"/>
                <w:szCs w:val="1"/>
                <w:color w:val="auto"/>
              </w:rPr>
            </w:pPr>
          </w:p>
        </w:tc>
      </w:tr>
      <w:tr>
        <w:trPr>
          <w:trHeight w:val="133"/>
        </w:trPr>
        <w:tc>
          <w:tcPr>
            <w:tcW w:w="97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380"/>
              <w:spacing w:after="0"/>
              <w:rPr>
                <w:sz w:val="20"/>
                <w:szCs w:val="20"/>
                <w:color w:val="auto"/>
              </w:rPr>
            </w:pPr>
            <w:r>
              <w:rPr>
                <w:rFonts w:ascii="Arial" w:cs="Arial" w:eastAsia="Arial" w:hAnsi="Arial"/>
                <w:sz w:val="18"/>
                <w:szCs w:val="18"/>
                <w:color w:val="auto"/>
              </w:rPr>
              <w:t>Schlumberger GmbH, Germany (c)</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380"/>
              <w:spacing w:after="0"/>
              <w:rPr>
                <w:sz w:val="20"/>
                <w:szCs w:val="20"/>
                <w:color w:val="auto"/>
              </w:rPr>
            </w:pPr>
            <w:r>
              <w:rPr>
                <w:rFonts w:ascii="Arial" w:cs="Arial" w:eastAsia="Arial" w:hAnsi="Arial"/>
                <w:sz w:val="18"/>
                <w:szCs w:val="18"/>
                <w:color w:val="auto"/>
              </w:rPr>
              <w:t>Schlumberger SA, France (c)</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760"/>
              <w:spacing w:after="0"/>
              <w:rPr>
                <w:sz w:val="20"/>
                <w:szCs w:val="20"/>
                <w:color w:val="auto"/>
              </w:rPr>
            </w:pPr>
            <w:r>
              <w:rPr>
                <w:rFonts w:ascii="Arial" w:cs="Arial" w:eastAsia="Arial" w:hAnsi="Arial"/>
                <w:sz w:val="18"/>
                <w:szCs w:val="18"/>
                <w:color w:val="auto"/>
              </w:rPr>
              <w:t>Sema SA, France (b)</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760"/>
              <w:spacing w:after="0"/>
              <w:rPr>
                <w:sz w:val="20"/>
                <w:szCs w:val="20"/>
                <w:color w:val="auto"/>
              </w:rPr>
            </w:pPr>
            <w:r>
              <w:rPr>
                <w:rFonts w:ascii="Arial" w:cs="Arial" w:eastAsia="Arial" w:hAnsi="Arial"/>
                <w:sz w:val="18"/>
                <w:szCs w:val="18"/>
                <w:color w:val="auto"/>
              </w:rPr>
              <w:t>Services Petroliers Schlumberger, France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380"/>
              <w:spacing w:after="0"/>
              <w:rPr>
                <w:sz w:val="20"/>
                <w:szCs w:val="20"/>
                <w:color w:val="auto"/>
              </w:rPr>
            </w:pPr>
            <w:r>
              <w:rPr>
                <w:rFonts w:ascii="Arial" w:cs="Arial" w:eastAsia="Arial" w:hAnsi="Arial"/>
                <w:sz w:val="18"/>
                <w:szCs w:val="18"/>
                <w:color w:val="auto"/>
              </w:rPr>
              <w:t>Omnes B.V., Netherlands (b)</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380"/>
              <w:spacing w:after="0"/>
              <w:rPr>
                <w:sz w:val="20"/>
                <w:szCs w:val="20"/>
                <w:color w:val="auto"/>
              </w:rPr>
            </w:pPr>
            <w:r>
              <w:rPr>
                <w:rFonts w:ascii="Arial" w:cs="Arial" w:eastAsia="Arial" w:hAnsi="Arial"/>
                <w:sz w:val="18"/>
                <w:szCs w:val="18"/>
                <w:color w:val="auto"/>
              </w:rPr>
              <w:t>*WesternGeco B.V., Netherlands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tcPr>
          <w:p>
            <w:pPr>
              <w:ind w:left="760"/>
              <w:spacing w:after="0"/>
              <w:rPr>
                <w:sz w:val="20"/>
                <w:szCs w:val="20"/>
                <w:color w:val="auto"/>
              </w:rPr>
            </w:pPr>
            <w:r>
              <w:rPr>
                <w:rFonts w:ascii="Arial" w:cs="Arial" w:eastAsia="Arial" w:hAnsi="Arial"/>
                <w:sz w:val="18"/>
                <w:szCs w:val="18"/>
                <w:color w:val="auto"/>
              </w:rPr>
              <w:t>WesternGeco A.S., Norway (a)</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740" w:type="dxa"/>
            <w:vAlign w:val="bottom"/>
          </w:tcPr>
          <w:p>
            <w:pPr>
              <w:spacing w:after="0"/>
              <w:rPr>
                <w:sz w:val="20"/>
                <w:szCs w:val="20"/>
                <w:color w:val="auto"/>
              </w:rPr>
            </w:pPr>
            <w:r>
              <w:rPr>
                <w:rFonts w:ascii="Arial" w:cs="Arial" w:eastAsia="Arial" w:hAnsi="Arial"/>
                <w:sz w:val="18"/>
                <w:szCs w:val="18"/>
                <w:color w:val="auto"/>
              </w:rPr>
              <w:t>Schlumberger Offshore Services N.V. (Limited), Netherlands Antilles (a)</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11(a)</w:t>
            </w:r>
          </w:p>
        </w:tc>
        <w:tc>
          <w:tcPr>
            <w:tcW w:w="0" w:type="dxa"/>
            <w:vAlign w:val="bottom"/>
          </w:tcPr>
          <w:p>
            <w:pPr>
              <w:spacing w:after="0"/>
              <w:rPr>
                <w:sz w:val="1"/>
                <w:szCs w:val="1"/>
                <w:color w:val="auto"/>
              </w:rPr>
            </w:pPr>
          </w:p>
        </w:tc>
      </w:tr>
      <w:tr>
        <w:trPr>
          <w:trHeight w:val="222"/>
        </w:trPr>
        <w:tc>
          <w:tcPr>
            <w:tcW w:w="9740" w:type="dxa"/>
            <w:vAlign w:val="bottom"/>
          </w:tcPr>
          <w:p>
            <w:pPr>
              <w:ind w:left="380"/>
              <w:spacing w:after="0"/>
              <w:rPr>
                <w:sz w:val="20"/>
                <w:szCs w:val="20"/>
                <w:color w:val="auto"/>
              </w:rPr>
            </w:pPr>
            <w:r>
              <w:rPr>
                <w:rFonts w:ascii="Arial" w:cs="Arial" w:eastAsia="Arial" w:hAnsi="Arial"/>
                <w:sz w:val="18"/>
                <w:szCs w:val="18"/>
                <w:color w:val="auto"/>
              </w:rPr>
              <w:t>Schlumberger Antilles N.V., Netherlands Antilles (a)</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740" w:type="dxa"/>
            <w:vAlign w:val="bottom"/>
          </w:tcPr>
          <w:p>
            <w:pPr>
              <w:spacing w:after="0"/>
              <w:rPr>
                <w:sz w:val="20"/>
                <w:szCs w:val="20"/>
                <w:color w:val="auto"/>
              </w:rPr>
            </w:pPr>
            <w:r>
              <w:rPr>
                <w:rFonts w:ascii="Arial" w:cs="Arial" w:eastAsia="Arial" w:hAnsi="Arial"/>
                <w:sz w:val="18"/>
                <w:szCs w:val="18"/>
                <w:color w:val="auto"/>
              </w:rPr>
              <w:t>Schlumberger Overseas, S.A., Panama (c)</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1(a)</w:t>
            </w:r>
            <w:r>
              <w:rPr>
                <w:rFonts w:ascii="Arial" w:cs="Arial" w:eastAsia="Arial" w:hAnsi="Arial"/>
                <w:sz w:val="22"/>
                <w:szCs w:val="22"/>
                <w:color w:val="auto"/>
                <w:vertAlign w:val="superscript"/>
              </w:rPr>
              <w:t>3</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161(a)</w:t>
            </w:r>
            <w:r>
              <w:rPr>
                <w:rFonts w:ascii="Arial" w:cs="Arial" w:eastAsia="Arial" w:hAnsi="Arial"/>
                <w:sz w:val="22"/>
                <w:szCs w:val="22"/>
                <w:color w:val="auto"/>
                <w:w w:val="83"/>
                <w:vertAlign w:val="superscript"/>
              </w:rPr>
              <w:t>4</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line="217" w:lineRule="exact"/>
              <w:rPr>
                <w:sz w:val="20"/>
                <w:szCs w:val="20"/>
                <w:color w:val="auto"/>
              </w:rPr>
            </w:pPr>
            <w:r>
              <w:rPr>
                <w:rFonts w:ascii="Arial" w:cs="Arial" w:eastAsia="Arial" w:hAnsi="Arial"/>
                <w:sz w:val="18"/>
                <w:szCs w:val="18"/>
                <w:color w:val="auto"/>
                <w:w w:val="99"/>
              </w:rPr>
              <w:t>32(b)</w:t>
            </w:r>
            <w:r>
              <w:rPr>
                <w:rFonts w:ascii="Arial" w:cs="Arial" w:eastAsia="Arial" w:hAnsi="Arial"/>
                <w:sz w:val="22"/>
                <w:szCs w:val="22"/>
                <w:color w:val="auto"/>
                <w:w w:val="99"/>
                <w:vertAlign w:val="superscript"/>
              </w:rPr>
              <w:t>5</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14(c)</w:t>
            </w:r>
          </w:p>
        </w:tc>
        <w:tc>
          <w:tcPr>
            <w:tcW w:w="0" w:type="dxa"/>
            <w:vAlign w:val="bottom"/>
          </w:tcPr>
          <w:p>
            <w:pPr>
              <w:spacing w:after="0"/>
              <w:rPr>
                <w:sz w:val="1"/>
                <w:szCs w:val="1"/>
                <w:color w:val="auto"/>
              </w:rPr>
            </w:pPr>
          </w:p>
        </w:tc>
      </w:tr>
      <w:tr>
        <w:trPr>
          <w:trHeight w:val="299"/>
        </w:trPr>
        <w:tc>
          <w:tcPr>
            <w:tcW w:w="9740" w:type="dxa"/>
            <w:vAlign w:val="bottom"/>
            <w:vMerge w:val="restart"/>
          </w:tcPr>
          <w:p>
            <w:pPr>
              <w:ind w:left="380"/>
              <w:spacing w:after="0"/>
              <w:rPr>
                <w:sz w:val="20"/>
                <w:szCs w:val="20"/>
                <w:color w:val="auto"/>
              </w:rPr>
            </w:pPr>
            <w:r>
              <w:rPr>
                <w:rFonts w:ascii="Arial" w:cs="Arial" w:eastAsia="Arial" w:hAnsi="Arial"/>
                <w:sz w:val="18"/>
                <w:szCs w:val="18"/>
                <w:color w:val="auto"/>
              </w:rPr>
              <w:t>MC&amp;C Holdings Limited, BVI (c)</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15(d)</w:t>
            </w:r>
            <w:r>
              <w:rPr>
                <w:rFonts w:ascii="Arial" w:cs="Arial" w:eastAsia="Arial" w:hAnsi="Arial"/>
                <w:sz w:val="22"/>
                <w:szCs w:val="22"/>
                <w:color w:val="auto"/>
                <w:w w:val="99"/>
                <w:vertAlign w:val="superscript"/>
              </w:rPr>
              <w:t>6</w:t>
            </w:r>
          </w:p>
        </w:tc>
        <w:tc>
          <w:tcPr>
            <w:tcW w:w="0" w:type="dxa"/>
            <w:vAlign w:val="bottom"/>
          </w:tcPr>
          <w:p>
            <w:pPr>
              <w:spacing w:after="0"/>
              <w:rPr>
                <w:sz w:val="1"/>
                <w:szCs w:val="1"/>
                <w:color w:val="auto"/>
              </w:rPr>
            </w:pPr>
          </w:p>
        </w:tc>
      </w:tr>
      <w:tr>
        <w:trPr>
          <w:trHeight w:val="133"/>
        </w:trPr>
        <w:tc>
          <w:tcPr>
            <w:tcW w:w="97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760"/>
              <w:spacing w:after="0"/>
              <w:rPr>
                <w:sz w:val="20"/>
                <w:szCs w:val="20"/>
                <w:color w:val="auto"/>
              </w:rPr>
            </w:pPr>
            <w:r>
              <w:rPr>
                <w:rFonts w:ascii="Arial" w:cs="Arial" w:eastAsia="Arial" w:hAnsi="Arial"/>
                <w:sz w:val="18"/>
                <w:szCs w:val="18"/>
                <w:color w:val="auto"/>
              </w:rPr>
              <w:t>Schlumberger Plc, UK (c)</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240"/>
              <w:spacing w:after="0"/>
              <w:rPr>
                <w:sz w:val="20"/>
                <w:szCs w:val="20"/>
                <w:color w:val="auto"/>
              </w:rPr>
            </w:pPr>
            <w:r>
              <w:rPr>
                <w:rFonts w:ascii="Arial" w:cs="Arial" w:eastAsia="Arial" w:hAnsi="Arial"/>
                <w:sz w:val="18"/>
                <w:szCs w:val="18"/>
                <w:color w:val="auto"/>
              </w:rPr>
              <w:t>Schlumberger Evaluation and Production Services (UK) Limited, UK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240"/>
              <w:spacing w:after="0"/>
              <w:rPr>
                <w:sz w:val="20"/>
                <w:szCs w:val="20"/>
                <w:color w:val="auto"/>
              </w:rPr>
            </w:pPr>
            <w:r>
              <w:rPr>
                <w:rFonts w:ascii="Arial" w:cs="Arial" w:eastAsia="Arial" w:hAnsi="Arial"/>
                <w:sz w:val="18"/>
                <w:szCs w:val="18"/>
                <w:color w:val="auto"/>
              </w:rPr>
              <w:t>Sema UK Limited, UK (b)</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tcPr>
          <w:p>
            <w:pPr>
              <w:ind w:left="1240"/>
              <w:spacing w:after="0"/>
              <w:rPr>
                <w:sz w:val="20"/>
                <w:szCs w:val="20"/>
                <w:color w:val="auto"/>
              </w:rPr>
            </w:pPr>
            <w:r>
              <w:rPr>
                <w:rFonts w:ascii="Arial" w:cs="Arial" w:eastAsia="Arial" w:hAnsi="Arial"/>
                <w:sz w:val="18"/>
                <w:szCs w:val="18"/>
                <w:color w:val="auto"/>
              </w:rPr>
              <w:t>*WesternGeco Limited, UK (a)</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740" w:type="dxa"/>
            <w:vAlign w:val="bottom"/>
          </w:tcPr>
          <w:p>
            <w:pPr>
              <w:ind w:left="380"/>
              <w:spacing w:after="0"/>
              <w:rPr>
                <w:sz w:val="20"/>
                <w:szCs w:val="20"/>
                <w:color w:val="auto"/>
              </w:rPr>
            </w:pPr>
            <w:r>
              <w:rPr>
                <w:rFonts w:ascii="Arial" w:cs="Arial" w:eastAsia="Arial" w:hAnsi="Arial"/>
                <w:sz w:val="18"/>
                <w:szCs w:val="18"/>
                <w:color w:val="auto"/>
              </w:rPr>
              <w:t>Schlumberger Oilfield Holdings Limited, BVI (a)</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760"/>
              <w:spacing w:after="0"/>
              <w:rPr>
                <w:sz w:val="20"/>
                <w:szCs w:val="20"/>
                <w:color w:val="auto"/>
              </w:rPr>
            </w:pPr>
            <w:r>
              <w:rPr>
                <w:rFonts w:ascii="Arial" w:cs="Arial" w:eastAsia="Arial" w:hAnsi="Arial"/>
                <w:sz w:val="18"/>
                <w:szCs w:val="18"/>
                <w:color w:val="auto"/>
              </w:rPr>
              <w:t>Anadrill Holdings Limited, BVI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760"/>
              <w:spacing w:after="0"/>
              <w:rPr>
                <w:sz w:val="20"/>
                <w:szCs w:val="20"/>
                <w:color w:val="auto"/>
              </w:rPr>
            </w:pPr>
            <w:r>
              <w:rPr>
                <w:rFonts w:ascii="Arial" w:cs="Arial" w:eastAsia="Arial" w:hAnsi="Arial"/>
                <w:sz w:val="18"/>
                <w:szCs w:val="18"/>
                <w:color w:val="auto"/>
              </w:rPr>
              <w:t>Dowell Schlumberger Corporation, BVI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760"/>
              <w:spacing w:after="0"/>
              <w:rPr>
                <w:sz w:val="20"/>
                <w:szCs w:val="20"/>
                <w:color w:val="auto"/>
              </w:rPr>
            </w:pPr>
            <w:r>
              <w:rPr>
                <w:rFonts w:ascii="Arial" w:cs="Arial" w:eastAsia="Arial" w:hAnsi="Arial"/>
                <w:sz w:val="18"/>
                <w:szCs w:val="18"/>
                <w:color w:val="auto"/>
              </w:rPr>
              <w:t>Schlumberger Holdings Limited, BVI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240"/>
              <w:spacing w:after="0"/>
              <w:rPr>
                <w:sz w:val="20"/>
                <w:szCs w:val="20"/>
                <w:color w:val="auto"/>
              </w:rPr>
            </w:pPr>
            <w:r>
              <w:rPr>
                <w:rFonts w:ascii="Arial" w:cs="Arial" w:eastAsia="Arial" w:hAnsi="Arial"/>
                <w:sz w:val="18"/>
                <w:szCs w:val="18"/>
                <w:color w:val="auto"/>
              </w:rPr>
              <w:t>Schlumberger Middle East S.A., Panama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240"/>
              <w:spacing w:after="0"/>
              <w:rPr>
                <w:sz w:val="20"/>
                <w:szCs w:val="20"/>
                <w:color w:val="auto"/>
              </w:rPr>
            </w:pPr>
            <w:r>
              <w:rPr>
                <w:rFonts w:ascii="Arial" w:cs="Arial" w:eastAsia="Arial" w:hAnsi="Arial"/>
                <w:sz w:val="18"/>
                <w:szCs w:val="18"/>
                <w:color w:val="auto"/>
              </w:rPr>
              <w:t>Schlumberger Seaco, Inc., Panama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240"/>
              <w:spacing w:after="0"/>
              <w:rPr>
                <w:sz w:val="20"/>
                <w:szCs w:val="20"/>
                <w:color w:val="auto"/>
              </w:rPr>
            </w:pPr>
            <w:r>
              <w:rPr>
                <w:rFonts w:ascii="Arial" w:cs="Arial" w:eastAsia="Arial" w:hAnsi="Arial"/>
                <w:sz w:val="18"/>
                <w:szCs w:val="18"/>
                <w:color w:val="auto"/>
              </w:rPr>
              <w:t>Schlumberger Surenco, S.A., Panama (a)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tcPr>
          <w:p>
            <w:pPr>
              <w:ind w:left="760"/>
              <w:spacing w:after="0"/>
              <w:rPr>
                <w:sz w:val="20"/>
                <w:szCs w:val="20"/>
                <w:color w:val="auto"/>
              </w:rPr>
            </w:pPr>
            <w:r>
              <w:rPr>
                <w:rFonts w:ascii="Arial" w:cs="Arial" w:eastAsia="Arial" w:hAnsi="Arial"/>
                <w:sz w:val="18"/>
                <w:szCs w:val="18"/>
                <w:color w:val="auto"/>
              </w:rPr>
              <w:t>*WesternGeco Seismic Holdings Limited, BVI (a)</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740" w:type="dxa"/>
            <w:vAlign w:val="bottom"/>
          </w:tcPr>
          <w:p>
            <w:pPr>
              <w:spacing w:after="0"/>
              <w:rPr>
                <w:sz w:val="20"/>
                <w:szCs w:val="20"/>
                <w:color w:val="auto"/>
              </w:rPr>
            </w:pPr>
            <w:r>
              <w:rPr>
                <w:rFonts w:ascii="Arial" w:cs="Arial" w:eastAsia="Arial" w:hAnsi="Arial"/>
                <w:sz w:val="18"/>
                <w:szCs w:val="18"/>
                <w:color w:val="auto"/>
              </w:rPr>
              <w:t>Schlumberger Technology Corporation, Texas (c)</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9(a)</w:t>
            </w:r>
            <w:r>
              <w:rPr>
                <w:rFonts w:ascii="Arial" w:cs="Arial" w:eastAsia="Arial" w:hAnsi="Arial"/>
                <w:sz w:val="22"/>
                <w:szCs w:val="22"/>
                <w:color w:val="auto"/>
                <w:vertAlign w:val="superscript"/>
              </w:rPr>
              <w:t>7</w:t>
            </w:r>
          </w:p>
        </w:tc>
        <w:tc>
          <w:tcPr>
            <w:tcW w:w="520" w:type="dxa"/>
            <w:vAlign w:val="bottom"/>
          </w:tcPr>
          <w:p>
            <w:pPr>
              <w:jc w:val="right"/>
              <w:spacing w:after="0"/>
              <w:rPr>
                <w:sz w:val="20"/>
                <w:szCs w:val="20"/>
                <w:color w:val="auto"/>
              </w:rPr>
            </w:pPr>
            <w:r>
              <w:rPr>
                <w:rFonts w:ascii="Arial" w:cs="Arial" w:eastAsia="Arial" w:hAnsi="Arial"/>
                <w:sz w:val="18"/>
                <w:szCs w:val="18"/>
                <w:color w:val="auto"/>
              </w:rPr>
              <w:t>3(a)</w:t>
            </w:r>
            <w:r>
              <w:rPr>
                <w:rFonts w:ascii="Arial" w:cs="Arial" w:eastAsia="Arial" w:hAnsi="Arial"/>
                <w:sz w:val="22"/>
                <w:szCs w:val="22"/>
                <w:color w:val="auto"/>
                <w:vertAlign w:val="superscript"/>
              </w:rPr>
              <w:t>8</w:t>
            </w:r>
          </w:p>
        </w:tc>
        <w:tc>
          <w:tcPr>
            <w:tcW w:w="0" w:type="dxa"/>
            <w:vAlign w:val="bottom"/>
          </w:tcPr>
          <w:p>
            <w:pPr>
              <w:spacing w:after="0"/>
              <w:rPr>
                <w:sz w:val="1"/>
                <w:szCs w:val="1"/>
                <w:color w:val="auto"/>
              </w:rPr>
            </w:pPr>
          </w:p>
        </w:tc>
      </w:tr>
      <w:tr>
        <w:trPr>
          <w:trHeight w:val="222"/>
        </w:trPr>
        <w:tc>
          <w:tcPr>
            <w:tcW w:w="97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10(b)</w:t>
            </w:r>
          </w:p>
        </w:tc>
        <w:tc>
          <w:tcPr>
            <w:tcW w:w="520" w:type="dxa"/>
            <w:vAlign w:val="bottom"/>
          </w:tcPr>
          <w:p>
            <w:pPr>
              <w:jc w:val="right"/>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8"/>
          <w:szCs w:val="18"/>
          <w:color w:val="auto"/>
        </w:rPr>
        <w:t>1(c)</w:t>
      </w:r>
    </w:p>
    <w:p>
      <w:pPr>
        <w:spacing w:after="0" w:line="9"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8(d)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Schlumberger Omnes, Inc., (Delaware) (b)</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SchlumbergerSema, Inc., Delaware (b) Schlumberger Technologies, Inc., Delaware (b)</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NPTest, Inc., Delaware (d)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*WesternGeco L.L.C., Delaware (a)</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 owned by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Includes three majority-owned subsidiaries, one of which is named, and two 50%-owned subsidiaries.</w:t>
      </w:r>
    </w:p>
    <w:p>
      <w:pPr>
        <w:ind w:left="460"/>
        <w:spacing w:after="0" w:line="205"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8"/>
          <w:szCs w:val="18"/>
          <w:color w:val="auto"/>
        </w:rPr>
        <w:t>Includes six majority-owned subsidiaries and one 50%-owned subsidiary.</w:t>
      </w:r>
    </w:p>
    <w:p>
      <w:pPr>
        <w:ind w:left="460"/>
        <w:spacing w:after="0" w:line="205" w:lineRule="auto"/>
        <w:rPr>
          <w:sz w:val="20"/>
          <w:szCs w:val="20"/>
          <w:color w:val="auto"/>
        </w:rPr>
      </w:pPr>
      <w:r>
        <w:rPr>
          <w:rFonts w:ascii="Arial" w:cs="Arial" w:eastAsia="Arial" w:hAnsi="Arial"/>
          <w:sz w:val="22"/>
          <w:szCs w:val="22"/>
          <w:color w:val="auto"/>
          <w:vertAlign w:val="superscript"/>
        </w:rPr>
        <w:t>3</w:t>
      </w:r>
      <w:r>
        <w:rPr>
          <w:rFonts w:ascii="Arial" w:cs="Arial" w:eastAsia="Arial" w:hAnsi="Arial"/>
          <w:sz w:val="18"/>
          <w:szCs w:val="18"/>
          <w:color w:val="auto"/>
        </w:rPr>
        <w:t>Includes one majority-owned subsidiary.</w:t>
      </w:r>
    </w:p>
    <w:p>
      <w:pPr>
        <w:ind w:left="460"/>
        <w:spacing w:after="0" w:line="205" w:lineRule="auto"/>
        <w:rPr>
          <w:sz w:val="20"/>
          <w:szCs w:val="20"/>
          <w:color w:val="auto"/>
        </w:rPr>
      </w:pPr>
      <w:r>
        <w:rPr>
          <w:rFonts w:ascii="Arial" w:cs="Arial" w:eastAsia="Arial" w:hAnsi="Arial"/>
          <w:sz w:val="22"/>
          <w:szCs w:val="22"/>
          <w:color w:val="auto"/>
          <w:vertAlign w:val="superscript"/>
        </w:rPr>
        <w:t>4</w:t>
      </w:r>
      <w:r>
        <w:rPr>
          <w:rFonts w:ascii="Arial" w:cs="Arial" w:eastAsia="Arial" w:hAnsi="Arial"/>
          <w:sz w:val="18"/>
          <w:szCs w:val="18"/>
          <w:color w:val="auto"/>
        </w:rPr>
        <w:t>Includes sixteen majority-owned subsidiaries, two of which are named, and one 50%-owned subsidiary.</w:t>
      </w:r>
    </w:p>
    <w:p>
      <w:pPr>
        <w:ind w:left="460"/>
        <w:spacing w:after="0" w:line="205" w:lineRule="auto"/>
        <w:rPr>
          <w:sz w:val="20"/>
          <w:szCs w:val="20"/>
          <w:color w:val="auto"/>
        </w:rPr>
      </w:pPr>
      <w:r>
        <w:rPr>
          <w:rFonts w:ascii="Arial" w:cs="Arial" w:eastAsia="Arial" w:hAnsi="Arial"/>
          <w:sz w:val="22"/>
          <w:szCs w:val="22"/>
          <w:color w:val="auto"/>
          <w:vertAlign w:val="superscript"/>
        </w:rPr>
        <w:t>5</w:t>
      </w:r>
      <w:r>
        <w:rPr>
          <w:rFonts w:ascii="Arial" w:cs="Arial" w:eastAsia="Arial" w:hAnsi="Arial"/>
          <w:sz w:val="18"/>
          <w:szCs w:val="18"/>
          <w:color w:val="auto"/>
        </w:rPr>
        <w:t>Includes four majority-owned subsidiaries.</w:t>
      </w:r>
    </w:p>
    <w:p>
      <w:pPr>
        <w:ind w:left="460"/>
        <w:spacing w:after="0" w:line="205" w:lineRule="auto"/>
        <w:rPr>
          <w:sz w:val="20"/>
          <w:szCs w:val="20"/>
          <w:color w:val="auto"/>
        </w:rPr>
      </w:pPr>
      <w:r>
        <w:rPr>
          <w:rFonts w:ascii="Arial" w:cs="Arial" w:eastAsia="Arial" w:hAnsi="Arial"/>
          <w:sz w:val="22"/>
          <w:szCs w:val="22"/>
          <w:color w:val="auto"/>
          <w:vertAlign w:val="superscript"/>
        </w:rPr>
        <w:t>6</w:t>
      </w:r>
      <w:r>
        <w:rPr>
          <w:rFonts w:ascii="Arial" w:cs="Arial" w:eastAsia="Arial" w:hAnsi="Arial"/>
          <w:sz w:val="18"/>
          <w:szCs w:val="18"/>
          <w:color w:val="auto"/>
        </w:rPr>
        <w:t>Includes two majority-owned subsidiaries.</w:t>
      </w:r>
    </w:p>
    <w:p>
      <w:pPr>
        <w:ind w:left="460"/>
        <w:spacing w:after="0" w:line="205" w:lineRule="auto"/>
        <w:rPr>
          <w:sz w:val="20"/>
          <w:szCs w:val="20"/>
          <w:color w:val="auto"/>
        </w:rPr>
      </w:pPr>
      <w:r>
        <w:rPr>
          <w:rFonts w:ascii="Arial" w:cs="Arial" w:eastAsia="Arial" w:hAnsi="Arial"/>
          <w:sz w:val="22"/>
          <w:szCs w:val="22"/>
          <w:color w:val="auto"/>
          <w:vertAlign w:val="superscript"/>
        </w:rPr>
        <w:t>7</w:t>
      </w:r>
      <w:r>
        <w:rPr>
          <w:rFonts w:ascii="Arial" w:cs="Arial" w:eastAsia="Arial" w:hAnsi="Arial"/>
          <w:sz w:val="18"/>
          <w:szCs w:val="18"/>
          <w:color w:val="auto"/>
        </w:rPr>
        <w:t>Includes two majority-owned subsidiaries, one of which is named, and one 50%-owned subsidiary.</w:t>
      </w:r>
    </w:p>
    <w:p>
      <w:pPr>
        <w:ind w:left="460"/>
        <w:spacing w:after="0"/>
        <w:rPr>
          <w:sz w:val="20"/>
          <w:szCs w:val="20"/>
          <w:color w:val="auto"/>
        </w:rPr>
      </w:pPr>
      <w:r>
        <w:rPr>
          <w:rFonts w:ascii="Arial" w:cs="Arial" w:eastAsia="Arial" w:hAnsi="Arial"/>
          <w:sz w:val="22"/>
          <w:szCs w:val="22"/>
          <w:color w:val="auto"/>
          <w:vertAlign w:val="superscript"/>
        </w:rPr>
        <w:t>8</w:t>
      </w:r>
      <w:r>
        <w:rPr>
          <w:rFonts w:ascii="Arial" w:cs="Arial" w:eastAsia="Arial" w:hAnsi="Arial"/>
          <w:sz w:val="18"/>
          <w:szCs w:val="18"/>
          <w:color w:val="auto"/>
        </w:rPr>
        <w:t>Includes one 50%-owned subsidiary.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57" w:right="239" w:bottom="1440" w:gutter="0" w:footer="0" w:header="0"/>
        </w:sectPr>
      </w:pPr>
    </w:p>
    <w:bookmarkStart w:id="79" w:name="page80"/>
    <w:bookmarkEnd w:id="79"/>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640"/>
        <w:spacing w:after="0"/>
        <w:rPr>
          <w:sz w:val="20"/>
          <w:szCs w:val="20"/>
          <w:color w:val="auto"/>
        </w:rPr>
      </w:pPr>
      <w:r>
        <w:rPr>
          <w:rFonts w:ascii="Arial" w:cs="Arial" w:eastAsia="Arial" w:hAnsi="Arial"/>
          <w:sz w:val="16"/>
          <w:szCs w:val="16"/>
          <w:b w:val="1"/>
          <w:bCs w:val="1"/>
          <w:u w:val="single" w:color="auto"/>
          <w:color w:val="auto"/>
        </w:rPr>
        <w:t>Exhibit 23</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Forms S-8 (Nos. 33-35606; 33-47592; 33-86424; 33-40227; 333-62545; 333-36366; 333-33364; 333-67330) and the Registration Statement on Form S-4 (No. 333-97899) of Schlumberger Limited, of our report dated January 22, 2003 relating to the consolidated financial statements, which appears in this Annual Report on Form 10-K.</w:t>
      </w:r>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40"/>
        <w:spacing w:after="0"/>
        <w:rPr>
          <w:sz w:val="20"/>
          <w:szCs w:val="20"/>
          <w:color w:val="auto"/>
        </w:rPr>
      </w:pPr>
      <w:r>
        <w:rPr>
          <w:rFonts w:ascii="Arial" w:cs="Arial" w:eastAsia="Arial" w:hAnsi="Arial"/>
          <w:sz w:val="16"/>
          <w:szCs w:val="16"/>
          <w:b w:val="1"/>
          <w:bCs w:val="1"/>
          <w:u w:val="single" w:color="auto"/>
          <w:color w:val="auto"/>
        </w:rPr>
        <w:t>Exhibit 24(a)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5630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William T. McCormick,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-231140</wp:posOffset>
            </wp:positionV>
            <wp:extent cx="347345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7"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January 16,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1" w:name="page82"/>
    <w:bookmarkEnd w:id="81"/>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20"/>
        <w:spacing w:after="0"/>
        <w:rPr>
          <w:sz w:val="20"/>
          <w:szCs w:val="20"/>
          <w:color w:val="auto"/>
        </w:rPr>
      </w:pPr>
      <w:r>
        <w:rPr>
          <w:rFonts w:ascii="Arial" w:cs="Arial" w:eastAsia="Arial" w:hAnsi="Arial"/>
          <w:sz w:val="16"/>
          <w:szCs w:val="16"/>
          <w:b w:val="1"/>
          <w:bCs w:val="1"/>
          <w:u w:val="single" w:color="auto"/>
          <w:color w:val="auto"/>
        </w:rPr>
        <w:t>Exhibit 24(b)</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4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5630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William T. McCormick, Jr.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7"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January 16,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2" w:name="page83"/>
    <w:bookmarkEnd w:id="82"/>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40"/>
        <w:spacing w:after="0"/>
        <w:rPr>
          <w:sz w:val="20"/>
          <w:szCs w:val="20"/>
          <w:color w:val="auto"/>
        </w:rPr>
      </w:pPr>
      <w:r>
        <w:rPr>
          <w:rFonts w:ascii="Arial" w:cs="Arial" w:eastAsia="Arial" w:hAnsi="Arial"/>
          <w:sz w:val="16"/>
          <w:szCs w:val="16"/>
          <w:b w:val="1"/>
          <w:bCs w:val="1"/>
          <w:u w:val="single" w:color="auto"/>
          <w:color w:val="auto"/>
        </w:rPr>
        <w:t>Exhibit 24(c)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5630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William T. McCormick, Jr.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Nicolas Seydoux</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Linda G. Stuntz</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7"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January 16,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3" w:name="page84"/>
    <w:bookmarkEnd w:id="83"/>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20"/>
        <w:spacing w:after="0"/>
        <w:rPr>
          <w:sz w:val="20"/>
          <w:szCs w:val="20"/>
          <w:color w:val="auto"/>
        </w:rPr>
      </w:pPr>
      <w:r>
        <w:rPr>
          <w:rFonts w:ascii="Arial" w:cs="Arial" w:eastAsia="Arial" w:hAnsi="Arial"/>
          <w:sz w:val="16"/>
          <w:szCs w:val="16"/>
          <w:b w:val="1"/>
          <w:bCs w:val="1"/>
          <w:u w:val="single" w:color="auto"/>
          <w:color w:val="auto"/>
        </w:rPr>
        <w:t>Exhibit 24(d)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5630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William T. McCormick, Jr.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Andrew Gould</w:t>
            </w:r>
          </w:p>
        </w:tc>
        <w:tc>
          <w:tcPr>
            <w:tcW w:w="40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Linda G. Stuntz</w:t>
            </w:r>
          </w:p>
        </w:tc>
      </w:tr>
      <w:tr>
        <w:trPr>
          <w:trHeight w:val="216"/>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22"/>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w:t>
            </w:r>
          </w:p>
        </w:tc>
        <w:tc>
          <w:tcPr>
            <w:tcW w:w="40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75"/>
        </w:trPr>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309"/>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Adrian Lajous</w:t>
            </w:r>
          </w:p>
        </w:tc>
        <w:tc>
          <w:tcPr>
            <w:tcW w:w="400" w:type="dxa"/>
            <w:vAlign w:val="bottom"/>
          </w:tcPr>
          <w:p>
            <w:pPr>
              <w:spacing w:after="0"/>
              <w:rPr>
                <w:sz w:val="24"/>
                <w:szCs w:val="24"/>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Sven Ullring</w:t>
            </w:r>
          </w:p>
        </w:tc>
      </w:tr>
      <w:tr>
        <w:trPr>
          <w:trHeight w:val="222"/>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475"/>
        </w:trPr>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09"/>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André Lévy-Lang</w:t>
            </w:r>
          </w:p>
        </w:tc>
        <w:tc>
          <w:tcPr>
            <w:tcW w:w="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22"/>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326"/>
        </w:trPr>
        <w:tc>
          <w:tcPr>
            <w:tcW w:w="5460" w:type="dxa"/>
            <w:vAlign w:val="bottom"/>
            <w:gridSpan w:val="3"/>
          </w:tcPr>
          <w:p>
            <w:pPr>
              <w:ind w:left="460"/>
              <w:spacing w:after="0"/>
              <w:rPr>
                <w:sz w:val="20"/>
                <w:szCs w:val="20"/>
                <w:color w:val="auto"/>
              </w:rPr>
            </w:pPr>
            <w:r>
              <w:rPr>
                <w:rFonts w:ascii="Arial" w:cs="Arial" w:eastAsia="Arial" w:hAnsi="Arial"/>
                <w:sz w:val="18"/>
                <w:szCs w:val="18"/>
                <w:color w:val="auto"/>
              </w:rPr>
              <w:t>Date:  January 16, 2003</w:t>
            </w:r>
          </w:p>
        </w:tc>
        <w:tc>
          <w:tcPr>
            <w:tcW w:w="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83"/>
        </w:trPr>
        <w:tc>
          <w:tcPr>
            <w:tcW w:w="10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5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84" w:name="page85"/>
    <w:bookmarkEnd w:id="84"/>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40"/>
        <w:spacing w:after="0"/>
        <w:rPr>
          <w:sz w:val="20"/>
          <w:szCs w:val="20"/>
          <w:color w:val="auto"/>
        </w:rPr>
      </w:pPr>
      <w:r>
        <w:rPr>
          <w:rFonts w:ascii="Arial" w:cs="Arial" w:eastAsia="Arial" w:hAnsi="Arial"/>
          <w:sz w:val="16"/>
          <w:szCs w:val="16"/>
          <w:b w:val="1"/>
          <w:bCs w:val="1"/>
          <w:u w:val="single" w:color="auto"/>
          <w:color w:val="auto"/>
        </w:rPr>
        <w:t>Exhibit 24(e)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80010</wp:posOffset>
            </wp:positionV>
            <wp:extent cx="289877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February 20,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60"/>
        <w:spacing w:after="0"/>
        <w:rPr>
          <w:sz w:val="20"/>
          <w:szCs w:val="20"/>
          <w:color w:val="auto"/>
        </w:rPr>
      </w:pPr>
      <w:r>
        <w:rPr>
          <w:rFonts w:ascii="Arial" w:cs="Arial" w:eastAsia="Arial" w:hAnsi="Arial"/>
          <w:sz w:val="16"/>
          <w:szCs w:val="16"/>
          <w:b w:val="1"/>
          <w:bCs w:val="1"/>
          <w:u w:val="single" w:color="auto"/>
          <w:color w:val="auto"/>
        </w:rPr>
        <w:t>Exhibit 24(f)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4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5630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William T. McCormick, Jr.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7"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February 7,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6" w:name="page87"/>
    <w:bookmarkEnd w:id="86"/>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40"/>
        <w:spacing w:after="0"/>
        <w:rPr>
          <w:sz w:val="20"/>
          <w:szCs w:val="20"/>
          <w:color w:val="auto"/>
        </w:rPr>
      </w:pPr>
      <w:r>
        <w:rPr>
          <w:rFonts w:ascii="Arial" w:cs="Arial" w:eastAsia="Arial" w:hAnsi="Arial"/>
          <w:sz w:val="16"/>
          <w:szCs w:val="16"/>
          <w:b w:val="1"/>
          <w:bCs w:val="1"/>
          <w:u w:val="single" w:color="auto"/>
          <w:color w:val="auto"/>
        </w:rPr>
        <w:t>Exhibit 24(g)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5630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William T. McCormick, Jr.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244"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January 16,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87" w:name="page88"/>
    <w:bookmarkEnd w:id="87"/>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20"/>
        <w:spacing w:after="0"/>
        <w:rPr>
          <w:sz w:val="20"/>
          <w:szCs w:val="20"/>
          <w:color w:val="auto"/>
        </w:rPr>
      </w:pPr>
      <w:r>
        <w:rPr>
          <w:rFonts w:ascii="Arial" w:cs="Arial" w:eastAsia="Arial" w:hAnsi="Arial"/>
          <w:sz w:val="16"/>
          <w:szCs w:val="16"/>
          <w:b w:val="1"/>
          <w:bCs w:val="1"/>
          <w:u w:val="single" w:color="auto"/>
          <w:color w:val="auto"/>
        </w:rPr>
        <w:t>Exhibit 24(h)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35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5630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80010</wp:posOffset>
            </wp:positionV>
            <wp:extent cx="347345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William T. McCormick, Jr.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7"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January 16,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8" w:name="page89"/>
    <w:bookmarkEnd w:id="88"/>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80"/>
        <w:spacing w:after="0"/>
        <w:rPr>
          <w:sz w:val="20"/>
          <w:szCs w:val="20"/>
          <w:color w:val="auto"/>
        </w:rPr>
      </w:pPr>
      <w:r>
        <w:rPr>
          <w:rFonts w:ascii="Arial" w:cs="Arial" w:eastAsia="Arial" w:hAnsi="Arial"/>
          <w:sz w:val="16"/>
          <w:szCs w:val="16"/>
          <w:b w:val="1"/>
          <w:bCs w:val="1"/>
          <w:u w:val="single" w:color="auto"/>
          <w:color w:val="auto"/>
        </w:rPr>
        <w:t>Exhibit 24(i)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William T. McCormick,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5"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80010</wp:posOffset>
            </wp:positionV>
            <wp:extent cx="347345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Nicolas Seydoux</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Linda G. Stuntz</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7"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January 24,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89" w:name="page90"/>
    <w:bookmarkEnd w:id="89"/>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60"/>
        <w:spacing w:after="0"/>
        <w:rPr>
          <w:sz w:val="20"/>
          <w:szCs w:val="20"/>
          <w:color w:val="auto"/>
        </w:rPr>
      </w:pPr>
      <w:r>
        <w:rPr>
          <w:rFonts w:ascii="Arial" w:cs="Arial" w:eastAsia="Arial" w:hAnsi="Arial"/>
          <w:sz w:val="16"/>
          <w:szCs w:val="16"/>
          <w:b w:val="1"/>
          <w:bCs w:val="1"/>
          <w:u w:val="single" w:color="auto"/>
          <w:color w:val="auto"/>
        </w:rPr>
        <w:t>Exhibit 24(j)</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William T. McCormick,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80010</wp:posOffset>
            </wp:positionV>
            <wp:extent cx="347345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Nicolas Seydoux</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Linda G. Stuntz</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7"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January 16,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0" w:name="page91"/>
    <w:bookmarkEnd w:id="90"/>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20"/>
        <w:spacing w:after="0"/>
        <w:rPr>
          <w:sz w:val="20"/>
          <w:szCs w:val="20"/>
          <w:color w:val="auto"/>
        </w:rPr>
      </w:pPr>
      <w:r>
        <w:rPr>
          <w:rFonts w:ascii="Arial" w:cs="Arial" w:eastAsia="Arial" w:hAnsi="Arial"/>
          <w:sz w:val="16"/>
          <w:szCs w:val="16"/>
          <w:b w:val="1"/>
          <w:bCs w:val="1"/>
          <w:u w:val="single" w:color="auto"/>
          <w:color w:val="auto"/>
        </w:rPr>
        <w:t>Exhibit 24(k)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William T. McCormick,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80010</wp:posOffset>
            </wp:positionV>
            <wp:extent cx="347345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Andrew Gould</w:t>
            </w:r>
          </w:p>
        </w:tc>
        <w:tc>
          <w:tcPr>
            <w:tcW w:w="40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Linda G. Stuntz</w:t>
            </w:r>
          </w:p>
        </w:tc>
      </w:tr>
      <w:tr>
        <w:trPr>
          <w:trHeight w:val="216"/>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22"/>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w:t>
            </w:r>
          </w:p>
        </w:tc>
        <w:tc>
          <w:tcPr>
            <w:tcW w:w="40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75"/>
        </w:trPr>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309"/>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Adrian Lajous</w:t>
            </w:r>
          </w:p>
        </w:tc>
        <w:tc>
          <w:tcPr>
            <w:tcW w:w="400" w:type="dxa"/>
            <w:vAlign w:val="bottom"/>
          </w:tcPr>
          <w:p>
            <w:pPr>
              <w:spacing w:after="0"/>
              <w:rPr>
                <w:sz w:val="24"/>
                <w:szCs w:val="24"/>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Sven Ullring</w:t>
            </w:r>
          </w:p>
        </w:tc>
      </w:tr>
      <w:tr>
        <w:trPr>
          <w:trHeight w:val="222"/>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475"/>
        </w:trPr>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09"/>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André Lévy-Lang</w:t>
            </w:r>
          </w:p>
        </w:tc>
        <w:tc>
          <w:tcPr>
            <w:tcW w:w="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22"/>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326"/>
        </w:trPr>
        <w:tc>
          <w:tcPr>
            <w:tcW w:w="5460" w:type="dxa"/>
            <w:vAlign w:val="bottom"/>
            <w:gridSpan w:val="3"/>
          </w:tcPr>
          <w:p>
            <w:pPr>
              <w:ind w:left="460"/>
              <w:spacing w:after="0"/>
              <w:rPr>
                <w:sz w:val="20"/>
                <w:szCs w:val="20"/>
                <w:color w:val="auto"/>
              </w:rPr>
            </w:pPr>
            <w:r>
              <w:rPr>
                <w:rFonts w:ascii="Arial" w:cs="Arial" w:eastAsia="Arial" w:hAnsi="Arial"/>
                <w:sz w:val="18"/>
                <w:szCs w:val="18"/>
                <w:color w:val="auto"/>
              </w:rPr>
              <w:t>Date:  January 16, 2003</w:t>
            </w:r>
          </w:p>
        </w:tc>
        <w:tc>
          <w:tcPr>
            <w:tcW w:w="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83"/>
        </w:trPr>
        <w:tc>
          <w:tcPr>
            <w:tcW w:w="10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5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91" w:name="page92"/>
    <w:bookmarkEnd w:id="91"/>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480"/>
        <w:spacing w:after="0"/>
        <w:rPr>
          <w:sz w:val="20"/>
          <w:szCs w:val="20"/>
          <w:color w:val="auto"/>
        </w:rPr>
      </w:pPr>
      <w:r>
        <w:rPr>
          <w:rFonts w:ascii="Arial" w:cs="Arial" w:eastAsia="Arial" w:hAnsi="Arial"/>
          <w:sz w:val="16"/>
          <w:szCs w:val="16"/>
          <w:b w:val="1"/>
          <w:bCs w:val="1"/>
          <w:u w:val="single" w:color="auto"/>
          <w:color w:val="auto"/>
        </w:rPr>
        <w:t>Exhibit 24(l)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2002,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9518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345630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William T. McCormick,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444500</wp:posOffset>
            </wp:positionV>
            <wp:extent cx="347345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307340</wp:posOffset>
            </wp:positionV>
            <wp:extent cx="347345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5"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80010</wp:posOffset>
            </wp:positionV>
            <wp:extent cx="347345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320"/>
          </w:cols>
          <w:pgMar w:left="240" w:top="125" w:right="239" w:bottom="1440" w:gutter="0" w:footer="0" w:header="0"/>
          <w:type w:val="continuous"/>
        </w:sectPr>
      </w:pPr>
    </w:p>
    <w:p>
      <w:pPr>
        <w:spacing w:after="0" w:line="39" w:lineRule="exact"/>
        <w:rPr>
          <w:sz w:val="20"/>
          <w:szCs w:val="20"/>
          <w:color w:val="auto"/>
        </w:rPr>
      </w:pPr>
    </w:p>
    <w:p>
      <w:pPr>
        <w:ind w:left="220"/>
        <w:spacing w:after="0"/>
        <w:tabs>
          <w:tab w:leader="none" w:pos="6080" w:val="left"/>
        </w:tabs>
        <w:rPr>
          <w:sz w:val="20"/>
          <w:szCs w:val="20"/>
          <w:color w:val="auto"/>
        </w:rPr>
      </w:pPr>
      <w:r>
        <w:rPr>
          <w:rFonts w:ascii="Arial" w:cs="Arial" w:eastAsia="Arial" w:hAnsi="Arial"/>
          <w:sz w:val="18"/>
          <w:szCs w:val="18"/>
          <w:color w:val="auto"/>
        </w:rPr>
        <w:t>Adrian Lajous</w:t>
      </w:r>
      <w:r>
        <w:rPr>
          <w:sz w:val="20"/>
          <w:szCs w:val="20"/>
          <w:color w:val="auto"/>
        </w:rPr>
        <w:tab/>
      </w:r>
      <w:r>
        <w:rPr>
          <w:rFonts w:ascii="Arial" w:cs="Arial" w:eastAsia="Arial" w:hAnsi="Arial"/>
          <w:sz w:val="16"/>
          <w:szCs w:val="16"/>
          <w:color w:val="auto"/>
        </w:rPr>
        <w:t>Sven Ullring</w:t>
      </w:r>
    </w:p>
    <w:p>
      <w:pPr>
        <w:spacing w:after="0" w:line="15" w:lineRule="exact"/>
        <w:rPr>
          <w:sz w:val="20"/>
          <w:szCs w:val="20"/>
          <w:color w:val="auto"/>
        </w:rPr>
      </w:pPr>
    </w:p>
    <w:p>
      <w:pPr>
        <w:ind w:left="220"/>
        <w:spacing w:after="0"/>
        <w:tabs>
          <w:tab w:leader="none" w:pos="608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5630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151"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January 16, 2003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type w:val="continuous"/>
        </w:sectPr>
      </w:pPr>
    </w:p>
    <w:bookmarkStart w:id="92" w:name="page93"/>
    <w:bookmarkEnd w:id="92"/>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period ending December 31, 2002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93"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27, 2003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93" w:name="page94"/>
    <w:bookmarkEnd w:id="93"/>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99.2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period ending December 31, 2002 as filed with the Securities and Exchange Commission on the date hereof (the “Report”), I, Jean-Marc Perraud, Chief Financial Officer of the Company, certify, pursuant to 18 U.S.C. § 1350, as adopted pursuant to § 906 of the Sarbanes-Oxley Act of 2002, that:</w:t>
      </w:r>
    </w:p>
    <w:p>
      <w:pPr>
        <w:spacing w:after="0" w:line="93"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27,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94" w:name="page95"/>
    <w:bookmarkEnd w:id="94"/>
    <w:p>
      <w:pPr>
        <w:ind w:left="10660"/>
        <w:spacing w:after="0"/>
        <w:rPr>
          <w:sz w:val="20"/>
          <w:szCs w:val="20"/>
          <w:color w:val="auto"/>
        </w:rPr>
      </w:pPr>
      <w:r>
        <w:rPr>
          <w:rFonts w:ascii="Arial" w:cs="Arial" w:eastAsia="Arial" w:hAnsi="Arial"/>
          <w:sz w:val="16"/>
          <w:szCs w:val="16"/>
          <w:b w:val="1"/>
          <w:bCs w:val="1"/>
          <w:u w:val="single" w:color="auto"/>
          <w:color w:val="auto"/>
        </w:rPr>
        <w:t>10-K 2002</w:t>
      </w:r>
    </w:p>
    <w:p>
      <w:pPr>
        <w:spacing w:after="0" w:line="44"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99.3</w:t>
      </w:r>
    </w:p>
    <w:p>
      <w:pPr>
        <w:spacing w:after="0" w:line="1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33-35606; 33-47592; 33-86424; 333-40227; 333-62545; 333-36366; 333-33364 and 333-67330.</w:t>
      </w:r>
    </w:p>
    <w:p>
      <w:pPr>
        <w:spacing w:after="0" w:line="127"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upperLetter"/>
      <w:start w:val="11"/>
    </w:lvl>
  </w:abstractNum>
  <w:abstractNum w:abstractNumId="2">
    <w:nsid w:val="8EDBDAB"/>
    <w:multiLevelType w:val="hybridMultilevel"/>
    <w:lvl w:ilvl="0">
      <w:lvlJc w:val="left"/>
      <w:lvlText w:val="n"/>
      <w:numFmt w:val="bullet"/>
      <w:start w:val="1"/>
    </w:lvl>
  </w:abstractNum>
  <w:abstractNum w:abstractNumId="3">
    <w:nsid w:val="79838CB2"/>
    <w:multiLevelType w:val="hybridMultilevel"/>
    <w:lvl w:ilvl="0">
      <w:lvlJc w:val="left"/>
      <w:lvlText w:val="n"/>
      <w:numFmt w:val="bullet"/>
      <w:start w:val="1"/>
    </w:lvl>
  </w:abstractNum>
  <w:abstractNum w:abstractNumId="4">
    <w:nsid w:val="4353D0CD"/>
    <w:multiLevelType w:val="hybridMultilevel"/>
    <w:lvl w:ilvl="0">
      <w:lvlJc w:val="left"/>
      <w:lvlText w:val="n"/>
      <w:numFmt w:val="bullet"/>
      <w:start w:val="1"/>
    </w:lvl>
  </w:abstractNum>
  <w:abstractNum w:abstractNumId="5">
    <w:nsid w:val="B03E0C6"/>
    <w:multiLevelType w:val="hybridMultilevel"/>
    <w:lvl w:ilvl="0">
      <w:lvlJc w:val="left"/>
      <w:lvlText w:val="n"/>
      <w:numFmt w:val="bullet"/>
      <w:start w:val="1"/>
    </w:lvl>
  </w:abstractNum>
  <w:abstractNum w:abstractNumId="6">
    <w:nsid w:val="189A769B"/>
    <w:multiLevelType w:val="hybridMultilevel"/>
    <w:lvl w:ilvl="0">
      <w:lvlJc w:val="left"/>
      <w:lvlText w:val="n"/>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n"/>
      <w:numFmt w:val="bullet"/>
      <w:start w:val="1"/>
    </w:lvl>
  </w:abstractNum>
  <w:abstractNum w:abstractNumId="9">
    <w:nsid w:val="2CA88611"/>
    <w:multiLevelType w:val="hybridMultilevel"/>
    <w:lvl w:ilvl="0">
      <w:lvlJc w:val="left"/>
      <w:lvlText w:val="n"/>
      <w:numFmt w:val="bullet"/>
      <w:start w:val="1"/>
    </w:lvl>
  </w:abstractNum>
  <w:abstractNum w:abstractNumId="10">
    <w:nsid w:val="836C40E"/>
    <w:multiLevelType w:val="hybridMultilevel"/>
    <w:lvl w:ilvl="0">
      <w:lvlJc w:val="left"/>
      <w:lvlText w:val="n"/>
      <w:numFmt w:val="bullet"/>
      <w:start w:val="1"/>
    </w:lvl>
  </w:abstractNum>
  <w:abstractNum w:abstractNumId="11">
    <w:nsid w:val="2901D82"/>
    <w:multiLevelType w:val="hybridMultilevel"/>
    <w:lvl w:ilvl="0">
      <w:lvlJc w:val="left"/>
      <w:lvlText w:val="n"/>
      <w:numFmt w:val="bullet"/>
      <w:start w:val="1"/>
    </w:lvl>
  </w:abstractNum>
  <w:abstractNum w:abstractNumId="12">
    <w:nsid w:val="3A95F874"/>
    <w:multiLevelType w:val="hybridMultilevel"/>
    <w:lvl w:ilvl="0">
      <w:lvlJc w:val="left"/>
      <w:lvlText w:val="n"/>
      <w:numFmt w:val="bullet"/>
      <w:start w:val="1"/>
    </w:lvl>
  </w:abstractNum>
  <w:abstractNum w:abstractNumId="13">
    <w:nsid w:val="8138641"/>
    <w:multiLevelType w:val="hybridMultilevel"/>
    <w:lvl w:ilvl="0">
      <w:lvlJc w:val="left"/>
      <w:lvlText w:val="n"/>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bullet"/>
      <w:start w:val="1"/>
    </w:lvl>
  </w:abstractNum>
  <w:abstractNum w:abstractNumId="17">
    <w:nsid w:val="6CEAF087"/>
    <w:multiLevelType w:val="hybridMultilevel"/>
    <w:lvl w:ilvl="0">
      <w:lvlJc w:val="left"/>
      <w:lvlText w:val="1"/>
      <w:numFmt w:val="bullet"/>
      <w:start w:val="1"/>
    </w:lvl>
  </w:abstractNum>
  <w:abstractNum w:abstractNumId="18">
    <w:nsid w:val="22221A70"/>
    <w:multiLevelType w:val="hybridMultilevel"/>
    <w:lvl w:ilvl="0">
      <w:lvlJc w:val="left"/>
      <w:lvlText w:val="%1)"/>
      <w:numFmt w:val="upperLetter"/>
      <w:start w:val="35"/>
    </w:lvl>
  </w:abstractNum>
  <w:abstractNum w:abstractNumId="19">
    <w:nsid w:val="4516DDE9"/>
    <w:multiLevelType w:val="hybridMultilevel"/>
    <w:lvl w:ilvl="0">
      <w:lvlJc w:val="left"/>
      <w:lvlText w:val="n"/>
      <w:numFmt w:val="bullet"/>
      <w:start w:val="1"/>
    </w:lvl>
  </w:abstractNum>
  <w:abstractNum w:abstractNumId="20">
    <w:nsid w:val="3006C83E"/>
    <w:multiLevelType w:val="hybridMultilevel"/>
    <w:lvl w:ilvl="0">
      <w:lvlJc w:val="left"/>
      <w:lvlText w:val="n"/>
      <w:numFmt w:val="bullet"/>
      <w:start w:val="1"/>
    </w:lvl>
  </w:abstractNum>
  <w:abstractNum w:abstractNumId="21">
    <w:nsid w:val="614FD4A1"/>
    <w:multiLevelType w:val="hybridMultilevel"/>
    <w:lvl w:ilvl="0">
      <w:lvlJc w:val="left"/>
      <w:lvlText w:val="n"/>
      <w:numFmt w:val="bullet"/>
      <w:start w:val="1"/>
    </w:lvl>
  </w:abstractNum>
  <w:abstractNum w:abstractNumId="22">
    <w:nsid w:val="419AC241"/>
    <w:multiLevelType w:val="hybridMultilevel"/>
    <w:lvl w:ilvl="0">
      <w:lvlJc w:val="left"/>
      <w:lvlText w:val="n"/>
      <w:numFmt w:val="bullet"/>
      <w:start w:val="1"/>
    </w:lvl>
  </w:abstractNum>
  <w:abstractNum w:abstractNumId="23">
    <w:nsid w:val="5577F8E1"/>
    <w:multiLevelType w:val="hybridMultilevel"/>
    <w:lvl w:ilvl="0">
      <w:lvlJc w:val="left"/>
      <w:lvlText w:val="n"/>
      <w:numFmt w:val="bullet"/>
      <w:start w:val="1"/>
    </w:lvl>
  </w:abstractNum>
  <w:abstractNum w:abstractNumId="24">
    <w:nsid w:val="440BADFC"/>
    <w:multiLevelType w:val="hybridMultilevel"/>
    <w:lvl w:ilvl="0">
      <w:lvlJc w:val="left"/>
      <w:lvlText w:val="n"/>
      <w:numFmt w:val="bullet"/>
      <w:start w:val="1"/>
    </w:lvl>
  </w:abstractNum>
  <w:abstractNum w:abstractNumId="25">
    <w:nsid w:val="5072367"/>
    <w:multiLevelType w:val="hybridMultilevel"/>
    <w:lvl w:ilvl="0">
      <w:lvlJc w:val="left"/>
      <w:lvlText w:val="n"/>
      <w:numFmt w:val="bullet"/>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bullet"/>
      <w:start w:val="1"/>
    </w:lvl>
  </w:abstractNum>
  <w:abstractNum w:abstractNumId="30">
    <w:nsid w:val="2463B9EA"/>
    <w:multiLevelType w:val="hybridMultilevel"/>
    <w:lvl w:ilvl="0">
      <w:lvlJc w:val="left"/>
      <w:lvlText w:val="2"/>
      <w:numFmt w:val="bullet"/>
      <w:start w:val="1"/>
    </w:lvl>
  </w:abstractNum>
  <w:abstractNum w:abstractNumId="31">
    <w:nsid w:val="5E884ADC"/>
    <w:multiLevelType w:val="hybridMultilevel"/>
    <w:lvl w:ilvl="0">
      <w:lvlJc w:val="left"/>
      <w:lvlText w:val="3"/>
      <w:numFmt w:val="bullet"/>
      <w:start w:val="1"/>
    </w:lvl>
  </w:abstractNum>
  <w:abstractNum w:abstractNumId="32">
    <w:nsid w:val="51EAD36B"/>
    <w:multiLevelType w:val="hybridMultilevel"/>
    <w:lvl w:ilvl="0">
      <w:lvlJc w:val="left"/>
      <w:lvlText w:val="4"/>
      <w:numFmt w:val="bullet"/>
      <w:start w:val="1"/>
    </w:lvl>
  </w:abstractNum>
  <w:abstractNum w:abstractNumId="33">
    <w:nsid w:val="2D517796"/>
    <w:multiLevelType w:val="hybridMultilevel"/>
    <w:lvl w:ilvl="0">
      <w:lvlJc w:val="left"/>
      <w:lvlText w:val="5"/>
      <w:numFmt w:val="bullet"/>
      <w:start w:val="1"/>
    </w:lvl>
  </w:abstractNum>
  <w:abstractNum w:abstractNumId="34">
    <w:nsid w:val="580BD78F"/>
    <w:multiLevelType w:val="hybridMultilevel"/>
    <w:lvl w:ilvl="0">
      <w:lvlJc w:val="left"/>
      <w:lvlText w:val="6"/>
      <w:numFmt w:val="bullet"/>
      <w:start w:val="1"/>
    </w:lvl>
  </w:abstractNum>
  <w:abstractNum w:abstractNumId="35">
    <w:nsid w:val="153EA438"/>
    <w:multiLevelType w:val="hybridMultilevel"/>
    <w:lvl w:ilvl="0">
      <w:lvlJc w:val="left"/>
      <w:lvlText w:val="7"/>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2"/>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lvl w:ilvl="1">
      <w:lvlJc w:val="left"/>
      <w:lvlText w:val="(%2)"/>
      <w:numFmt w:val="decimal"/>
      <w:start w:val="4"/>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bullet"/>
      <w:start w:val="1"/>
    </w:lvl>
  </w:abstractNum>
  <w:abstractNum w:abstractNumId="43">
    <w:nsid w:val="57E4CCAF"/>
    <w:multiLevelType w:val="hybridMultilevel"/>
    <w:lvl w:ilvl="0">
      <w:lvlJc w:val="left"/>
      <w:lvlText w:val="2"/>
      <w:numFmt w:val="bullet"/>
      <w:start w:val="1"/>
    </w:lvl>
  </w:abstractNum>
  <w:abstractNum w:abstractNumId="44">
    <w:nsid w:val="7A6D8D3C"/>
    <w:multiLevelType w:val="hybridMultilevel"/>
    <w:lvl w:ilvl="0">
      <w:lvlJc w:val="left"/>
      <w:lvlText w:val="1"/>
      <w:numFmt w:val="bullet"/>
      <w:start w:val="1"/>
    </w:lvl>
  </w:abstractNum>
  <w:abstractNum w:abstractNumId="45">
    <w:nsid w:val="4B588F5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2019-12-13T06:30:44Z</dcterms:created>
  <dcterms:modified xsi:type="dcterms:W3CDTF">2019-12-13T06:30:44Z</dcterms:modified>
</cp:coreProperties>
</file>