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PECIALIZED</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(SCHLUMBERGER LIMITED)</w:t>
      </w: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316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Curaçao</w:t>
            </w:r>
          </w:p>
        </w:tc>
        <w:tc>
          <w:tcPr>
            <w:tcW w:w="3480" w:type="dxa"/>
            <w:vAlign w:val="bottom"/>
          </w:tcPr>
          <w:p>
            <w:pPr>
              <w:jc w:val="center"/>
              <w:ind w:right="42"/>
              <w:spacing w:after="0"/>
              <w:rPr>
                <w:sz w:val="20"/>
                <w:szCs w:val="20"/>
                <w:color w:val="auto"/>
              </w:rPr>
            </w:pPr>
            <w:r>
              <w:rPr>
                <w:rFonts w:ascii="Arial" w:cs="Arial" w:eastAsia="Arial" w:hAnsi="Arial"/>
                <w:sz w:val="18"/>
                <w:szCs w:val="18"/>
                <w:b w:val="1"/>
                <w:bCs w:val="1"/>
                <w:color w:val="auto"/>
                <w:w w:val="92"/>
              </w:rPr>
              <w:t>1-4601</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3160" w:type="dxa"/>
            <w:vAlign w:val="bottom"/>
          </w:tcPr>
          <w:p>
            <w:pPr>
              <w:jc w:val="center"/>
              <w:ind w:right="12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60" w:type="dxa"/>
            <w:vAlign w:val="bottom"/>
          </w:tcPr>
          <w:p>
            <w:pPr>
              <w:jc w:val="center"/>
              <w:ind w:right="120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sectPr>
          <w:pgSz w:w="11900" w:h="16838" w:orient="portrait"/>
          <w:cols w:equalWidth="0" w:num="1">
            <w:col w:w="11360"/>
          </w:cols>
          <w:pgMar w:left="240" w:top="368" w:right="299" w:bottom="1440" w:gutter="0" w:footer="0" w:header="0"/>
        </w:sectPr>
      </w:pPr>
    </w:p>
    <w:p>
      <w:pPr>
        <w:jc w:val="center"/>
        <w:ind w:right="5080"/>
        <w:spacing w:after="0"/>
        <w:rPr>
          <w:sz w:val="20"/>
          <w:szCs w:val="20"/>
          <w:color w:val="auto"/>
        </w:rPr>
      </w:pPr>
      <w:r>
        <w:rPr>
          <w:rFonts w:ascii="Arial" w:cs="Arial" w:eastAsia="Arial" w:hAnsi="Arial"/>
          <w:sz w:val="18"/>
          <w:szCs w:val="18"/>
          <w:b w:val="1"/>
          <w:bCs w:val="1"/>
          <w:color w:val="auto"/>
        </w:rPr>
        <w:t>42, rue Saint-Dominique</w:t>
      </w:r>
    </w:p>
    <w:p>
      <w:pPr>
        <w:spacing w:after="0" w:line="27"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Paris, France</w:t>
      </w:r>
    </w:p>
    <w:p>
      <w:pPr>
        <w:spacing w:after="0" w:line="220"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5599 San Felipe, 17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080"/>
        <w:spacing w:after="0"/>
        <w:rPr>
          <w:sz w:val="20"/>
          <w:szCs w:val="20"/>
          <w:color w:val="auto"/>
        </w:rPr>
      </w:pPr>
      <w:r>
        <w:rPr>
          <w:rFonts w:ascii="Arial" w:cs="Arial" w:eastAsia="Arial" w:hAnsi="Arial"/>
          <w:sz w:val="16"/>
          <w:szCs w:val="16"/>
          <w:b w:val="1"/>
          <w:bCs w:val="1"/>
          <w:color w:val="auto"/>
        </w:rPr>
        <w:t>Houston, Texas United States of America</w:t>
      </w:r>
    </w:p>
    <w:p>
      <w:pPr>
        <w:spacing w:after="0" w:line="243"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62 Buckingham Gate</w:t>
      </w:r>
    </w:p>
    <w:p>
      <w:pPr>
        <w:spacing w:after="0" w:line="27"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London, United Kingdom</w:t>
      </w:r>
    </w:p>
    <w:p>
      <w:pPr>
        <w:spacing w:after="0" w:line="220"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Parkstraat 83, The Hague,</w:t>
      </w:r>
    </w:p>
    <w:p>
      <w:pPr>
        <w:spacing w:after="0" w:line="27" w:lineRule="exact"/>
        <w:rPr>
          <w:sz w:val="24"/>
          <w:szCs w:val="24"/>
          <w:color w:val="auto"/>
        </w:rPr>
      </w:pPr>
    </w:p>
    <w:p>
      <w:pPr>
        <w:jc w:val="center"/>
        <w:ind w:right="5080"/>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(Addresses of principal executive offices)</w:t>
      </w:r>
    </w:p>
    <w:p>
      <w:pPr>
        <w:spacing w:after="0" w:line="199" w:lineRule="exact"/>
        <w:rPr>
          <w:sz w:val="24"/>
          <w:szCs w:val="24"/>
          <w:color w:val="auto"/>
        </w:rPr>
      </w:pPr>
    </w:p>
    <w:p>
      <w:pPr>
        <w:jc w:val="center"/>
        <w:ind w:left="2460"/>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left="2460"/>
        <w:spacing w:after="0"/>
        <w:rPr>
          <w:sz w:val="20"/>
          <w:szCs w:val="20"/>
          <w:color w:val="auto"/>
        </w:rPr>
      </w:pPr>
      <w:r>
        <w:rPr>
          <w:rFonts w:ascii="Arial" w:cs="Arial" w:eastAsia="Arial" w:hAnsi="Arial"/>
          <w:sz w:val="18"/>
          <w:szCs w:val="18"/>
          <w:b w:val="1"/>
          <w:bCs w:val="1"/>
          <w:color w:val="auto"/>
        </w:rPr>
        <w:t>Deputy General Counsel</w:t>
      </w:r>
    </w:p>
    <w:p>
      <w:pPr>
        <w:spacing w:after="0" w:line="9" w:lineRule="exact"/>
        <w:rPr>
          <w:sz w:val="24"/>
          <w:szCs w:val="24"/>
          <w:color w:val="auto"/>
        </w:rPr>
      </w:pPr>
    </w:p>
    <w:p>
      <w:pPr>
        <w:jc w:val="center"/>
        <w:ind w:left="2460"/>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Name and telephone number, including area code, of the person to contact in connection with this report.</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5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77056</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SW1E 6AJ</w:t>
      </w:r>
    </w:p>
    <w:p>
      <w:pPr>
        <w:spacing w:after="0" w:line="200" w:lineRule="exact"/>
        <w:rPr>
          <w:sz w:val="24"/>
          <w:szCs w:val="24"/>
          <w:color w:val="auto"/>
        </w:rPr>
      </w:pPr>
    </w:p>
    <w:p>
      <w:pPr>
        <w:spacing w:after="0" w:line="278"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2514 JG</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(Zip Codes)</w:t>
      </w:r>
    </w:p>
    <w:p>
      <w:pPr>
        <w:spacing w:after="0" w:line="1212" w:lineRule="exact"/>
        <w:rPr>
          <w:sz w:val="24"/>
          <w:szCs w:val="24"/>
          <w:color w:val="auto"/>
        </w:rPr>
      </w:pPr>
    </w:p>
    <w:p>
      <w:pPr>
        <w:sectPr>
          <w:pgSz w:w="11900" w:h="16838" w:orient="portrait"/>
          <w:cols w:equalWidth="0" w:num="2">
            <w:col w:w="8980" w:space="200"/>
            <w:col w:w="2180"/>
          </w:cols>
          <w:pgMar w:left="240" w:top="368" w:right="299" w:bottom="1440" w:gutter="0" w:footer="0" w:header="0"/>
          <w:type w:val="continuous"/>
        </w:sectPr>
      </w:pP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2014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2014. Both of these documents are publicly available on the Company’s website at: http://www.slb.com/about/global_citizenship/conflict_minerals.aspx.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2015</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40" w:top="270"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11"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2014 to December 31, 2014.</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an oilfield services company, Schlumberger is the world’s leading supplier of technology, integrated project management and information solutions to the international oil and gas exploration and production industry. Schlumberger operates in each of the major oilfield service markets, managing its business through three Groups — Reservoir Characterization, Drilling and Production — each consisting of a number of technology-based service and product lines.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relates to products sold: (a) that contain conflict minerals necessary to their functionality or production (“</w:t>
      </w:r>
      <w:r>
        <w:rPr>
          <w:rFonts w:ascii="Arial" w:cs="Arial" w:eastAsia="Arial" w:hAnsi="Arial"/>
          <w:sz w:val="16"/>
          <w:szCs w:val="16"/>
          <w:b w:val="1"/>
          <w:bCs w:val="1"/>
          <w:i w:val="1"/>
          <w:iCs w:val="1"/>
          <w:color w:val="auto"/>
        </w:rPr>
        <w:t>necessary conflict minerals</w:t>
      </w:r>
      <w:r>
        <w:rPr>
          <w:rFonts w:ascii="Arial" w:cs="Arial" w:eastAsia="Arial" w:hAnsi="Arial"/>
          <w:sz w:val="16"/>
          <w:szCs w:val="16"/>
          <w:color w:val="auto"/>
        </w:rPr>
        <w:t>”);</w:t>
      </w:r>
    </w:p>
    <w:p>
      <w:pPr>
        <w:spacing w:after="0" w:line="46" w:lineRule="exact"/>
        <w:rPr>
          <w:sz w:val="20"/>
          <w:szCs w:val="20"/>
          <w:color w:val="auto"/>
        </w:rPr>
      </w:pPr>
    </w:p>
    <w:p>
      <w:pPr>
        <w:ind w:right="220" w:firstLine="8"/>
        <w:spacing w:after="0" w:line="290"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we had reason to believe may have originated in the Democratic Republic of the Congo or an adjoining country (the “</w:t>
      </w:r>
      <w:r>
        <w:rPr>
          <w:rFonts w:ascii="Arial" w:cs="Arial" w:eastAsia="Arial" w:hAnsi="Arial"/>
          <w:sz w:val="16"/>
          <w:szCs w:val="16"/>
          <w:b w:val="1"/>
          <w:bCs w:val="1"/>
          <w:i w:val="1"/>
          <w:iCs w:val="1"/>
          <w:color w:val="auto"/>
        </w:rPr>
        <w:t>covered countries</w:t>
      </w:r>
      <w:r>
        <w:rPr>
          <w:rFonts w:ascii="Arial" w:cs="Arial" w:eastAsia="Arial" w:hAnsi="Arial"/>
          <w:sz w:val="16"/>
          <w:szCs w:val="16"/>
          <w:color w:val="auto"/>
        </w:rPr>
        <w:t>”) and may not have come from recycled or scrap sources; and (c) that we manufactured, or contracted to be manufactured, in 2014 (the “</w:t>
      </w:r>
      <w:r>
        <w:rPr>
          <w:rFonts w:ascii="Arial" w:cs="Arial" w:eastAsia="Arial" w:hAnsi="Arial"/>
          <w:sz w:val="16"/>
          <w:szCs w:val="16"/>
          <w:b w:val="1"/>
          <w:bCs w:val="1"/>
          <w:i w:val="1"/>
          <w:iCs w:val="1"/>
          <w:color w:val="auto"/>
        </w:rPr>
        <w:t>covered products</w:t>
      </w:r>
      <w:r>
        <w:rPr>
          <w:rFonts w:ascii="Arial" w:cs="Arial" w:eastAsia="Arial" w:hAnsi="Arial"/>
          <w:sz w:val="16"/>
          <w:szCs w:val="16"/>
          <w:color w:val="auto"/>
        </w:rPr>
        <w:t xml:space="preserve">”). The covered products, organized by Group, are as follows: </w:t>
      </w:r>
      <w:r>
        <w:rPr>
          <w:rFonts w:ascii="Arial" w:cs="Arial" w:eastAsia="Arial" w:hAnsi="Arial"/>
          <w:sz w:val="16"/>
          <w:szCs w:val="16"/>
          <w:i w:val="1"/>
          <w:iCs w:val="1"/>
          <w:color w:val="auto"/>
        </w:rPr>
        <w:t>Reservoir Characterization</w:t>
      </w:r>
      <w:r>
        <w:rPr>
          <w:rFonts w:ascii="Arial" w:cs="Arial" w:eastAsia="Arial" w:hAnsi="Arial"/>
          <w:sz w:val="16"/>
          <w:szCs w:val="16"/>
          <w:color w:val="auto"/>
        </w:rPr>
        <w:t xml:space="preserve"> — permanent multiphase meters; subsea safety valves; oil, gas and core analysis laboratory equipment; seismic land acquisition systems; perforating hardware and accessories; </w:t>
      </w:r>
      <w:r>
        <w:rPr>
          <w:rFonts w:ascii="Arial" w:cs="Arial" w:eastAsia="Arial" w:hAnsi="Arial"/>
          <w:sz w:val="16"/>
          <w:szCs w:val="16"/>
          <w:i w:val="1"/>
          <w:iCs w:val="1"/>
          <w:color w:val="auto"/>
        </w:rPr>
        <w:t>Drilling</w:t>
      </w:r>
      <w:r>
        <w:rPr>
          <w:rFonts w:ascii="Arial" w:cs="Arial" w:eastAsia="Arial" w:hAnsi="Arial"/>
          <w:sz w:val="16"/>
          <w:szCs w:val="16"/>
          <w:color w:val="auto"/>
        </w:rPr>
        <w:t xml:space="preserve"> — downhole drilling tools; solids and pressure control equipment for drilling fluids systems; data acquisition equipment for drilling operations; </w:t>
      </w:r>
      <w:r>
        <w:rPr>
          <w:rFonts w:ascii="Arial" w:cs="Arial" w:eastAsia="Arial" w:hAnsi="Arial"/>
          <w:sz w:val="16"/>
          <w:szCs w:val="16"/>
          <w:i w:val="1"/>
          <w:iCs w:val="1"/>
          <w:color w:val="auto"/>
        </w:rPr>
        <w:t>Production</w:t>
      </w:r>
      <w:r>
        <w:rPr>
          <w:rFonts w:ascii="Arial" w:cs="Arial" w:eastAsia="Arial" w:hAnsi="Arial"/>
          <w:sz w:val="16"/>
          <w:szCs w:val="16"/>
          <w:color w:val="auto"/>
        </w:rPr>
        <w:t xml:space="preserve"> — surface and downhole completions tools; artificial lift pumps; stimulation pumping and cementing equipment; and groundwater monitoring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adopted a policy relating to conflict minerals in our products (the “</w:t>
      </w:r>
      <w:r>
        <w:rPr>
          <w:rFonts w:ascii="Arial" w:cs="Arial" w:eastAsia="Arial" w:hAnsi="Arial"/>
          <w:sz w:val="18"/>
          <w:szCs w:val="18"/>
          <w:b w:val="1"/>
          <w:bCs w:val="1"/>
          <w:i w:val="1"/>
          <w:iCs w:val="1"/>
          <w:color w:val="auto"/>
        </w:rPr>
        <w:t>Conflict Minerals Policy</w:t>
      </w:r>
      <w:r>
        <w:rPr>
          <w:rFonts w:ascii="Arial" w:cs="Arial" w:eastAsia="Arial" w:hAnsi="Arial"/>
          <w:sz w:val="18"/>
          <w:szCs w:val="18"/>
          <w:color w:val="auto"/>
        </w:rPr>
        <w:t>”), incorporating relevant standards contained in the OECD Guidance, which is available at http://www.slb.com/about/global_citizenship/conflict_minerals.aspx. The Conflict Minerals Policy iterates our commitment to responsibly source materials from suppliers that share our values. It reflects our expectation that our immediate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Members of our business, legal, engineering, procurement and sourcing, and information technology functions comprised a core team that was involved in various phases of compliance with the Rule. Parts of this core team have processes and protocols in place to provide for controls and transparency over the conflict minerals supply chain. The core team formally reports to senior management on the progress of our compliance efforts throughout the Company and promotes consistency in interpretation of the Rule and industry practice and in implementation of our compliance efforts.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2013 we established a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 Senior management was briefed about the progress of our due diligence efforts on a periodic basis in 2014 and 2015. In addition, members of the core team presented to their respective business unit Presidents a final, formal review of: (a) their findings as to the source and status of the necessary conflict minerals contained in the covered products sold by their business unit; and (b) their unit’s due diligence efforts.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(a) adopted various processes related to our conflict minerals compliance efforts and determinations; (b) adopted standardized data templates for all business units to ensure consistency across various information technology systems; (c) improved our electronic repository to retain relevant documentation concerning our conflict minerals compliance efforts and determinations; and (d) adopted written summaries, reviewed by the President of each relevant business unit, describing how each such business unit complied with the Rule and which of its products were subject to the Rule.</w:t>
      </w:r>
    </w:p>
    <w:p>
      <w:pPr>
        <w:spacing w:after="0" w:line="154"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we do not, except in very rare instances, have direct relationships with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engaged with others in our industry to compare and assess due diligence practices, identify SORs in our supply chains and formulate potential improvements in our ongoing due diligence efforts. We implemented a supply chain transparency system through the use of due diligence tools developed by the Conflict-Free Sourcing Initiative (“CFSI”), including the CFSI’s Conflict Minerals Reporting Template (the “</w:t>
      </w:r>
      <w:r>
        <w:rPr>
          <w:rFonts w:ascii="Arial" w:cs="Arial" w:eastAsia="Arial" w:hAnsi="Arial"/>
          <w:sz w:val="17"/>
          <w:szCs w:val="17"/>
          <w:b w:val="1"/>
          <w:bCs w:val="1"/>
          <w:i w:val="1"/>
          <w:iCs w:val="1"/>
          <w:color w:val="auto"/>
        </w:rPr>
        <w:t>Template</w:t>
      </w:r>
      <w:r>
        <w:rPr>
          <w:rFonts w:ascii="Arial" w:cs="Arial" w:eastAsia="Arial" w:hAnsi="Arial"/>
          <w:sz w:val="17"/>
          <w:szCs w:val="17"/>
          <w:color w:val="auto"/>
        </w:rPr>
        <w:t>”), which is designed to identify the SORs that process the conflict minerals in a company’s supply chain. We also support our suppliers’ use of validation, certification and audit programs on SORs upstream in our supply chain, such as those developed by CFSI; the ITRI Tin Supply Chain Initiative (“</w:t>
      </w:r>
      <w:r>
        <w:rPr>
          <w:rFonts w:ascii="Arial" w:cs="Arial" w:eastAsia="Arial" w:hAnsi="Arial"/>
          <w:sz w:val="17"/>
          <w:szCs w:val="17"/>
          <w:b w:val="1"/>
          <w:bCs w:val="1"/>
          <w:i w:val="1"/>
          <w:iCs w:val="1"/>
          <w:color w:val="auto"/>
        </w:rPr>
        <w:t>iTSCi</w:t>
      </w:r>
      <w:r>
        <w:rPr>
          <w:rFonts w:ascii="Arial" w:cs="Arial" w:eastAsia="Arial" w:hAnsi="Arial"/>
          <w:sz w:val="17"/>
          <w:szCs w:val="17"/>
          <w:color w:val="auto"/>
        </w:rPr>
        <w:t>”); Tungsten Industry – Conflict Mineral Council Framework (“</w:t>
      </w:r>
      <w:r>
        <w:rPr>
          <w:rFonts w:ascii="Arial" w:cs="Arial" w:eastAsia="Arial" w:hAnsi="Arial"/>
          <w:sz w:val="17"/>
          <w:szCs w:val="17"/>
          <w:b w:val="1"/>
          <w:bCs w:val="1"/>
          <w:i w:val="1"/>
          <w:iCs w:val="1"/>
          <w:color w:val="auto"/>
        </w:rPr>
        <w:t>ti-cmc</w:t>
      </w:r>
      <w:r>
        <w:rPr>
          <w:rFonts w:ascii="Arial" w:cs="Arial" w:eastAsia="Arial" w:hAnsi="Arial"/>
          <w:sz w:val="17"/>
          <w:szCs w:val="17"/>
          <w:color w:val="auto"/>
        </w:rPr>
        <w:t>”); the London Bullion Market Association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the Responsible Jewellery Council (“</w:t>
      </w:r>
      <w:r>
        <w:rPr>
          <w:rFonts w:ascii="Arial" w:cs="Arial" w:eastAsia="Arial" w:hAnsi="Arial"/>
          <w:sz w:val="17"/>
          <w:szCs w:val="17"/>
          <w:b w:val="1"/>
          <w:bCs w:val="1"/>
          <w:i w:val="1"/>
          <w:iCs w:val="1"/>
          <w:color w:val="auto"/>
        </w:rPr>
        <w:t>RJC</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4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maintain a company-level grievance mechanism, as described in our Code of Conduct, that enables employees and others to anonymously report concerns, including any concerns regarding our conflict minerals supply chain. Throughout the year, we communicated this mechanism to our employees through internal webinars on conflict minerals.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identify and assess the risks in our supply chain, we first identified products for sale that we manufactured or contracted to manufacture in 2014, that contained, or that may contain, necessary conflict minerals. If we determined there was a reasonable possibility that conflict minerals were contained in such products, we considered these products to be within the scope of the Rule for purposes of gathering further information. We then identified our Tier 1 suppliers from which we purchased parts or components for such products.</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contained in our covered products and to determine whether any such necessary conflict minerals came from recycled or scrap sources. In conducting due diligence, we prioritized responses from certain of our suppliers, as determined based on their strategic importance to us and our annual spend with such suppliers; we communicated this priority to our third-party data collection and aggregation provider in an effort to increase the response rate of these higher-risk suppliers.</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(FAQs) regarding, among other things, conflict minerals tracing. We requested product-level information from our Tier 1 suppliers on the parts and products we purchased from them. Suppliers were allowed to submit multiple responses as necessary to address all such parts and products. We analyzed all responses to determine their scope. As described further in the “Results of Supply Chain Due Diligence” section below, in most cases, our Tier 1 suppliers’ responses were at the company level, rather than at the product level.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pursued subsequent engagement with certain suppliers, which included the following:</w:t>
      </w:r>
    </w:p>
    <w:p>
      <w:pPr>
        <w:spacing w:after="0" w:line="131"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 to non-responsive suppliers;</w:t>
      </w:r>
    </w:p>
    <w:p>
      <w:pPr>
        <w:spacing w:after="0" w:line="130" w:lineRule="exact"/>
        <w:rPr>
          <w:rFonts w:ascii="Arial" w:cs="Arial" w:eastAsia="Arial" w:hAnsi="Arial"/>
          <w:sz w:val="18"/>
          <w:szCs w:val="18"/>
          <w:color w:val="auto"/>
        </w:rPr>
      </w:pPr>
    </w:p>
    <w:p>
      <w:pPr>
        <w:ind w:left="660" w:right="220" w:hanging="20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after these email reminders were contacted by phone and offered assistance, including further information about the conflict minerals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by CFSI’s Conflict-Free Smelter Program (the “</w:t>
      </w:r>
      <w:r>
        <w:rPr>
          <w:rFonts w:ascii="Arial" w:cs="Arial" w:eastAsia="Arial" w:hAnsi="Arial"/>
          <w:sz w:val="18"/>
          <w:szCs w:val="18"/>
          <w:b w:val="1"/>
          <w:bCs w:val="1"/>
          <w:i w:val="1"/>
          <w:iCs w:val="1"/>
          <w:color w:val="auto"/>
        </w:rPr>
        <w:t>CFSP</w:t>
      </w:r>
      <w:r>
        <w:rPr>
          <w:rFonts w:ascii="Arial" w:cs="Arial" w:eastAsia="Arial" w:hAnsi="Arial"/>
          <w:sz w:val="18"/>
          <w:szCs w:val="18"/>
          <w:color w:val="auto"/>
        </w:rPr>
        <w:t>”),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supplier indicated that it sourced conflict minerals from the covered countries, but none of the SORs listed were known to source from the region;</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identified all of the SORs used to source conflict minerals for the relevant parts and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they received from their suppliers; or</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any SORs that were known to source the relevant conflict minerals from any of the covered countries, we attempted to confirm that such SORs were listed in the various lists of compliant SORs described above. In addition, a communication was sent to the suppliers listing such SORs, acknowledging the source of the relevant conflict minerals and attaching our Conflict Minerals Policy.</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described in our Conflict Minerals Policy, in the event that we have reason to believe a supplier is supplying us with conflict minerals from sources that may support conflict in the covered countries, we will encourage that supplier to establish an alternative source of conflict minerals that does not support such conflict, or we may consider reevaluating the supplier relationship. If a Tier 1 supplier has been unresponsive or otherwise uncooperative in our due diligence efforts, we will also reevaluate that relationship. If a Tier 1 supplier is not compliant with our Conflict Minerals Policy and is unwilling to expect its own suppliers to use conflict-free sources, we may then also reassess the supplier relationship. As described above, we support the use of validation, certification and audit programs for SORs upstream in our supply chain.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stated above, we are a downstream company that is typically several tiers removed from mining operations and SORs, rendering transparency of our supply chain very difficult. Furthermore, except in rare instances,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 party audits of SORs’ sourcing, such as the CFSP. We use a third party to aid in verifying the SOR information and confirm the metals and consider the CFSI, RJC and LBMA valid certifications. In some cases, our third party reaches out directly to SORs as necessary to confirm the information either publicly available or made available in CMRT responses that may be contradictory or incomplete.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1920" w:firstLine="456"/>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the Company’s website at http://www.slb.com/about/global_citizenship/conflict_minerals.aspx. Our Conflict Minerals Policy also is available at http://www.slb.com/about/global_citizenship/conflict_minerals.aspx.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sent reporting templates to 1,420 suppliers and received completed responses from approximately 43% of these suppliers. As part of our risk identification and mitigation efforts, we focused on obtaining responses from our top suppliers. The following table lists the response rate and certain other information for our suppliers, based on strategic importance and annual spend.</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gridSpan w:val="2"/>
          </w:tcPr>
          <w:p>
            <w:pPr>
              <w:jc w:val="center"/>
              <w:ind w:right="1060"/>
              <w:spacing w:after="0"/>
              <w:rPr>
                <w:sz w:val="20"/>
                <w:szCs w:val="20"/>
                <w:color w:val="auto"/>
              </w:rPr>
            </w:pPr>
            <w:r>
              <w:rPr>
                <w:rFonts w:ascii="Arial" w:cs="Arial" w:eastAsia="Arial" w:hAnsi="Arial"/>
                <w:sz w:val="14"/>
                <w:szCs w:val="14"/>
                <w:color w:val="auto"/>
                <w:w w:val="95"/>
              </w:rPr>
              <w:t>Supplier Rank</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460" w:type="dxa"/>
            <w:vAlign w:val="bottom"/>
            <w:gridSpan w:val="2"/>
          </w:tcPr>
          <w:p>
            <w:pPr>
              <w:jc w:val="center"/>
              <w:ind w:right="1060"/>
              <w:spacing w:after="0" w:line="147" w:lineRule="exact"/>
              <w:rPr>
                <w:sz w:val="20"/>
                <w:szCs w:val="20"/>
                <w:color w:val="auto"/>
              </w:rPr>
            </w:pPr>
            <w:r>
              <w:rPr>
                <w:rFonts w:ascii="Arial" w:cs="Arial" w:eastAsia="Arial" w:hAnsi="Arial"/>
                <w:sz w:val="14"/>
                <w:szCs w:val="14"/>
                <w:color w:val="auto"/>
                <w:w w:val="93"/>
              </w:rPr>
              <w:t>(Strategic Importance and Annual Spend)</w:t>
            </w:r>
          </w:p>
        </w:tc>
        <w:tc>
          <w:tcPr>
            <w:tcW w:w="2940" w:type="dxa"/>
            <w:vAlign w:val="bottom"/>
            <w:gridSpan w:val="3"/>
          </w:tcPr>
          <w:p>
            <w:pPr>
              <w:jc w:val="center"/>
              <w:spacing w:after="0" w:line="147" w:lineRule="exact"/>
              <w:rPr>
                <w:sz w:val="20"/>
                <w:szCs w:val="20"/>
                <w:color w:val="auto"/>
              </w:rPr>
            </w:pPr>
            <w:r>
              <w:rPr>
                <w:rFonts w:ascii="Arial" w:cs="Arial" w:eastAsia="Arial" w:hAnsi="Arial"/>
                <w:sz w:val="14"/>
                <w:szCs w:val="14"/>
                <w:color w:val="auto"/>
                <w:w w:val="89"/>
              </w:rPr>
              <w:t>Response Rate</w:t>
            </w:r>
          </w:p>
        </w:tc>
        <w:tc>
          <w:tcPr>
            <w:tcW w:w="2280" w:type="dxa"/>
            <w:vAlign w:val="bottom"/>
            <w:gridSpan w:val="3"/>
          </w:tcPr>
          <w:p>
            <w:pPr>
              <w:jc w:val="center"/>
              <w:ind w:left="954"/>
              <w:spacing w:after="0" w:line="147" w:lineRule="exact"/>
              <w:rPr>
                <w:sz w:val="20"/>
                <w:szCs w:val="20"/>
                <w:color w:val="auto"/>
              </w:rPr>
            </w:pPr>
            <w:r>
              <w:rPr>
                <w:rFonts w:ascii="Arial" w:cs="Arial" w:eastAsia="Arial" w:hAnsi="Arial"/>
                <w:sz w:val="14"/>
                <w:szCs w:val="14"/>
                <w:color w:val="auto"/>
                <w:w w:val="94"/>
              </w:rPr>
              <w:t>Number of Suppliers</w:t>
            </w: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460" w:type="dxa"/>
            <w:vAlign w:val="bottom"/>
            <w:gridSpan w:val="2"/>
            <w:shd w:val="clear" w:color="auto" w:fill="CCEEFF"/>
          </w:tcPr>
          <w:p>
            <w:pPr>
              <w:jc w:val="center"/>
              <w:ind w:right="1060"/>
              <w:spacing w:after="0" w:line="196" w:lineRule="exact"/>
              <w:rPr>
                <w:sz w:val="20"/>
                <w:szCs w:val="20"/>
                <w:color w:val="auto"/>
              </w:rPr>
            </w:pPr>
            <w:r>
              <w:rPr>
                <w:rFonts w:ascii="Arial" w:cs="Arial" w:eastAsia="Arial" w:hAnsi="Arial"/>
                <w:sz w:val="18"/>
                <w:szCs w:val="18"/>
                <w:color w:val="auto"/>
                <w:w w:val="90"/>
              </w:rPr>
              <w:t>Top</w:t>
            </w:r>
          </w:p>
        </w:tc>
        <w:tc>
          <w:tcPr>
            <w:tcW w:w="1900" w:type="dxa"/>
            <w:vAlign w:val="bottom"/>
            <w:gridSpan w:val="2"/>
            <w:shd w:val="clear" w:color="auto" w:fill="CCEEFF"/>
          </w:tcPr>
          <w:p>
            <w:pPr>
              <w:jc w:val="center"/>
              <w:ind w:left="954"/>
              <w:spacing w:after="0" w:line="196" w:lineRule="exact"/>
              <w:rPr>
                <w:sz w:val="20"/>
                <w:szCs w:val="20"/>
                <w:color w:val="auto"/>
              </w:rPr>
            </w:pPr>
            <w:r>
              <w:rPr>
                <w:rFonts w:ascii="Arial" w:cs="Arial" w:eastAsia="Arial" w:hAnsi="Arial"/>
                <w:sz w:val="18"/>
                <w:szCs w:val="18"/>
                <w:color w:val="auto"/>
                <w:w w:val="94"/>
              </w:rPr>
              <w:t>68%</w:t>
            </w:r>
          </w:p>
        </w:tc>
        <w:tc>
          <w:tcPr>
            <w:tcW w:w="104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left="974"/>
              <w:spacing w:after="0" w:line="196" w:lineRule="exact"/>
              <w:rPr>
                <w:sz w:val="20"/>
                <w:szCs w:val="20"/>
                <w:color w:val="auto"/>
              </w:rPr>
            </w:pPr>
            <w:r>
              <w:rPr>
                <w:rFonts w:ascii="Arial" w:cs="Arial" w:eastAsia="Arial" w:hAnsi="Arial"/>
                <w:sz w:val="18"/>
                <w:szCs w:val="18"/>
                <w:color w:val="auto"/>
                <w:w w:val="93"/>
              </w:rPr>
              <w:t>101</w:t>
            </w:r>
          </w:p>
        </w:tc>
        <w:tc>
          <w:tcPr>
            <w:tcW w:w="20" w:type="dxa"/>
            <w:vAlign w:val="bottom"/>
            <w:shd w:val="clear" w:color="auto" w:fill="CCEEFF"/>
          </w:tcPr>
          <w:p>
            <w:pPr>
              <w:spacing w:after="0"/>
              <w:rPr>
                <w:sz w:val="17"/>
                <w:szCs w:val="17"/>
                <w:color w:val="auto"/>
              </w:rPr>
            </w:pPr>
          </w:p>
        </w:tc>
      </w:tr>
      <w:tr>
        <w:trPr>
          <w:trHeight w:val="216"/>
        </w:trPr>
        <w:tc>
          <w:tcPr>
            <w:tcW w:w="3460" w:type="dxa"/>
            <w:vAlign w:val="bottom"/>
            <w:gridSpan w:val="2"/>
          </w:tcPr>
          <w:p>
            <w:pPr>
              <w:jc w:val="center"/>
              <w:ind w:right="1060"/>
              <w:spacing w:after="0"/>
              <w:rPr>
                <w:sz w:val="20"/>
                <w:szCs w:val="20"/>
                <w:color w:val="auto"/>
              </w:rPr>
            </w:pPr>
            <w:r>
              <w:rPr>
                <w:rFonts w:ascii="Arial" w:cs="Arial" w:eastAsia="Arial" w:hAnsi="Arial"/>
                <w:sz w:val="18"/>
                <w:szCs w:val="18"/>
                <w:color w:val="auto"/>
                <w:w w:val="97"/>
              </w:rPr>
              <w:t>High</w:t>
            </w:r>
          </w:p>
        </w:tc>
        <w:tc>
          <w:tcPr>
            <w:tcW w:w="1900" w:type="dxa"/>
            <w:vAlign w:val="bottom"/>
            <w:gridSpan w:val="2"/>
          </w:tcPr>
          <w:p>
            <w:pPr>
              <w:jc w:val="center"/>
              <w:ind w:left="954"/>
              <w:spacing w:after="0"/>
              <w:rPr>
                <w:sz w:val="20"/>
                <w:szCs w:val="20"/>
                <w:color w:val="auto"/>
              </w:rPr>
            </w:pPr>
            <w:r>
              <w:rPr>
                <w:rFonts w:ascii="Arial" w:cs="Arial" w:eastAsia="Arial" w:hAnsi="Arial"/>
                <w:sz w:val="18"/>
                <w:szCs w:val="18"/>
                <w:color w:val="auto"/>
                <w:w w:val="94"/>
              </w:rPr>
              <w:t>54%</w:t>
            </w:r>
          </w:p>
        </w:tc>
        <w:tc>
          <w:tcPr>
            <w:tcW w:w="1040" w:type="dxa"/>
            <w:vAlign w:val="bottom"/>
          </w:tcPr>
          <w:p>
            <w:pPr>
              <w:spacing w:after="0"/>
              <w:rPr>
                <w:sz w:val="18"/>
                <w:szCs w:val="18"/>
                <w:color w:val="auto"/>
              </w:rPr>
            </w:pPr>
          </w:p>
        </w:tc>
        <w:tc>
          <w:tcPr>
            <w:tcW w:w="2260" w:type="dxa"/>
            <w:vAlign w:val="bottom"/>
            <w:gridSpan w:val="2"/>
          </w:tcPr>
          <w:p>
            <w:pPr>
              <w:jc w:val="center"/>
              <w:ind w:left="974"/>
              <w:spacing w:after="0"/>
              <w:rPr>
                <w:sz w:val="20"/>
                <w:szCs w:val="20"/>
                <w:color w:val="auto"/>
              </w:rPr>
            </w:pPr>
            <w:r>
              <w:rPr>
                <w:rFonts w:ascii="Arial" w:cs="Arial" w:eastAsia="Arial" w:hAnsi="Arial"/>
                <w:sz w:val="18"/>
                <w:szCs w:val="18"/>
                <w:color w:val="auto"/>
                <w:w w:val="93"/>
              </w:rPr>
              <w:t>218</w:t>
            </w:r>
          </w:p>
        </w:tc>
        <w:tc>
          <w:tcPr>
            <w:tcW w:w="2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3"/>
              </w:rPr>
              <w:t>Medium</w:t>
            </w:r>
          </w:p>
        </w:tc>
        <w:tc>
          <w:tcPr>
            <w:tcW w:w="1900" w:type="dxa"/>
            <w:vAlign w:val="bottom"/>
            <w:gridSpan w:val="2"/>
            <w:shd w:val="clear" w:color="auto" w:fill="CCEEFF"/>
          </w:tcPr>
          <w:p>
            <w:pPr>
              <w:jc w:val="center"/>
              <w:ind w:left="954"/>
              <w:spacing w:after="0"/>
              <w:rPr>
                <w:sz w:val="20"/>
                <w:szCs w:val="20"/>
                <w:color w:val="auto"/>
              </w:rPr>
            </w:pPr>
            <w:r>
              <w:rPr>
                <w:rFonts w:ascii="Arial" w:cs="Arial" w:eastAsia="Arial" w:hAnsi="Arial"/>
                <w:sz w:val="18"/>
                <w:szCs w:val="18"/>
                <w:color w:val="auto"/>
                <w:w w:val="94"/>
              </w:rPr>
              <w:t>53%</w:t>
            </w:r>
          </w:p>
        </w:tc>
        <w:tc>
          <w:tcPr>
            <w:tcW w:w="10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974"/>
              <w:spacing w:after="0"/>
              <w:rPr>
                <w:sz w:val="20"/>
                <w:szCs w:val="20"/>
                <w:color w:val="auto"/>
              </w:rPr>
            </w:pPr>
            <w:r>
              <w:rPr>
                <w:rFonts w:ascii="Arial" w:cs="Arial" w:eastAsia="Arial" w:hAnsi="Arial"/>
                <w:sz w:val="18"/>
                <w:szCs w:val="18"/>
                <w:color w:val="auto"/>
                <w:w w:val="93"/>
              </w:rPr>
              <w:t>148</w:t>
            </w:r>
          </w:p>
        </w:tc>
        <w:tc>
          <w:tcPr>
            <w:tcW w:w="20" w:type="dxa"/>
            <w:vAlign w:val="bottom"/>
            <w:shd w:val="clear" w:color="auto" w:fill="CCEEFF"/>
          </w:tcPr>
          <w:p>
            <w:pPr>
              <w:spacing w:after="0"/>
              <w:rPr>
                <w:sz w:val="18"/>
                <w:szCs w:val="18"/>
                <w:color w:val="auto"/>
              </w:rPr>
            </w:pPr>
          </w:p>
        </w:tc>
      </w:tr>
      <w:tr>
        <w:trPr>
          <w:trHeight w:val="230"/>
        </w:trPr>
        <w:tc>
          <w:tcPr>
            <w:tcW w:w="346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Low</w:t>
            </w:r>
          </w:p>
        </w:tc>
        <w:tc>
          <w:tcPr>
            <w:tcW w:w="1900" w:type="dxa"/>
            <w:vAlign w:val="bottom"/>
            <w:gridSpan w:val="2"/>
          </w:tcPr>
          <w:p>
            <w:pPr>
              <w:jc w:val="center"/>
              <w:ind w:left="954"/>
              <w:spacing w:after="0"/>
              <w:rPr>
                <w:sz w:val="20"/>
                <w:szCs w:val="20"/>
                <w:color w:val="auto"/>
              </w:rPr>
            </w:pPr>
            <w:r>
              <w:rPr>
                <w:rFonts w:ascii="Arial" w:cs="Arial" w:eastAsia="Arial" w:hAnsi="Arial"/>
                <w:sz w:val="18"/>
                <w:szCs w:val="18"/>
                <w:color w:val="auto"/>
                <w:w w:val="94"/>
              </w:rPr>
              <w:t>38%</w:t>
            </w:r>
          </w:p>
        </w:tc>
        <w:tc>
          <w:tcPr>
            <w:tcW w:w="1040" w:type="dxa"/>
            <w:vAlign w:val="bottom"/>
          </w:tcPr>
          <w:p>
            <w:pPr>
              <w:spacing w:after="0"/>
              <w:rPr>
                <w:sz w:val="20"/>
                <w:szCs w:val="20"/>
                <w:color w:val="auto"/>
              </w:rPr>
            </w:pPr>
          </w:p>
        </w:tc>
        <w:tc>
          <w:tcPr>
            <w:tcW w:w="2260" w:type="dxa"/>
            <w:vAlign w:val="bottom"/>
            <w:gridSpan w:val="2"/>
          </w:tcPr>
          <w:p>
            <w:pPr>
              <w:jc w:val="center"/>
              <w:ind w:left="974"/>
              <w:spacing w:after="0"/>
              <w:rPr>
                <w:sz w:val="20"/>
                <w:szCs w:val="20"/>
                <w:color w:val="auto"/>
              </w:rPr>
            </w:pPr>
            <w:r>
              <w:rPr>
                <w:rFonts w:ascii="Arial" w:cs="Arial" w:eastAsia="Arial" w:hAnsi="Arial"/>
                <w:sz w:val="18"/>
                <w:szCs w:val="18"/>
                <w:color w:val="auto"/>
                <w:w w:val="93"/>
              </w:rPr>
              <w:t>953</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Most of the respondents indicated that they had not finished the due diligence on their supply chains and therefore could not complete the reporting template. In addition, although we requested information at the product level, 98% of the surveyed suppliers provided information only at the company level.</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responses we received at the company level, we do not know whether the SORs listed actually supplied conflict minerals used in the covered products. Therefore, such SORs are not included in our lists below of the facilities that we know have processed the conflict minerals used in the covered products.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responses at the product level, based on our due diligence, seven of the verified SORs source conflict minerals from one or more of the covered countries. Out of these seven SORs and based on our due diligence, six are compliant with the CFSP, and the other facility is progressing toward compliance with the CFSP.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 w:name="page8"/>
    <w:bookmarkEnd w:id="7"/>
    <w:p>
      <w:pPr>
        <w:ind w:right="4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lists all of the SORs known to supply necessary conflict minerals contained in our covered products and that source their conflict minerals from one or more of the covered countries, as of April 30,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58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Smelter/Refiner</w:t>
            </w:r>
          </w:p>
        </w:tc>
        <w:tc>
          <w:tcPr>
            <w:tcW w:w="9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Certification Status</w:t>
            </w:r>
          </w:p>
        </w:tc>
        <w:tc>
          <w:tcPr>
            <w:tcW w:w="620" w:type="dxa"/>
            <w:vAlign w:val="bottom"/>
          </w:tcPr>
          <w:p>
            <w:pPr>
              <w:spacing w:after="0"/>
              <w:rPr>
                <w:sz w:val="14"/>
                <w:szCs w:val="14"/>
                <w:color w:val="auto"/>
              </w:rPr>
            </w:pPr>
          </w:p>
        </w:tc>
        <w:tc>
          <w:tcPr>
            <w:tcW w:w="3160" w:type="dxa"/>
            <w:vAlign w:val="bottom"/>
            <w:gridSpan w:val="2"/>
          </w:tcPr>
          <w:p>
            <w:pPr>
              <w:ind w:left="660"/>
              <w:spacing w:after="0"/>
              <w:rPr>
                <w:sz w:val="20"/>
                <w:szCs w:val="20"/>
                <w:color w:val="auto"/>
              </w:rPr>
            </w:pPr>
            <w:r>
              <w:rPr>
                <w:rFonts w:ascii="Arial" w:cs="Arial" w:eastAsia="Arial" w:hAnsi="Arial"/>
                <w:sz w:val="14"/>
                <w:szCs w:val="14"/>
                <w:b w:val="1"/>
                <w:bCs w:val="1"/>
                <w:color w:val="auto"/>
              </w:rPr>
              <w:t>Mine Countries of Origin</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w w:val="74"/>
              </w:rPr>
              <w:t>Tantalum</w:t>
            </w:r>
          </w:p>
        </w:tc>
        <w:tc>
          <w:tcPr>
            <w:tcW w:w="680" w:type="dxa"/>
            <w:vAlign w:val="bottom"/>
          </w:tcPr>
          <w:p>
            <w:pPr>
              <w:spacing w:after="0"/>
              <w:rPr>
                <w:sz w:val="16"/>
                <w:szCs w:val="16"/>
                <w:color w:val="auto"/>
              </w:rPr>
            </w:pPr>
          </w:p>
        </w:tc>
        <w:tc>
          <w:tcPr>
            <w:tcW w:w="3900" w:type="dxa"/>
            <w:vAlign w:val="bottom"/>
            <w:gridSpan w:val="3"/>
          </w:tcPr>
          <w:p>
            <w:pPr>
              <w:ind w:left="560"/>
              <w:spacing w:after="0" w:line="195" w:lineRule="exact"/>
              <w:rPr>
                <w:sz w:val="20"/>
                <w:szCs w:val="20"/>
                <w:color w:val="auto"/>
              </w:rPr>
            </w:pPr>
            <w:r>
              <w:rPr>
                <w:rFonts w:ascii="Arial" w:cs="Arial" w:eastAsia="Arial" w:hAnsi="Arial"/>
                <w:sz w:val="18"/>
                <w:szCs w:val="18"/>
                <w:color w:val="auto"/>
              </w:rPr>
              <w:t>Hi-Temp Specialty Metals, Inc.</w:t>
            </w:r>
          </w:p>
        </w:tc>
        <w:tc>
          <w:tcPr>
            <w:tcW w:w="2440" w:type="dxa"/>
            <w:vAlign w:val="bottom"/>
            <w:gridSpan w:val="3"/>
          </w:tcPr>
          <w:p>
            <w:pPr>
              <w:ind w:left="640"/>
              <w:spacing w:after="0" w:line="195" w:lineRule="exact"/>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Brazil, China, Ethiopia, Australia, Bolivia,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5"/>
              </w:rPr>
              <w:t>India, Mozambique, Namibia, Rwanda, Sierra</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Leone, United States, Zimbabwe</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Kemet Blue Powder</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Burundi, China, DRC- Congo (Kinshasa),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3"/>
              </w:rPr>
              <w:t>Mexico, Mozambique, Niger, Nigeria, Rwanda,</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United States</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Tin</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Malaysia Smelting Corporation (MSC)</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2"/>
              </w:rPr>
              <w:t>Australia, Bolivia, Brazil, Canada, Chile, China,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9"/>
              </w:rPr>
              <w:t>DRC- Congo (Kinshasa), Indonesia, Japan,</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Malaysia, Niger, Nigeria, Peru, Portugal,</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Rwanda, Spain, Switzerland, Thailand</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Tin</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Minsur</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8"/>
              </w:rPr>
              <w:t>Bolivia, Brazil, Canada, China, DRC- Congo</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0"/>
              </w:rPr>
              <w:t>(Kinshasa), Indonesia, Malaysia, Peru, Rwanda,</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Switzerland, Thailand, United States</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Tin</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Operaciones Metalurgical S.A.</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8"/>
              </w:rPr>
              <w:t>Bolivia, Brazil, Canada, China, DRC- Congo</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4"/>
              </w:rPr>
              <w:t>(Kinshasa), Indonesia, Japan, Malaysia, Peru,</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Philippines, Russia, Thailand</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Tin</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Yunnan Tin Company Limited</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Compliant</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Angola, Australia, Belgium, Bolivia, Brazil,</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Canada, China, DRC- Congo (Kinshasa),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Ethiopia, Germany, Hong Kong, Indonesia,</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Malaysia, Peru</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3900" w:type="dxa"/>
            <w:vAlign w:val="bottom"/>
            <w:gridSpan w:val="3"/>
          </w:tcPr>
          <w:p>
            <w:pPr>
              <w:ind w:left="560"/>
              <w:spacing w:after="0"/>
              <w:rPr>
                <w:sz w:val="20"/>
                <w:szCs w:val="20"/>
                <w:color w:val="auto"/>
              </w:rPr>
            </w:pPr>
            <w:r>
              <w:rPr>
                <w:rFonts w:ascii="Arial" w:cs="Arial" w:eastAsia="Arial" w:hAnsi="Arial"/>
                <w:sz w:val="18"/>
                <w:szCs w:val="18"/>
                <w:color w:val="auto"/>
              </w:rPr>
              <w:t>H.C. Starck GmbH</w:t>
            </w:r>
          </w:p>
        </w:tc>
        <w:tc>
          <w:tcPr>
            <w:tcW w:w="2440" w:type="dxa"/>
            <w:vAlign w:val="bottom"/>
            <w:gridSpan w:val="3"/>
          </w:tcPr>
          <w:p>
            <w:pPr>
              <w:ind w:left="640"/>
              <w:spacing w:after="0"/>
              <w:rPr>
                <w:sz w:val="20"/>
                <w:szCs w:val="20"/>
                <w:color w:val="auto"/>
              </w:rPr>
            </w:pPr>
            <w:r>
              <w:rPr>
                <w:rFonts w:ascii="Arial" w:cs="Arial" w:eastAsia="Arial" w:hAnsi="Arial"/>
                <w:sz w:val="18"/>
                <w:szCs w:val="18"/>
                <w:color w:val="auto"/>
              </w:rPr>
              <w:t>CFSP – Progressing</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Australia, Bolivia, Brazil, Canada, China,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Estonia, Ethiopia, Germany, India, Japan,</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2"/>
              </w:rPr>
              <w:t>Mozambique, Namibia, Peru, Portugal, Russia,</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w w:val="91"/>
              </w:rPr>
              <w:t>Rwanda, Sierra Leone, Spain, Thailand, United</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States, Zimbabwe</w:t>
            </w:r>
          </w:p>
        </w:tc>
      </w:tr>
      <w:tr>
        <w:trPr>
          <w:trHeight w:val="365"/>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8" w:name="page9"/>
    <w:bookmarkEnd w:id="8"/>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lists all of the SORs known to supply necessary conflict minerals contained in our covered products and that do not source their conflict minerals from any of the covered countries, as of April 30,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58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Smelter/Refiner</w:t>
            </w:r>
          </w:p>
        </w:tc>
        <w:tc>
          <w:tcPr>
            <w:tcW w:w="4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1"/>
              </w:rPr>
              <w:t>Certification Status</w:t>
            </w:r>
          </w:p>
        </w:tc>
        <w:tc>
          <w:tcPr>
            <w:tcW w:w="94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Arial" w:cs="Arial" w:eastAsia="Arial" w:hAnsi="Arial"/>
                <w:sz w:val="14"/>
                <w:szCs w:val="14"/>
                <w:b w:val="1"/>
                <w:bCs w:val="1"/>
                <w:color w:val="auto"/>
              </w:rPr>
              <w:t>Mine Countries of Origin</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0" w:type="dxa"/>
            <w:vAlign w:val="bottom"/>
            <w:gridSpan w:val="2"/>
          </w:tcPr>
          <w:p>
            <w:pPr>
              <w:spacing w:after="0"/>
              <w:rPr>
                <w:sz w:val="20"/>
                <w:szCs w:val="20"/>
                <w:color w:val="auto"/>
              </w:rPr>
            </w:pPr>
            <w:r>
              <w:rPr>
                <w:rFonts w:ascii="Arial" w:cs="Arial" w:eastAsia="Arial" w:hAnsi="Arial"/>
                <w:sz w:val="18"/>
                <w:szCs w:val="18"/>
                <w:color w:val="auto"/>
                <w:w w:val="74"/>
              </w:rPr>
              <w:t>Tantalum</w:t>
            </w:r>
          </w:p>
        </w:tc>
        <w:tc>
          <w:tcPr>
            <w:tcW w:w="680" w:type="dxa"/>
            <w:vAlign w:val="bottom"/>
          </w:tcPr>
          <w:p>
            <w:pPr>
              <w:spacing w:after="0"/>
              <w:rPr>
                <w:sz w:val="19"/>
                <w:szCs w:val="19"/>
                <w:color w:val="auto"/>
              </w:rPr>
            </w:pPr>
          </w:p>
        </w:tc>
        <w:tc>
          <w:tcPr>
            <w:tcW w:w="4460" w:type="dxa"/>
            <w:vAlign w:val="bottom"/>
            <w:gridSpan w:val="3"/>
          </w:tcPr>
          <w:p>
            <w:pPr>
              <w:ind w:left="560"/>
              <w:spacing w:after="0"/>
              <w:rPr>
                <w:sz w:val="20"/>
                <w:szCs w:val="20"/>
                <w:color w:val="auto"/>
              </w:rPr>
            </w:pPr>
            <w:r>
              <w:rPr>
                <w:rFonts w:ascii="Arial" w:cs="Arial" w:eastAsia="Arial" w:hAnsi="Arial"/>
                <w:sz w:val="18"/>
                <w:szCs w:val="18"/>
                <w:color w:val="auto"/>
              </w:rPr>
              <w:t>Plansee SE Liezen</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CFSP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rPr>
              <w:t>Austria</w:t>
            </w:r>
          </w:p>
        </w:tc>
      </w:tr>
      <w:tr>
        <w:trPr>
          <w:trHeight w:val="295"/>
        </w:trPr>
        <w:tc>
          <w:tcPr>
            <w:tcW w:w="1260" w:type="dxa"/>
            <w:vAlign w:val="bottom"/>
            <w:gridSpan w:val="3"/>
          </w:tcPr>
          <w:p>
            <w:pPr>
              <w:spacing w:after="0"/>
              <w:rPr>
                <w:sz w:val="20"/>
                <w:szCs w:val="20"/>
                <w:color w:val="auto"/>
              </w:rPr>
            </w:pPr>
            <w:r>
              <w:rPr>
                <w:rFonts w:ascii="Arial" w:cs="Arial" w:eastAsia="Arial" w:hAnsi="Arial"/>
                <w:sz w:val="18"/>
                <w:szCs w:val="18"/>
                <w:color w:val="auto"/>
              </w:rPr>
              <w:t>Gold</w:t>
            </w:r>
          </w:p>
        </w:tc>
        <w:tc>
          <w:tcPr>
            <w:tcW w:w="4460" w:type="dxa"/>
            <w:vAlign w:val="bottom"/>
            <w:gridSpan w:val="3"/>
          </w:tcPr>
          <w:p>
            <w:pPr>
              <w:ind w:left="560"/>
              <w:spacing w:after="0"/>
              <w:rPr>
                <w:sz w:val="20"/>
                <w:szCs w:val="20"/>
                <w:color w:val="auto"/>
              </w:rPr>
            </w:pPr>
            <w:r>
              <w:rPr>
                <w:rFonts w:ascii="Arial" w:cs="Arial" w:eastAsia="Arial" w:hAnsi="Arial"/>
                <w:sz w:val="18"/>
                <w:szCs w:val="18"/>
                <w:color w:val="auto"/>
              </w:rPr>
              <w:t>Metalor USA Refining Corporation</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CFSP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w w:val="91"/>
              </w:rPr>
              <w:t>Canada, China, Mexico, Switzerland, United</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LBMA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rPr>
              <w:t>States</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RJC – Compliant</w:t>
            </w:r>
          </w:p>
        </w:tc>
        <w:tc>
          <w:tcPr>
            <w:tcW w:w="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Gold</w:t>
            </w:r>
          </w:p>
        </w:tc>
        <w:tc>
          <w:tcPr>
            <w:tcW w:w="4460" w:type="dxa"/>
            <w:vAlign w:val="bottom"/>
            <w:gridSpan w:val="3"/>
          </w:tcPr>
          <w:p>
            <w:pPr>
              <w:ind w:left="560"/>
              <w:spacing w:after="0"/>
              <w:rPr>
                <w:sz w:val="20"/>
                <w:szCs w:val="20"/>
                <w:color w:val="auto"/>
              </w:rPr>
            </w:pPr>
            <w:r>
              <w:rPr>
                <w:rFonts w:ascii="Arial" w:cs="Arial" w:eastAsia="Arial" w:hAnsi="Arial"/>
                <w:sz w:val="18"/>
                <w:szCs w:val="18"/>
                <w:color w:val="auto"/>
              </w:rPr>
              <w:t>Royal Canadian Mint</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CFSP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w w:val="96"/>
              </w:rPr>
              <w:t>Canada, Chile, Germany, Guyana, Japan,</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LBMA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rPr>
              <w:t>Mexico, Peru, Suriname, Switzerland</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Gold</w:t>
            </w:r>
          </w:p>
        </w:tc>
        <w:tc>
          <w:tcPr>
            <w:tcW w:w="4460" w:type="dxa"/>
            <w:vAlign w:val="bottom"/>
            <w:gridSpan w:val="3"/>
          </w:tcPr>
          <w:p>
            <w:pPr>
              <w:ind w:left="560"/>
              <w:spacing w:after="0"/>
              <w:rPr>
                <w:sz w:val="20"/>
                <w:szCs w:val="20"/>
                <w:color w:val="auto"/>
              </w:rPr>
            </w:pPr>
            <w:r>
              <w:rPr>
                <w:rFonts w:ascii="Arial" w:cs="Arial" w:eastAsia="Arial" w:hAnsi="Arial"/>
                <w:sz w:val="18"/>
                <w:szCs w:val="18"/>
                <w:color w:val="auto"/>
                <w:w w:val="93"/>
              </w:rPr>
              <w:t>Umicore SA Business Unit Precious Metals Refining</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CFSP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rPr>
              <w:t>Unknown</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RJC – Compliant</w:t>
            </w:r>
          </w:p>
        </w:tc>
        <w:tc>
          <w:tcPr>
            <w:tcW w:w="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Gold</w:t>
            </w:r>
          </w:p>
        </w:tc>
        <w:tc>
          <w:tcPr>
            <w:tcW w:w="4460" w:type="dxa"/>
            <w:vAlign w:val="bottom"/>
            <w:gridSpan w:val="3"/>
          </w:tcPr>
          <w:p>
            <w:pPr>
              <w:ind w:left="560"/>
              <w:spacing w:after="0"/>
              <w:rPr>
                <w:sz w:val="20"/>
                <w:szCs w:val="20"/>
                <w:color w:val="auto"/>
              </w:rPr>
            </w:pPr>
            <w:r>
              <w:rPr>
                <w:rFonts w:ascii="Arial" w:cs="Arial" w:eastAsia="Arial" w:hAnsi="Arial"/>
                <w:sz w:val="18"/>
                <w:szCs w:val="18"/>
                <w:color w:val="auto"/>
              </w:rPr>
              <w:t>United Precious Metal Refining, Inc.</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CFSP – Compliant</w:t>
            </w: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w w:val="93"/>
              </w:rPr>
              <w:t>Australia, Belgium, Canada, China, Russia,</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00" w:type="dxa"/>
            <w:vAlign w:val="bottom"/>
            <w:gridSpan w:val="3"/>
          </w:tcPr>
          <w:p>
            <w:pPr>
              <w:ind w:left="660"/>
              <w:spacing w:after="0"/>
              <w:rPr>
                <w:sz w:val="20"/>
                <w:szCs w:val="20"/>
                <w:color w:val="auto"/>
              </w:rPr>
            </w:pPr>
            <w:r>
              <w:rPr>
                <w:rFonts w:ascii="Arial" w:cs="Arial" w:eastAsia="Arial" w:hAnsi="Arial"/>
                <w:sz w:val="18"/>
                <w:szCs w:val="18"/>
                <w:color w:val="auto"/>
              </w:rPr>
              <w:t>Thailand, United States</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due diligence measures described herein, we have determined that a portion of the necessary conflict minerals contained in our covered products was supplied by SORs that source conflict minerals from one or more of the covered countries. However, each such SOR is either compliant with a conflict-free sourcing program or is progressing towards compliance. Thus, we have found no reason to believe that the conflict minerals used in our covered products support conflict in the covered countries.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Process Improvements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intend to take the following steps to improve our due diligence measures and to further mitigate the risk that necessary conflict minerals contained in our covered products could directly or indirectly finance or benefit armed groups in the covered countries: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covered products and suppliers — </w:t>
      </w:r>
      <w:r>
        <w:rPr>
          <w:rFonts w:ascii="Arial" w:cs="Arial" w:eastAsia="Arial" w:hAnsi="Arial"/>
          <w:sz w:val="18"/>
          <w:szCs w:val="18"/>
          <w:color w:val="auto"/>
        </w:rPr>
        <w:t>review and update the list of covered products and associated Tier 1 suppliers as needed and standardize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to improve efficiency and ensure accuracy when identifying both covered products and relevant suppliers;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continue our supplier engagement process with Tier 1 suppliers to increase supply chain transparency; follow up with</w:t>
      </w:r>
      <w:r>
        <w:rPr>
          <w:rFonts w:ascii="Arial" w:cs="Arial" w:eastAsia="Arial" w:hAnsi="Arial"/>
          <w:sz w:val="18"/>
          <w:szCs w:val="18"/>
          <w:i w:val="1"/>
          <w:iCs w:val="1"/>
          <w:color w:val="auto"/>
        </w:rPr>
        <w:t xml:space="preserve"> </w:t>
      </w:r>
      <w:r>
        <w:rPr>
          <w:rFonts w:ascii="Arial" w:cs="Arial" w:eastAsia="Arial" w:hAnsi="Arial"/>
          <w:sz w:val="18"/>
          <w:szCs w:val="18"/>
          <w:color w:val="auto"/>
        </w:rPr>
        <w:t>unresponsive suppliers; re-engage suppliers periodically to update changed or new sourcing information; continue to monitor and track suppliers against the expectations set forth in our Conflict Minerals Policy to evaluate their progress in meeting those expectations; include conflict minerals reviews in relevant supplier business agendas for alignment and progress reviews; seek to incorporate contractual provisions relating to compliance with our Conflict Minerals Policy in relevant supplier contracts as they are entered into or renewed;</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systems support — </w:t>
      </w:r>
      <w:r>
        <w:rPr>
          <w:rFonts w:ascii="Arial" w:cs="Arial" w:eastAsia="Arial" w:hAnsi="Arial"/>
          <w:sz w:val="18"/>
          <w:szCs w:val="18"/>
          <w:color w:val="auto"/>
        </w:rPr>
        <w:t>continue to develop our information systems with flags and filters reasonably designed to improve our conflict minerals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and obtain further improvements in our third-party data collection and reporting tool; and</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i w:val="1"/>
          <w:iCs w:val="1"/>
          <w:color w:val="auto"/>
        </w:rPr>
        <w:t xml:space="preserve">educational certification </w:t>
      </w:r>
      <w:r>
        <w:rPr>
          <w:rFonts w:ascii="Arial" w:cs="Arial" w:eastAsia="Arial" w:hAnsi="Arial"/>
          <w:sz w:val="16"/>
          <w:szCs w:val="16"/>
          <w:color w:val="auto"/>
        </w:rPr>
        <w:t>— implement written global procedures for compliance with conflict minerals and provide standard work instruction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required training to employees in legal, engineering, manufacturing, sustaining, procurement and sourcing, sales, finance and compliance functions.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2019-12-05T14:28:43Z</dcterms:created>
  <dcterms:modified xsi:type="dcterms:W3CDTF">2019-12-05T14:28:43Z</dcterms:modified>
</cp:coreProperties>
</file>