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14A INFORMATION</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166" w:lineRule="exact"/>
        <w:rPr>
          <w:sz w:val="24"/>
          <w:szCs w:val="24"/>
          <w:color w:val="auto"/>
        </w:rPr>
      </w:pPr>
    </w:p>
    <w:p>
      <w:pPr>
        <w:ind w:left="1280"/>
        <w:spacing w:after="0"/>
        <w:rPr>
          <w:sz w:val="20"/>
          <w:szCs w:val="20"/>
          <w:color w:val="auto"/>
        </w:rPr>
      </w:pPr>
      <w:r>
        <w:rPr>
          <w:sz w:val="1"/>
          <w:szCs w:val="1"/>
          <w:color w:val="auto"/>
        </w:rPr>
        <w:drawing>
          <wp:inline distT="0" distB="0" distL="0" distR="0">
            <wp:extent cx="214630" cy="222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2288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7246620" cy="1449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2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Preliminary Proxy Statement</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2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Definitive Proxy Statement</w:t>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Definitive Additional Materials</w:t>
      </w:r>
    </w:p>
    <w:p>
      <w:pPr>
        <w:spacing w:after="0" w:line="20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Soliciting Material under §240.14a-12</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2822575</wp:posOffset>
            </wp:positionH>
            <wp:positionV relativeFrom="paragraph">
              <wp:posOffset>147955</wp:posOffset>
            </wp:positionV>
            <wp:extent cx="150050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72390</wp:posOffset>
            </wp:positionV>
            <wp:extent cx="7246620" cy="2769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6987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No fee required.</w:t>
      </w:r>
    </w:p>
    <w:p>
      <w:pPr>
        <w:spacing w:after="0" w:line="2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79" w:lineRule="exact"/>
        <w:rPr>
          <w:sz w:val="24"/>
          <w:szCs w:val="24"/>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900" w:hanging="322"/>
        <w:spacing w:after="0" w:line="26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208" w:lineRule="exact"/>
        <w:rPr>
          <w:sz w:val="24"/>
          <w:szCs w:val="24"/>
          <w:color w:val="auto"/>
        </w:rPr>
      </w:pPr>
    </w:p>
    <w:p>
      <w:pPr>
        <w:ind w:left="5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sz w:val="24"/>
          <w:szCs w:val="24"/>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00" w:top="229"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72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721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618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609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678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678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2020-02-21T09:36:01Z</dcterms:created>
  <dcterms:modified xsi:type="dcterms:W3CDTF">2020-02-21T09:36:01Z</dcterms:modified>
</cp:coreProperties>
</file>