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December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On December 3, 2013, Patrick Schorn, President, Operations &amp; Integration of Schlumberger Limited (“Schlumberger”), addressed the oil and gas investment community at the Cowen and Company Ultimate Energy Conference in New York, New York. The presentation and slides are available on the Schlumberger Investor Relations website at http://slb.com and at http://investorcenter.slb.com/phoenix.zhtml?c=97513&amp;p=irol-presentations.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attached presentation contains “forward-looking statements” within the meaning of the U.S. federal securities laws, which include any statements that are not historical facts, such as our forecasts or expectations regarding business outlook, including margins and earnings per share; growth for Schlumberger as a whole and for each of its segments (and for specified products or geographic areas within each segment); oil and natural gas demand and production growth; oil and natural gas prices; market share;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uncertainty and volatility;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the ability to respond to increased activity levels; changes in government regulations and regulatory requirements, including those related to offshore oil and gas exploration, radioactive sources, explosives, chemicals, hydraulic fracturing services and climate-related initiatives; the inability to meet new challenges in exploration; and other risks and uncertainties detailed in our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2013</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2019-12-05T15:35:52Z</dcterms:created>
  <dcterms:modified xsi:type="dcterms:W3CDTF">2019-12-05T15:35:52Z</dcterms:modified>
</cp:coreProperties>
</file>