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6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April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65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780"/>
          </w:cols>
          <w:pgMar w:left="240" w:top="122" w:right="879" w:bottom="1440" w:gutter="0" w:footer="0" w:header="0"/>
        </w:sectPr>
      </w:pPr>
    </w:p>
    <w:p>
      <w:pPr>
        <w:spacing w:after="0" w:line="20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Curaçao</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1-4601</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52-0684746</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0"/>
          <w:szCs w:val="20"/>
          <w:color w:val="auto"/>
        </w:rPr>
      </w:pPr>
    </w:p>
    <w:p>
      <w:pPr>
        <w:sectPr>
          <w:pgSz w:w="11900" w:h="16838" w:orient="portrait"/>
          <w:cols w:equalWidth="0" w:num="3">
            <w:col w:w="3960" w:space="720"/>
            <w:col w:w="3600" w:space="720"/>
            <w:col w:w="1780"/>
          </w:cols>
          <w:pgMar w:left="240" w:top="122" w:right="879" w:bottom="1440" w:gutter="0" w:footer="0" w:header="0"/>
          <w:type w:val="continuous"/>
        </w:sectPr>
      </w:pPr>
    </w:p>
    <w:p>
      <w:pPr>
        <w:spacing w:after="0" w:line="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5599 San Felipe, 17th Floor, Houston, Texas 77056</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5"/>
          <w:szCs w:val="15"/>
          <w:b w:val="1"/>
          <w:bCs w:val="1"/>
          <w:color w:val="auto"/>
        </w:rPr>
        <w:t>(Addresses of principal executive offices and zip or postal codes)</w:t>
      </w:r>
    </w:p>
    <w:p>
      <w:pPr>
        <w:sectPr>
          <w:pgSz w:w="11900" w:h="16838" w:orient="portrait"/>
          <w:cols w:equalWidth="0" w:num="1">
            <w:col w:w="10780"/>
          </w:cols>
          <w:pgMar w:left="240" w:top="122" w:right="879" w:bottom="1440" w:gutter="0" w:footer="0" w:header="0"/>
          <w:type w:val="continuous"/>
        </w:sectPr>
      </w:pPr>
    </w:p>
    <w:p>
      <w:pPr>
        <w:spacing w:after="0" w:line="24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121"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In connection with an automatic shelf registration statement to be filed on Form S-3, Schlumberger Limited (“Schlumberger”) is filing herewith an additional financial statement exhibit to be incorporated by reference into the registration statement.</w:t>
      </w:r>
    </w:p>
    <w:p>
      <w:pPr>
        <w:spacing w:after="0" w:line="62"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Attached hereto as Exhibit 99 and incorporated herein by reference is Schlumberger’s unaudited pro forma condensed combined statement of income for the 12 months ended December 31, 2010 (“Pro Forma Information”), giving effect to the acquisition of Smith International, Inc. (“Smith”) as if it had occurred on January 1, 2010.</w:t>
      </w:r>
    </w:p>
    <w:p>
      <w:pPr>
        <w:spacing w:after="0" w:line="73"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The Pro Forma Information combines the historical consolidated statements of income of Schlumberger and Smith. The Pro Forma Information has been adjusted to reflect pro forma events that are directly attributable to the merger, factually supportable and expected to have a continuing impact on the combined results. As such, the Pro Forma Information does not reflect any cost savings, operating synergies or revenue enhancements that the combined company may achieve as a result of the merger, the costs to integrate the operations of Schlumberger and Smith, or the costs necessary to achieve these cost savings, operating synergies and revenue enhancements.</w:t>
      </w:r>
    </w:p>
    <w:p>
      <w:pPr>
        <w:spacing w:after="0" w:line="8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Pro Forma Information has been presented for informational purposes only and is not necessarily indicative of what the combined company’s financial position or results of operations actually would have been had the merger been completed as of January 1, 2010. In addition, the Pro Forma Information does not purport to project the future financial position or operating results of the combined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Pro Forma Financial Information.</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Unaudited pro forma condensed combined statement of income and explanatory notes for the year ended December 31, 2010, relating to Schlumberger’s completion of its merger with Smith, is attached to this Current Report on Form 8-K as Exhibit 99 and is filed herewith.</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w:t>
      </w:r>
    </w:p>
    <w:p>
      <w:pPr>
        <w:spacing w:after="0" w:line="225" w:lineRule="exact"/>
        <w:rPr>
          <w:sz w:val="20"/>
          <w:szCs w:val="20"/>
          <w:color w:val="auto"/>
        </w:rPr>
      </w:pPr>
    </w:p>
    <w:p>
      <w:pPr>
        <w:ind w:left="5660" w:right="4600" w:hanging="5373"/>
        <w:spacing w:after="0" w:line="540" w:lineRule="auto"/>
        <w:tabs>
          <w:tab w:leader="none" w:pos="566" w:val="left"/>
        </w:tabs>
        <w:numPr>
          <w:ilvl w:val="0"/>
          <w:numId w:val="2"/>
        </w:numPr>
        <w:rPr>
          <w:rFonts w:ascii="Arial" w:cs="Arial" w:eastAsia="Arial" w:hAnsi="Arial"/>
          <w:sz w:val="17"/>
          <w:szCs w:val="17"/>
          <w:color w:val="auto"/>
        </w:rPr>
      </w:pPr>
      <w:r>
        <w:rPr>
          <w:rFonts w:ascii="Arial" w:cs="Arial" w:eastAsia="Arial" w:hAnsi="Arial"/>
          <w:sz w:val="17"/>
          <w:szCs w:val="17"/>
          <w:color w:val="auto"/>
        </w:rPr>
        <w:t>Unaudited pro forma condensed combined statement of income and explanatory notes.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2011</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240" w:top="419" w:right="8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121" w:lineRule="exact"/>
        <w:rPr>
          <w:sz w:val="20"/>
          <w:szCs w:val="20"/>
          <w:color w:val="auto"/>
        </w:rPr>
      </w:pPr>
    </w:p>
    <w:p>
      <w:pPr>
        <w:ind w:right="120" w:firstLine="222"/>
        <w:spacing w:after="0" w:line="290" w:lineRule="auto"/>
        <w:rPr>
          <w:sz w:val="20"/>
          <w:szCs w:val="20"/>
          <w:color w:val="auto"/>
        </w:rPr>
      </w:pPr>
      <w:r>
        <w:rPr>
          <w:rFonts w:ascii="Arial" w:cs="Arial" w:eastAsia="Arial" w:hAnsi="Arial"/>
          <w:sz w:val="16"/>
          <w:szCs w:val="16"/>
          <w:color w:val="auto"/>
        </w:rPr>
        <w:t>The unaudited pro forma condensed combined statements of income for the year ended December 31, 2010 combines the historical consolidated statements of income of Schlumberger Limited (“Schlumberger”) and Smith International, Inc. (“Smith”), giving effect to the merger as if it had occurred on January 1, 2010. The historical consolidated financial information has been adjusted in the unaudited pro forma condensed combined statement of income to give effect to pro forma events that are (1) directly attributable to the merger, (2) factually supportable and (3) expected to have a continuing impact on the combined results. The unaudited pro forma condensed combined statement of income should be read in conjunction with the accompanying notes to the unaudited pro forma condensed combined statement of income. In addition, the unaudited pro forma condensed combined statement of income was based on and should be read in conjunction with the separate historical financial statements of Schlumberger as of and for the year ended December 31, 2010 and the related notes included in Schlumberger’s Annual Report on Form 10-K for the year ended December 31, 2010.</w:t>
      </w:r>
    </w:p>
    <w:p>
      <w:pPr>
        <w:spacing w:after="0" w:line="58"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unaudited pro forma condensed combined statement of income has been presented for informational purposes only. The pro forma information is not necessarily indicative of what the combined company’s financial position or results of operations actually would have been had the merger been completed as of January 1, 2010. In addition, the unaudited pro forma condensed combined financial information does not purport to project the future financial position or operating results of the combined company.</w:t>
      </w:r>
    </w:p>
    <w:p>
      <w:pPr>
        <w:spacing w:after="0" w:line="7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unaudited pro forma condensed combined statement of income has been prepared using the acquisition method of accounting under U.S. generally accepted accounting principles, and the regulations of the SEC. All material transactions between Schlumberger and Smith during the period presented in the unaudited pro forma condensed combined statement of income have been eliminated. Schlumberger has been treated as the acquirer in the merger for accounting purposes.</w:t>
      </w:r>
    </w:p>
    <w:p>
      <w:pPr>
        <w:spacing w:after="0" w:line="7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unaudited pro forma condensed combined statement of income does not reflect any cost savings, operating synergies or revenue enhancements that the combined company may achieve as a result of the merger, the costs to integrate the operations of Schlumberger and Smith, or the costs necessary to achieve these cost savings, operating synergies and revenue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340"/>
        <w:spacing w:after="0" w:line="263" w:lineRule="auto"/>
        <w:rPr>
          <w:sz w:val="20"/>
          <w:szCs w:val="20"/>
          <w:color w:val="auto"/>
        </w:rPr>
      </w:pPr>
      <w:r>
        <w:rPr>
          <w:rFonts w:ascii="Arial" w:cs="Arial" w:eastAsia="Arial" w:hAnsi="Arial"/>
          <w:sz w:val="18"/>
          <w:szCs w:val="18"/>
          <w:b w:val="1"/>
          <w:bCs w:val="1"/>
          <w:color w:val="auto"/>
        </w:rPr>
        <w:t>SCHLUMBERGER LIMITED AND SUBSIDIARIES UNAUDITED PRO FORMA CONDENSED COMBINED STATEMENT OF INCOME For the twelve months ended December 31, 2010 (In millions,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280" w:type="dxa"/>
            <w:vAlign w:val="bottom"/>
          </w:tcPr>
          <w:p>
            <w:pPr>
              <w:spacing w:after="0"/>
              <w:rPr>
                <w:sz w:val="14"/>
                <w:szCs w:val="14"/>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Smith</w:t>
            </w:r>
            <w:r>
              <w:rPr>
                <w:rFonts w:ascii="Arial" w:cs="Arial" w:eastAsia="Arial" w:hAnsi="Arial"/>
                <w:sz w:val="12"/>
                <w:szCs w:val="12"/>
                <w:b w:val="1"/>
                <w:bCs w:val="1"/>
                <w:color w:val="auto"/>
              </w:rPr>
              <w:t>(*)</w:t>
            </w:r>
          </w:p>
        </w:tc>
        <w:tc>
          <w:tcPr>
            <w:tcW w:w="20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Reclassifications</w:t>
            </w:r>
            <w:r>
              <w:rPr>
                <w:rFonts w:ascii="Arial" w:cs="Arial" w:eastAsia="Arial" w:hAnsi="Arial"/>
                <w:sz w:val="12"/>
                <w:szCs w:val="12"/>
                <w:b w:val="1"/>
                <w:bCs w:val="1"/>
                <w:color w:val="auto"/>
              </w:rPr>
              <w:t>(A)</w:t>
            </w: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(147)</w:t>
            </w:r>
            <w:r>
              <w:rPr>
                <w:rFonts w:ascii="Arial" w:cs="Arial" w:eastAsia="Arial" w:hAnsi="Arial"/>
                <w:sz w:val="15"/>
                <w:szCs w:val="15"/>
                <w:color w:val="auto"/>
                <w:w w:val="96"/>
              </w:rPr>
              <w:t>(B)</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(78)</w:t>
            </w:r>
            <w:r>
              <w:rPr>
                <w:rFonts w:ascii="Arial" w:cs="Arial" w:eastAsia="Arial" w:hAnsi="Arial"/>
                <w:sz w:val="15"/>
                <w:szCs w:val="15"/>
                <w:color w:val="auto"/>
                <w:w w:val="94"/>
              </w:rPr>
              <w:t>(C)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M-I SWACO</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(1,270)</w:t>
            </w:r>
            <w:r>
              <w:rPr>
                <w:rFonts w:ascii="Arial" w:cs="Arial" w:eastAsia="Arial" w:hAnsi="Arial"/>
                <w:sz w:val="15"/>
                <w:szCs w:val="15"/>
                <w:color w:val="auto"/>
              </w:rPr>
              <w: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(147)</w:t>
            </w:r>
            <w:r>
              <w:rPr>
                <w:rFonts w:ascii="Arial" w:cs="Arial" w:eastAsia="Arial" w:hAnsi="Arial"/>
                <w:sz w:val="15"/>
                <w:szCs w:val="15"/>
                <w:color w:val="auto"/>
                <w:w w:val="96"/>
              </w:rPr>
              <w:t>(B)</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6"/>
              </w:rPr>
              <w:t>(36)</w:t>
            </w:r>
            <w:r>
              <w:rPr>
                <w:rFonts w:ascii="Arial" w:cs="Arial" w:eastAsia="Arial" w:hAnsi="Arial"/>
                <w:sz w:val="15"/>
                <w:szCs w:val="15"/>
                <w:color w:val="auto"/>
                <w:w w:val="96"/>
              </w:rPr>
              <w: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 (F)</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129</w:t>
            </w:r>
            <w:r>
              <w:rPr>
                <w:rFonts w:ascii="Arial" w:cs="Arial" w:eastAsia="Arial" w:hAnsi="Arial"/>
                <w:sz w:val="15"/>
                <w:szCs w:val="15"/>
                <w:color w:val="auto"/>
                <w:w w:val="96"/>
              </w:rPr>
              <w:t>(G)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&amp; engineering</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General &amp; administrative</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Merger &amp; integration</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(189)</w:t>
            </w:r>
            <w:r>
              <w:rPr>
                <w:rFonts w:ascii="Arial" w:cs="Arial" w:eastAsia="Arial" w:hAnsi="Arial"/>
                <w:sz w:val="15"/>
                <w:szCs w:val="15"/>
                <w:color w:val="auto"/>
                <w:w w:val="98"/>
              </w:rPr>
              <w:t>(H)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&amp; other</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(20)</w:t>
            </w:r>
            <w:r>
              <w:rPr>
                <w:rFonts w:ascii="Arial" w:cs="Arial" w:eastAsia="Arial" w:hAnsi="Arial"/>
                <w:sz w:val="15"/>
                <w:szCs w:val="15"/>
                <w:color w:val="auto"/>
                <w:w w:val="99"/>
              </w:rPr>
              <w:t>(I)</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Taxes on income</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5"/>
                <w:szCs w:val="15"/>
                <w:color w:val="auto"/>
              </w:rPr>
              <w:t>(C)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(32)</w:t>
            </w:r>
            <w:r>
              <w:rPr>
                <w:rFonts w:ascii="Arial" w:cs="Arial" w:eastAsia="Arial" w:hAnsi="Arial"/>
                <w:sz w:val="15"/>
                <w:szCs w:val="15"/>
                <w:color w:val="auto"/>
                <w:w w:val="98"/>
              </w:rPr>
              <w: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7"/>
              </w:rPr>
              <w:t>11</w:t>
            </w:r>
            <w:r>
              <w:rPr>
                <w:rFonts w:ascii="Arial" w:cs="Arial" w:eastAsia="Arial" w:hAnsi="Arial"/>
                <w:sz w:val="15"/>
                <w:szCs w:val="15"/>
                <w:color w:val="auto"/>
                <w:w w:val="97"/>
              </w:rPr>
              <w:t>(H)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 xml:space="preserve">28 </w:t>
            </w:r>
            <w:r>
              <w:rPr>
                <w:rFonts w:ascii="Arial" w:cs="Arial" w:eastAsia="Arial" w:hAnsi="Arial"/>
                <w:sz w:val="15"/>
                <w:szCs w:val="15"/>
                <w:color w:val="auto"/>
                <w:w w:val="98"/>
              </w:rPr>
              <w:t>(J)</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7"/>
              </w:rPr>
              <w:t>(1,104)</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attributable to noncontrolling interests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5"/>
                <w:szCs w:val="15"/>
                <w:color w:val="auto"/>
              </w:rPr>
              <w:t>(C)</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500" w:type="dxa"/>
            <w:vAlign w:val="bottom"/>
            <w:gridSpan w:val="2"/>
          </w:tcPr>
          <w:p>
            <w:pPr>
              <w:spacing w:after="0"/>
              <w:rPr>
                <w:sz w:val="20"/>
                <w:szCs w:val="20"/>
                <w:color w:val="auto"/>
              </w:rPr>
            </w:pPr>
            <w:r>
              <w:rPr>
                <w:rFonts w:ascii="Arial" w:cs="Arial" w:eastAsia="Arial" w:hAnsi="Arial"/>
                <w:sz w:val="18"/>
                <w:szCs w:val="18"/>
                <w:color w:val="auto"/>
              </w:rPr>
              <w:t>Income from Continuing Operations Attributable to</w:t>
            </w: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4,267</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(1,008)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continuing operations per share</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attributable to Schlumberger/Smith:</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r>
              <w:rPr>
                <w:rFonts w:ascii="Arial" w:cs="Arial" w:eastAsia="Arial" w:hAnsi="Arial"/>
                <w:sz w:val="15"/>
                <w:szCs w:val="15"/>
                <w:color w:val="auto"/>
              </w:rPr>
              <w:t>(K)</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Assuming dilution</w:t>
            </w:r>
          </w:p>
        </w:tc>
        <w:tc>
          <w:tcPr>
            <w:tcW w:w="2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1,263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1,381</w:t>
            </w:r>
            <w:r>
              <w:rPr>
                <w:rFonts w:ascii="Arial" w:cs="Arial" w:eastAsia="Arial" w:hAnsi="Arial"/>
                <w:sz w:val="15"/>
                <w:szCs w:val="15"/>
                <w:color w:val="auto"/>
              </w:rPr>
              <w:t>(K)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Represents Smith’s results for the period January 1, 2010 to August 27, 2010.</w:t>
      </w:r>
    </w:p>
    <w:p>
      <w:pPr>
        <w:spacing w:after="0" w:line="33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121"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On August 27, 2010, Schlumberger acquired all of the outstanding shares of Smith, a leading supplier of premium products and services to the oil and gas exploration and production industry. The merger brings together the complementary drilling and measurements technologies and expertise of Schlumberger and Smith in order to facilitate the engineering of complete drilling systems which optimize all of the components of the drill string. Such systems will enable Schlumberger’s customers to achieve improved drilling efficiency, better well placement and increased wellbore assurance as they face increasingly more challenging environments. In addition, Schlumberger’s geographic footprint will facilitate the extension of joint offerings on a worldwide basis.</w:t>
      </w:r>
    </w:p>
    <w:p>
      <w:pPr>
        <w:spacing w:after="0" w:line="5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Under the terms of the merger agreement, Smith became a wholly-owned subsidiary of Schlumberger. Each share of Smith common stock issued and outstanding immediately prior to the effective time of the merger was converted into the right to receive 0.6966 shares of Schlumberger common stock, with cash paid in lieu of fractional shares.</w:t>
      </w:r>
    </w:p>
    <w:p>
      <w:pPr>
        <w:spacing w:after="0" w:line="73"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At the effective time of the merger, each outstanding option to purchase Smith common stock was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was determined by multiplying the number of shares of Smith common stock underlying such Smith stock options by the 0.6966 exchange ratio, and rounding down to the nearest whole share. The exercise price per share of each converted Smith stock option was determined by dividing the per share exercise price of such stock option by the 0.6966 exchange ratio, and rounding up to the nearest whole cent. Smith stock options, whether or not then vested and exercisable, became fully vested and exercisable and assumed by Schlumberger at the effective date of the merger in accordance with preexisting change-in-control provisions. Smith stock options were converted into 0.6 million Schlumberger stock options.</w:t>
      </w:r>
    </w:p>
    <w:p>
      <w:pPr>
        <w:spacing w:after="0" w:line="71"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At the effective time of the merger, Smith restricted stock units, whether or not then vested, became fully vested (except for grants between the date of the merger agreement and closing, which were not significant and did not automatically vest) and were converted into shares of Schlumberger common stock in connection with the merger,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Calculation of Consideration Transferred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details the fair value of the consideration transferred to effect the acquisition of Smith.</w:t>
      </w:r>
    </w:p>
    <w:p>
      <w:pPr>
        <w:sectPr>
          <w:pgSz w:w="11900" w:h="16838" w:orient="portrait"/>
          <w:cols w:equalWidth="0" w:num="1">
            <w:col w:w="11420"/>
          </w:cols>
          <w:pgMar w:left="240" w:top="958" w:right="239" w:bottom="0" w:gutter="0" w:footer="0" w:header="0"/>
        </w:sectPr>
      </w:pPr>
    </w:p>
    <w:bookmarkStart w:id="7" w:name="page8"/>
    <w:bookmarkEnd w:id="7"/>
    <w:p>
      <w:pPr>
        <w:spacing w:after="0" w:line="28"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 millions, except exchange ratio and per share amounts)</w:t>
            </w: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of Smith common stock outstanding as of August 27, 2010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Number of Smith unvested restricted stock units outstanding as of August 27, 2010</w:t>
            </w: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7"/>
        </w:trPr>
        <w:tc>
          <w:tcPr>
            <w:tcW w:w="36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6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Multiplied by the exchange ratio</w:t>
            </w: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0.6966</w:t>
            </w:r>
          </w:p>
        </w:tc>
      </w:tr>
      <w:tr>
        <w:trPr>
          <w:trHeight w:val="27"/>
        </w:trPr>
        <w:tc>
          <w:tcPr>
            <w:tcW w:w="36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Schlumberger shares of common stock issued</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Schlumberger closing share price on August 27, 2010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55.76</w:t>
            </w:r>
          </w:p>
        </w:tc>
      </w:tr>
      <w:tr>
        <w:trPr>
          <w:trHeight w:val="27"/>
        </w:trPr>
        <w:tc>
          <w:tcPr>
            <w:tcW w:w="36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equity consideration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Fair value of Schlumberger equivalent stock options issued</w:t>
            </w: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7"/>
        </w:trPr>
        <w:tc>
          <w:tcPr>
            <w:tcW w:w="36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fair value of the consideration transferred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9,828</w:t>
            </w:r>
          </w:p>
        </w:tc>
      </w:tr>
      <w:tr>
        <w:trPr>
          <w:trHeight w:val="20"/>
        </w:trPr>
        <w:tc>
          <w:tcPr>
            <w:tcW w:w="3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amounts reflect rounding adjustments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Adjustments to Unaudited Pro Forma Condensed Combined Income Statement</w:t>
      </w:r>
    </w:p>
    <w:p>
      <w:pPr>
        <w:spacing w:after="0" w:line="121" w:lineRule="exact"/>
        <w:rPr>
          <w:sz w:val="20"/>
          <w:szCs w:val="20"/>
          <w:color w:val="auto"/>
        </w:rPr>
      </w:pPr>
    </w:p>
    <w:p>
      <w:pPr>
        <w:ind w:left="380" w:right="42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reclassifications have been made to Smith’s historical statement of income to conform to Schlumberger’s presentation, primarily relating to selling and research and engineering expenses.</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elimination of revenue and cost of revenue in connection with Smith sales to Schlumberger.</w:t>
      </w:r>
    </w:p>
    <w:p>
      <w:pPr>
        <w:spacing w:after="0" w:line="130" w:lineRule="exact"/>
        <w:rPr>
          <w:rFonts w:ascii="Arial" w:cs="Arial" w:eastAsia="Arial" w:hAnsi="Arial"/>
          <w:sz w:val="18"/>
          <w:szCs w:val="18"/>
          <w:color w:val="auto"/>
        </w:rPr>
      </w:pPr>
    </w:p>
    <w:p>
      <w:pPr>
        <w:jc w:val="both"/>
        <w:ind w:left="380" w:right="20" w:hanging="372"/>
        <w:spacing w:after="0" w:line="286"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Reflects the elimination of Schlumberger’s equity earnings relating to M-I SWACO, a drilling fluids joint venture that was 40% owned by Schlumberger and 60% owned by Smith, as well as Smith’s corresponding noncontrolling interest in the net income of the venture, respectively. This joint venture was structured as a partnership in the U.S. Smith consolidated the results of M-I SWACO and, as such, reflected the pretax income of the entire joint venture (including the U.S. partnership), and had appropriately not recorded income taxes associated with Schlumberger’s 40% interest in the U.S. partnership.</w:t>
      </w:r>
    </w:p>
    <w:p>
      <w:pPr>
        <w:spacing w:after="0" w:line="1" w:lineRule="exact"/>
        <w:rPr>
          <w:rFonts w:ascii="Arial" w:cs="Arial" w:eastAsia="Arial" w:hAnsi="Arial"/>
          <w:sz w:val="16"/>
          <w:szCs w:val="16"/>
          <w:color w:val="auto"/>
        </w:rPr>
      </w:pPr>
    </w:p>
    <w:p>
      <w:pPr>
        <w:ind w:left="380" w:right="500"/>
        <w:spacing w:after="0" w:line="261" w:lineRule="auto"/>
        <w:rPr>
          <w:rFonts w:ascii="Arial" w:cs="Arial" w:eastAsia="Arial" w:hAnsi="Arial"/>
          <w:sz w:val="16"/>
          <w:szCs w:val="16"/>
          <w:color w:val="auto"/>
        </w:rPr>
      </w:pPr>
      <w:r>
        <w:rPr>
          <w:rFonts w:ascii="Arial" w:cs="Arial" w:eastAsia="Arial" w:hAnsi="Arial"/>
          <w:sz w:val="18"/>
          <w:szCs w:val="18"/>
          <w:color w:val="auto"/>
        </w:rPr>
        <w:t>Therefore, an adjustment is required to reclassify these additional taxes which were previously reflected as a component of Schlumberger’s equity income.</w:t>
      </w:r>
    </w:p>
    <w:p>
      <w:pPr>
        <w:spacing w:after="0" w:line="89" w:lineRule="exact"/>
        <w:rPr>
          <w:rFonts w:ascii="Arial" w:cs="Arial" w:eastAsia="Arial" w:hAnsi="Arial"/>
          <w:sz w:val="16"/>
          <w:szCs w:val="16"/>
          <w:color w:val="auto"/>
        </w:rPr>
      </w:pPr>
    </w:p>
    <w:p>
      <w:pPr>
        <w:ind w:left="380" w:hanging="372"/>
        <w:spacing w:after="0" w:line="25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pro forma adjustment to eliminate Schlumberger’s pretax gain and the related tax effect as a result of remeasuring its previously held equity interest in M-I SWACO.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M-I SWACO. Because this pro forma adjustment will not have a continuing impact, it is excluded from the unaudited pro forma condensed combined statement of income.</w:t>
      </w:r>
    </w:p>
    <w:p>
      <w:pPr>
        <w:spacing w:after="0" w:line="93"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eliminate Smith’s historical intangible asset amortization expense.</w:t>
      </w:r>
    </w:p>
    <w:p>
      <w:pPr>
        <w:spacing w:after="0" w:line="130" w:lineRule="exact"/>
        <w:rPr>
          <w:rFonts w:ascii="Arial" w:cs="Arial" w:eastAsia="Arial" w:hAnsi="Arial"/>
          <w:sz w:val="18"/>
          <w:szCs w:val="18"/>
          <w:color w:val="auto"/>
        </w:rPr>
      </w:pPr>
    </w:p>
    <w:p>
      <w:pPr>
        <w:ind w:left="380" w:right="6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recorded an adjustment in purchase accounting of $153 million to write-up acquired inventory to its estimated fair market value. Schlumberger’s cost of revenue reflected this increased valuation as this inventory was sold. The impact of this adjustment has been eliminated from the unaudited pro forma condensed combined statement of income because it will not have a continuing impact.</w:t>
      </w:r>
    </w:p>
    <w:p>
      <w:pPr>
        <w:spacing w:after="0" w:line="86" w:lineRule="exact"/>
        <w:rPr>
          <w:rFonts w:ascii="Arial" w:cs="Arial" w:eastAsia="Arial" w:hAnsi="Arial"/>
          <w:sz w:val="18"/>
          <w:szCs w:val="18"/>
          <w:color w:val="auto"/>
        </w:rPr>
      </w:pPr>
    </w:p>
    <w:p>
      <w:pPr>
        <w:ind w:left="380" w:right="160" w:hanging="372"/>
        <w:spacing w:after="0" w:line="297"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identifiable intangible assets was determined primarily using the “income approach,” which requires a forecast of all of the 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and the assessment of the asset’s life cycle, as well as other factors. The fair value of the identifiable intangible assets, the related amortization expense and their weighted-average useful lives have been estimated as follows:</w:t>
      </w:r>
    </w:p>
    <w:p>
      <w:pPr>
        <w:spacing w:after="0" w:line="1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Annual Amortization</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Estimated Useful Life</w:t>
            </w:r>
          </w:p>
        </w:tc>
        <w:tc>
          <w:tcPr>
            <w:tcW w:w="1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Technology / Technical Know-How</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18"/>
                <w:szCs w:val="18"/>
                <w:color w:val="auto"/>
              </w:rPr>
            </w:pP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Tradenames / Trademarks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right="120"/>
        <w:spacing w:after="0" w:line="342" w:lineRule="auto"/>
        <w:rPr>
          <w:sz w:val="20"/>
          <w:szCs w:val="20"/>
          <w:color w:val="auto"/>
        </w:rPr>
      </w:pPr>
      <w:r>
        <w:rPr>
          <w:rFonts w:ascii="Arial" w:cs="Arial" w:eastAsia="Arial" w:hAnsi="Arial"/>
          <w:sz w:val="16"/>
          <w:szCs w:val="16"/>
          <w:color w:val="auto"/>
        </w:rPr>
        <w:t>The pro forma adjustment of $129 million represents the $194 million of annual amortization expense less the $65 million of amortization expense that Schlumberger recorded relating to these identifiable intangible assets during the period from August 27, 2010 to December 31, 2010.</w:t>
      </w:r>
    </w:p>
    <w:p>
      <w:pPr>
        <w:spacing w:after="0" w:line="2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merger-related advisory and legal fees, and the related tax benefit, incurred by both Schlumberger and Smith during the year ended</w:t>
      </w:r>
    </w:p>
    <w:p>
      <w:pPr>
        <w:spacing w:after="0" w:line="34" w:lineRule="exact"/>
        <w:rPr>
          <w:rFonts w:ascii="Arial" w:cs="Arial" w:eastAsia="Arial" w:hAnsi="Arial"/>
          <w:sz w:val="17"/>
          <w:szCs w:val="17"/>
          <w:color w:val="auto"/>
        </w:rPr>
      </w:pPr>
    </w:p>
    <w:p>
      <w:pPr>
        <w:ind w:left="380" w:right="100"/>
        <w:spacing w:after="0" w:line="261" w:lineRule="auto"/>
        <w:rPr>
          <w:rFonts w:ascii="Arial" w:cs="Arial" w:eastAsia="Arial" w:hAnsi="Arial"/>
          <w:sz w:val="17"/>
          <w:szCs w:val="17"/>
          <w:color w:val="auto"/>
        </w:rPr>
      </w:pPr>
      <w:r>
        <w:rPr>
          <w:rFonts w:ascii="Arial" w:cs="Arial" w:eastAsia="Arial" w:hAnsi="Arial"/>
          <w:sz w:val="18"/>
          <w:szCs w:val="18"/>
          <w:color w:val="auto"/>
        </w:rPr>
        <w:t>December 31, 2010 which do not have a continuing impact and therefore are not reflected in the unaudited pro forma condensed combined statement of income.</w:t>
      </w:r>
    </w:p>
    <w:p>
      <w:pPr>
        <w:spacing w:after="0" w:line="89" w:lineRule="exact"/>
        <w:rPr>
          <w:rFonts w:ascii="Arial" w:cs="Arial" w:eastAsia="Arial" w:hAnsi="Arial"/>
          <w:sz w:val="17"/>
          <w:szCs w:val="17"/>
          <w:color w:val="auto"/>
        </w:rPr>
      </w:pPr>
    </w:p>
    <w:p>
      <w:pPr>
        <w:ind w:left="380" w:right="80" w:hanging="372"/>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the amortization associated with the fair value adjustment to increase Smith’s fixed rate long-term debt and its fair value at the closing of the merger for the period from January 1, 2010 to August 27, 2010, over the weighted-average remaining term of the obligations.</w:t>
      </w:r>
    </w:p>
    <w:p>
      <w:pPr>
        <w:spacing w:after="0" w:line="51" w:lineRule="exact"/>
        <w:rPr>
          <w:rFonts w:ascii="Arial" w:cs="Arial" w:eastAsia="Arial" w:hAnsi="Arial"/>
          <w:sz w:val="17"/>
          <w:szCs w:val="17"/>
          <w:color w:val="auto"/>
        </w:rPr>
      </w:pPr>
    </w:p>
    <w:p>
      <w:pPr>
        <w:jc w:val="both"/>
        <w:ind w:left="380" w:right="160" w:hanging="372"/>
        <w:spacing w:after="0" w:line="26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impact of the pro forma adjustments has been calculated as follows (in millions):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5760" w:type="dxa"/>
            <w:vAlign w:val="bottom"/>
          </w:tcPr>
          <w:p>
            <w:pPr>
              <w:spacing w:after="0"/>
              <w:rPr>
                <w:sz w:val="12"/>
                <w:szCs w:val="12"/>
                <w:color w:val="auto"/>
              </w:rPr>
            </w:pPr>
          </w:p>
        </w:tc>
        <w:tc>
          <w:tcPr>
            <w:tcW w:w="2780" w:type="dxa"/>
            <w:vAlign w:val="bottom"/>
            <w:gridSpan w:val="4"/>
          </w:tcPr>
          <w:p>
            <w:pPr>
              <w:ind w:left="17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Smith’s historical amortization expense</w:t>
            </w:r>
          </w:p>
        </w:tc>
        <w:tc>
          <w:tcPr>
            <w:tcW w:w="19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Elimination of inventory fair value adjustment</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 associated with intangible assets</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Amortization of debt fair value adjustment</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5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incremental income</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U.S. federal statutory tax rate</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Tax expense relating to pro forma adjustments</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0"/>
        </w:trPr>
        <w:tc>
          <w:tcPr>
            <w:tcW w:w="5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(K) Represents the adjusted weighted-average shares outstanding calculated as follows (in millions):</w:t>
      </w:r>
    </w:p>
    <w:p>
      <w:pPr>
        <w:sectPr>
          <w:pgSz w:w="11900" w:h="16867" w:orient="portrait"/>
          <w:cols w:equalWidth="0" w:num="1">
            <w:col w:w="11400"/>
          </w:cols>
          <w:pgMar w:left="240" w:top="114" w:right="259" w:bottom="0" w:gutter="0" w:footer="0" w:header="0"/>
        </w:sectPr>
      </w:pPr>
    </w:p>
    <w:p>
      <w:pPr>
        <w:spacing w:after="0" w:line="217"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780"/>
        <w:spacing w:after="0"/>
        <w:rPr>
          <w:sz w:val="20"/>
          <w:szCs w:val="20"/>
          <w:color w:val="auto"/>
        </w:rPr>
      </w:pPr>
      <w:r>
        <w:rPr>
          <w:rFonts w:ascii="Arial" w:cs="Arial" w:eastAsia="Arial" w:hAnsi="Arial"/>
          <w:sz w:val="12"/>
          <w:szCs w:val="12"/>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10795</wp:posOffset>
            </wp:positionV>
            <wp:extent cx="1020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67" w:orient="portrait"/>
          <w:cols w:equalWidth="0" w:num="1">
            <w:col w:w="11400"/>
          </w:cols>
          <w:pgMar w:left="240" w:top="114" w:right="259" w:bottom="0" w:gutter="0" w:footer="0" w:header="0"/>
          <w:type w:val="continuous"/>
        </w:sectPr>
      </w:pPr>
    </w:p>
    <w:bookmarkStart w:id="8" w:name="page9"/>
    <w:bookmarkEnd w:id="8"/>
    <w:tbl>
      <w:tblPr>
        <w:tblLayout w:type="fixed"/>
        <w:tblInd w:w="9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8"/>
              </w:rPr>
              <w:t>Assuming</w:t>
            </w:r>
          </w:p>
        </w:tc>
      </w:tr>
      <w:tr>
        <w:trPr>
          <w:trHeight w:val="171"/>
        </w:trPr>
        <w:tc>
          <w:tcPr>
            <w:tcW w:w="68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Basic</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Dilution</w:t>
            </w:r>
          </w:p>
        </w:tc>
        <w:tc>
          <w:tcPr>
            <w:tcW w:w="8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Schlumberger historical shares outstanding</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 forma adjustment for the new Schlumberger shares of common stock issued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118</w:t>
            </w:r>
          </w:p>
        </w:tc>
      </w:tr>
      <w:tr>
        <w:trPr>
          <w:trHeight w:val="27"/>
        </w:trPr>
        <w:tc>
          <w:tcPr>
            <w:tcW w:w="6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w:t>
            </w:r>
          </w:p>
        </w:tc>
      </w:tr>
      <w:tr>
        <w:trPr>
          <w:trHeight w:val="20"/>
        </w:trPr>
        <w:tc>
          <w:tcPr>
            <w:tcW w:w="6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dilutive effect of Smith stock options that were converted into Schlumberger stock options was not significant.</w:t>
      </w:r>
    </w:p>
    <w:sectPr>
      <w:pgSz w:w="11900" w:h="16838" w:orient="portrait"/>
      <w:cols w:equalWidth="0" w:num="1">
        <w:col w:w="9759"/>
      </w:cols>
      <w:pgMar w:left="7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1"/>
    </w:lvl>
  </w:abstractNum>
  <w:abstractNum w:abstractNumId="4">
    <w:nsid w:val="46E87CCD"/>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2019-12-10T03:32:26Z</dcterms:created>
  <dcterms:modified xsi:type="dcterms:W3CDTF">2019-12-10T03:32:26Z</dcterms:modified>
</cp:coreProperties>
</file>