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Raman Aparna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03/07/2025</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Chief Strategy &amp; Mktg Officer</w:t>
            </w: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9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3,557</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55,592</w:t>
            </w:r>
            <w:r>
              <w:rPr>
                <w:rFonts w:ascii="Times New Roman" w:cs="Times New Roman" w:eastAsia="Times New Roman" w:hAnsi="Times New Roman"/>
                <w:sz w:val="22"/>
                <w:szCs w:val="22"/>
                <w:color w:val="008000"/>
                <w:w w:val="97"/>
                <w:vertAlign w:val="superscript"/>
              </w:rPr>
              <w:t>(2)</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1,400</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40.87</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54,192</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6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3"/>
              </w:rPr>
              <w:t>1,951</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19, 2022. Vesting of the PSUs was based on three-year Company performance relative to select key competitors. Most of these competitors had not reported their 2024 audited financial results when the Company's compensation committee met in January 2025 to certify performance under the PSUs. As a result, the Company's compensation committee approved the issuance of 80% of the shares that the committee determined had been earned according to the information available to the committee at the time. As of March 7, 2025, all such competitors had reported their 2024 audited financial results. Shares of common stock reported hereunder represent shares finally determined to have been earned under the PSUs.</w:t>
      </w:r>
    </w:p>
    <w:p>
      <w:pPr>
        <w:spacing w:after="0" w:line="178"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2,769 shares that were inadvertently excluded from the reporting person's direct holdings on her original Form 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Removes 49 shares that were inadvertently included in the reporting person's indirect holdings on her original Form 3.</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59749"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2025-03-11T16:23:00Z</dcterms:created>
  <dcterms:modified xsi:type="dcterms:W3CDTF">2025-03-11T16:23:00Z</dcterms:modified>
</cp:coreProperties>
</file>