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9"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192405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0"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April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177165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8"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5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sect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6" w:lineRule="exact"/>
        <w:rPr>
          <w:sz w:val="24"/>
          <w:szCs w:val="24"/>
          <w:color w:val="auto"/>
        </w:rPr>
      </w:pPr>
    </w:p>
    <w:p>
      <w:pPr>
        <w:sectPr>
          <w:pgSz w:w="11900" w:h="16838" w:orient="portrait"/>
          <w:cols w:equalWidth="0" w:num="3">
            <w:col w:w="4624" w:space="720"/>
            <w:col w:w="2720" w:space="720"/>
            <w:col w:w="2240"/>
          </w:cols>
          <w:pgMar w:left="436" w:top="387"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62" w:lineRule="exact"/>
        <w:rPr>
          <w:sz w:val="24"/>
          <w:szCs w:val="24"/>
          <w:color w:val="auto"/>
        </w:rPr>
      </w:pPr>
    </w:p>
    <w:p>
      <w:pPr>
        <w:sectPr>
          <w:pgSz w:w="11900" w:h="16838" w:orient="portrait"/>
          <w:cols w:equalWidth="0" w:num="3">
            <w:col w:w="4444" w:space="720"/>
            <w:col w:w="2760" w:space="720"/>
            <w:col w:w="2380"/>
          </w:cols>
          <w:pgMar w:left="436" w:top="387"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jc w:val="center"/>
        <w:ind w:right="16"/>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87" w:right="439" w:bottom="1440" w:gutter="0" w:footer="0" w:header="0"/>
          <w:type w:val="continuous"/>
        </w:sectPr>
      </w:pPr>
    </w:p>
    <w:p>
      <w:pPr>
        <w:spacing w:after="0" w:line="16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174625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4" w:right="12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0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9"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9"/>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10"/>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18"/>
                <w:szCs w:val="18"/>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18"/>
                <w:szCs w:val="18"/>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0" w:lineRule="exact"/>
        <w:rPr>
          <w:sz w:val="24"/>
          <w:szCs w:val="24"/>
          <w:color w:val="auto"/>
        </w:rPr>
      </w:pPr>
    </w:p>
    <w:p>
      <w:pPr>
        <w:ind w:left="4" w:right="6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86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126" w:lineRule="exact"/>
        <w:rPr>
          <w:sz w:val="20"/>
          <w:szCs w:val="20"/>
          <w:color w:val="auto"/>
        </w:rPr>
      </w:pPr>
    </w:p>
    <w:p>
      <w:pPr>
        <w:ind w:right="20" w:firstLine="440"/>
        <w:spacing w:after="0"/>
        <w:rPr>
          <w:sz w:val="20"/>
          <w:szCs w:val="20"/>
          <w:color w:val="auto"/>
        </w:rPr>
      </w:pPr>
      <w:r>
        <w:rPr>
          <w:rFonts w:ascii="Arial" w:cs="Arial" w:eastAsia="Arial" w:hAnsi="Arial"/>
          <w:sz w:val="18"/>
          <w:szCs w:val="18"/>
          <w:color w:val="auto"/>
        </w:rPr>
        <w:t>The 2023 Annual General Meeting of Shareholders (the “Annual Meeting”) of Schlumberger Limited (Schlumberger N.V.), a Curaçao corporation (“SLB”), was held on April 5, 2023. All director nominees were elected and all other proposals were passed at the Annual Meeting. The results are summarized below, with detailed voting results following.</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Annual Meeting, the shareholders of SLB:</w:t>
      </w:r>
    </w:p>
    <w:p>
      <w:pPr>
        <w:spacing w:after="0" w:line="239"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1—elected all eleven director nominees;</w:t>
      </w:r>
    </w:p>
    <w:p>
      <w:pPr>
        <w:spacing w:after="0" w:line="117" w:lineRule="exact"/>
        <w:rPr>
          <w:rFonts w:ascii="Arial" w:cs="Arial" w:eastAsia="Arial" w:hAnsi="Arial"/>
          <w:sz w:val="18"/>
          <w:szCs w:val="18"/>
          <w:color w:val="auto"/>
        </w:rPr>
      </w:pPr>
    </w:p>
    <w:p>
      <w:pPr>
        <w:ind w:left="960" w:right="680" w:hanging="424"/>
        <w:spacing w:after="0" w:line="246"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2—conducted an advisory vote on the frequency of future advisory votes on SLB’s executive compensation, with approximately 98.6% of the votes cast voting in favor of annual votes;</w:t>
      </w:r>
    </w:p>
    <w:p>
      <w:pPr>
        <w:spacing w:after="0" w:line="102" w:lineRule="exact"/>
        <w:rPr>
          <w:rFonts w:ascii="Arial" w:cs="Arial" w:eastAsia="Arial" w:hAnsi="Arial"/>
          <w:sz w:val="18"/>
          <w:szCs w:val="18"/>
          <w:color w:val="auto"/>
        </w:rPr>
      </w:pPr>
    </w:p>
    <w:p>
      <w:pPr>
        <w:ind w:left="960" w:hanging="424"/>
        <w:spacing w:after="0" w:line="246"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3—approved, on an advisory basis, SLB’s executive compensation, with approximately 96.6% of the votes cast voting for this proposal;</w:t>
      </w:r>
    </w:p>
    <w:p>
      <w:pPr>
        <w:spacing w:after="0" w:line="102" w:lineRule="exact"/>
        <w:rPr>
          <w:rFonts w:ascii="Arial" w:cs="Arial" w:eastAsia="Arial" w:hAnsi="Arial"/>
          <w:sz w:val="18"/>
          <w:szCs w:val="18"/>
          <w:color w:val="auto"/>
        </w:rPr>
      </w:pPr>
    </w:p>
    <w:p>
      <w:pPr>
        <w:ind w:left="960" w:right="4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4—approved SLB’s consolidated balance sheet at December 31, 2022, its consolidated statement of income for the year ended December 31, 2022, and the declarations of dividends by SLB’s Board of Directors in 2022 as reflected in its 2022 Annual Report to Shareholders, with approximately 99.9% of the votes cast voting for this proposal; and</w:t>
      </w:r>
    </w:p>
    <w:p>
      <w:pPr>
        <w:spacing w:after="0" w:line="108" w:lineRule="exact"/>
        <w:rPr>
          <w:rFonts w:ascii="Arial" w:cs="Arial" w:eastAsia="Arial" w:hAnsi="Arial"/>
          <w:sz w:val="18"/>
          <w:szCs w:val="18"/>
          <w:color w:val="auto"/>
        </w:rPr>
      </w:pPr>
    </w:p>
    <w:p>
      <w:pPr>
        <w:ind w:left="960" w:right="820" w:hanging="424"/>
        <w:spacing w:after="0" w:line="246"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5—ratified the appointment of PricewaterhouseCoopers LLP as the independent auditors of SLB for 2023, with approximately 92.9% of the votes cast voting for this proposal.</w:t>
      </w:r>
    </w:p>
    <w:p>
      <w:pPr>
        <w:spacing w:after="0" w:line="197" w:lineRule="exact"/>
        <w:rPr>
          <w:sz w:val="20"/>
          <w:szCs w:val="20"/>
          <w:color w:val="auto"/>
        </w:rPr>
      </w:pPr>
    </w:p>
    <w:p>
      <w:pPr>
        <w:ind w:right="280" w:firstLine="440"/>
        <w:spacing w:after="0" w:line="246" w:lineRule="auto"/>
        <w:rPr>
          <w:sz w:val="20"/>
          <w:szCs w:val="20"/>
          <w:color w:val="auto"/>
        </w:rPr>
      </w:pPr>
      <w:r>
        <w:rPr>
          <w:rFonts w:ascii="Arial" w:cs="Arial" w:eastAsia="Arial" w:hAnsi="Arial"/>
          <w:sz w:val="18"/>
          <w:szCs w:val="18"/>
          <w:color w:val="auto"/>
        </w:rPr>
        <w:t>The proposals are described in detail in SLB’s definitive proxy statement for the Annual Meeting, which was filed with the SEC on February 23, 2023 (the “Definitive Proxy Statement”).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1—Election of Directors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director nominees were elected at the Annual Meeting.</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ind w:right="273"/>
              <w:spacing w:after="0"/>
              <w:rPr>
                <w:sz w:val="20"/>
                <w:szCs w:val="20"/>
                <w:color w:val="auto"/>
              </w:rPr>
            </w:pPr>
            <w:r>
              <w:rPr>
                <w:rFonts w:ascii="Arial" w:cs="Arial" w:eastAsia="Arial" w:hAnsi="Arial"/>
                <w:sz w:val="14"/>
                <w:szCs w:val="14"/>
                <w:b w:val="1"/>
                <w:bCs w:val="1"/>
                <w:color w:val="auto"/>
              </w:rPr>
              <w:t>Broker</w:t>
            </w:r>
          </w:p>
        </w:tc>
      </w:tr>
      <w:tr>
        <w:trPr>
          <w:trHeight w:val="189"/>
        </w:trPr>
        <w:tc>
          <w:tcPr>
            <w:tcW w:w="3660" w:type="dxa"/>
            <w:vAlign w:val="bottom"/>
          </w:tcPr>
          <w:p>
            <w:pPr>
              <w:spacing w:after="0"/>
              <w:rPr>
                <w:sz w:val="16"/>
                <w:szCs w:val="16"/>
                <w:color w:val="auto"/>
              </w:rPr>
            </w:pPr>
          </w:p>
        </w:tc>
        <w:tc>
          <w:tcPr>
            <w:tcW w:w="2880" w:type="dxa"/>
            <w:vAlign w:val="bottom"/>
          </w:tcPr>
          <w:p>
            <w:pPr>
              <w:jc w:val="right"/>
              <w:ind w:right="572"/>
              <w:spacing w:after="0"/>
              <w:rPr>
                <w:sz w:val="20"/>
                <w:szCs w:val="20"/>
                <w:color w:val="auto"/>
              </w:rPr>
            </w:pPr>
            <w:r>
              <w:rPr>
                <w:rFonts w:ascii="Arial" w:cs="Arial" w:eastAsia="Arial" w:hAnsi="Arial"/>
                <w:sz w:val="14"/>
                <w:szCs w:val="14"/>
                <w:b w:val="1"/>
                <w:bCs w:val="1"/>
                <w:color w:val="auto"/>
              </w:rPr>
              <w:t>For</w:t>
            </w:r>
          </w:p>
        </w:tc>
        <w:tc>
          <w:tcPr>
            <w:tcW w:w="1320" w:type="dxa"/>
            <w:vAlign w:val="bottom"/>
          </w:tcPr>
          <w:p>
            <w:pPr>
              <w:jc w:val="right"/>
              <w:ind w:right="352"/>
              <w:spacing w:after="0"/>
              <w:rPr>
                <w:sz w:val="20"/>
                <w:szCs w:val="20"/>
                <w:color w:val="auto"/>
              </w:rPr>
            </w:pPr>
            <w:r>
              <w:rPr>
                <w:rFonts w:ascii="Arial" w:cs="Arial" w:eastAsia="Arial" w:hAnsi="Arial"/>
                <w:sz w:val="14"/>
                <w:szCs w:val="14"/>
                <w:b w:val="1"/>
                <w:bCs w:val="1"/>
                <w:color w:val="auto"/>
              </w:rPr>
              <w:t>Against</w:t>
            </w:r>
          </w:p>
        </w:tc>
        <w:tc>
          <w:tcPr>
            <w:tcW w:w="1080" w:type="dxa"/>
            <w:vAlign w:val="bottom"/>
          </w:tcPr>
          <w:p>
            <w:pPr>
              <w:jc w:val="right"/>
              <w:ind w:right="212"/>
              <w:spacing w:after="0"/>
              <w:rPr>
                <w:sz w:val="20"/>
                <w:szCs w:val="20"/>
                <w:color w:val="auto"/>
              </w:rPr>
            </w:pPr>
            <w:r>
              <w:rPr>
                <w:rFonts w:ascii="Arial" w:cs="Arial" w:eastAsia="Arial" w:hAnsi="Arial"/>
                <w:sz w:val="14"/>
                <w:szCs w:val="14"/>
                <w:b w:val="1"/>
                <w:bCs w:val="1"/>
                <w:color w:val="auto"/>
              </w:rPr>
              <w:t>Abstain</w:t>
            </w:r>
          </w:p>
        </w:tc>
        <w:tc>
          <w:tcPr>
            <w:tcW w:w="1180" w:type="dxa"/>
            <w:vAlign w:val="bottom"/>
          </w:tcPr>
          <w:p>
            <w:pPr>
              <w:jc w:val="right"/>
              <w:ind w:right="153"/>
              <w:spacing w:after="0"/>
              <w:rPr>
                <w:sz w:val="20"/>
                <w:szCs w:val="20"/>
                <w:color w:val="auto"/>
              </w:rPr>
            </w:pPr>
            <w:r>
              <w:rPr>
                <w:rFonts w:ascii="Arial" w:cs="Arial" w:eastAsia="Arial" w:hAnsi="Arial"/>
                <w:sz w:val="14"/>
                <w:szCs w:val="14"/>
                <w:b w:val="1"/>
                <w:bCs w:val="1"/>
                <w:color w:val="auto"/>
              </w:rPr>
              <w:t>Non-votes</w:t>
            </w: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Peter Coleman</w:t>
            </w:r>
          </w:p>
        </w:tc>
        <w:tc>
          <w:tcPr>
            <w:tcW w:w="28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1,074,223,163</w:t>
            </w:r>
          </w:p>
        </w:tc>
        <w:tc>
          <w:tcPr>
            <w:tcW w:w="13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30,947,453</w:t>
            </w:r>
          </w:p>
        </w:tc>
        <w:tc>
          <w:tcPr>
            <w:tcW w:w="10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1,095,803</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115,263,471</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Patrick de La Chevardière</w:t>
            </w:r>
          </w:p>
        </w:tc>
        <w:tc>
          <w:tcPr>
            <w:tcW w:w="28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1,097,768,170</w:t>
            </w:r>
          </w:p>
        </w:tc>
        <w:tc>
          <w:tcPr>
            <w:tcW w:w="1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7,419,880</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1,078,370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115,263,471</w:t>
            </w: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Miguel Galuccio</w:t>
            </w:r>
          </w:p>
        </w:tc>
        <w:tc>
          <w:tcPr>
            <w:tcW w:w="28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1,030,974,797</w:t>
            </w:r>
          </w:p>
        </w:tc>
        <w:tc>
          <w:tcPr>
            <w:tcW w:w="13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74,148,033</w:t>
            </w:r>
          </w:p>
        </w:tc>
        <w:tc>
          <w:tcPr>
            <w:tcW w:w="10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1,143,589</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115,263,471</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Olivier Le Peuch</w:t>
            </w:r>
          </w:p>
        </w:tc>
        <w:tc>
          <w:tcPr>
            <w:tcW w:w="28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1,101,566,437</w:t>
            </w:r>
          </w:p>
        </w:tc>
        <w:tc>
          <w:tcPr>
            <w:tcW w:w="1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3,710,084</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989,898</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115,263,471</w:t>
            </w: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Samuel Leupold</w:t>
            </w:r>
          </w:p>
        </w:tc>
        <w:tc>
          <w:tcPr>
            <w:tcW w:w="28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1,099,564,620</w:t>
            </w:r>
          </w:p>
        </w:tc>
        <w:tc>
          <w:tcPr>
            <w:tcW w:w="13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5,673,023</w:t>
            </w:r>
          </w:p>
        </w:tc>
        <w:tc>
          <w:tcPr>
            <w:tcW w:w="10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1,028,776</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115,263,471</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Tatiana Mitrova</w:t>
            </w:r>
          </w:p>
        </w:tc>
        <w:tc>
          <w:tcPr>
            <w:tcW w:w="28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1,099,926,513</w:t>
            </w:r>
          </w:p>
        </w:tc>
        <w:tc>
          <w:tcPr>
            <w:tcW w:w="1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5,473,074</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866,832</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115,263,471</w:t>
            </w: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Maria Moræus Hanssen</w:t>
            </w:r>
          </w:p>
        </w:tc>
        <w:tc>
          <w:tcPr>
            <w:tcW w:w="28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1,071,888,893</w:t>
            </w:r>
          </w:p>
        </w:tc>
        <w:tc>
          <w:tcPr>
            <w:tcW w:w="13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33,229,039</w:t>
            </w:r>
          </w:p>
        </w:tc>
        <w:tc>
          <w:tcPr>
            <w:tcW w:w="10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1,148,487</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115,263,471</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Vanitha Narayanan</w:t>
            </w:r>
          </w:p>
        </w:tc>
        <w:tc>
          <w:tcPr>
            <w:tcW w:w="28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1,071,514,482</w:t>
            </w:r>
          </w:p>
        </w:tc>
        <w:tc>
          <w:tcPr>
            <w:tcW w:w="1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33,675,258</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1,076,679</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115,263,471</w:t>
            </w: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 Papa</w:t>
            </w:r>
          </w:p>
        </w:tc>
        <w:tc>
          <w:tcPr>
            <w:tcW w:w="28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929,457,264</w:t>
            </w:r>
          </w:p>
        </w:tc>
        <w:tc>
          <w:tcPr>
            <w:tcW w:w="13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175,689,864</w:t>
            </w:r>
          </w:p>
        </w:tc>
        <w:tc>
          <w:tcPr>
            <w:tcW w:w="10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1,119,292</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115,263,471</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color w:val="auto"/>
              </w:rPr>
              <w:t>Jeff Sheets</w:t>
            </w:r>
          </w:p>
        </w:tc>
        <w:tc>
          <w:tcPr>
            <w:tcW w:w="28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1,020,483,956</w:t>
            </w:r>
          </w:p>
        </w:tc>
        <w:tc>
          <w:tcPr>
            <w:tcW w:w="13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84,559,414</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1,223,050</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115,263,471</w:t>
            </w: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Ulrich Spiesshofer</w:t>
            </w:r>
          </w:p>
        </w:tc>
        <w:tc>
          <w:tcPr>
            <w:tcW w:w="28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1,093,956,321</w:t>
            </w:r>
          </w:p>
        </w:tc>
        <w:tc>
          <w:tcPr>
            <w:tcW w:w="13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11,490,924</w:t>
            </w:r>
          </w:p>
        </w:tc>
        <w:tc>
          <w:tcPr>
            <w:tcW w:w="10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819,175</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115,263,471</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2—Advisory Vote on the Frequency of Future Advisory Votes on Executive Compensation</w:t>
      </w:r>
    </w:p>
    <w:p>
      <w:pPr>
        <w:spacing w:after="0" w:line="126" w:lineRule="exact"/>
        <w:rPr>
          <w:sz w:val="20"/>
          <w:szCs w:val="20"/>
          <w:color w:val="auto"/>
        </w:rPr>
      </w:pPr>
    </w:p>
    <w:p>
      <w:pPr>
        <w:ind w:right="160" w:firstLine="440"/>
        <w:spacing w:after="0" w:line="246" w:lineRule="auto"/>
        <w:rPr>
          <w:sz w:val="20"/>
          <w:szCs w:val="20"/>
          <w:color w:val="auto"/>
        </w:rPr>
      </w:pPr>
      <w:r>
        <w:rPr>
          <w:rFonts w:ascii="Arial" w:cs="Arial" w:eastAsia="Arial" w:hAnsi="Arial"/>
          <w:sz w:val="18"/>
          <w:szCs w:val="18"/>
          <w:color w:val="auto"/>
        </w:rPr>
        <w:t>The advisory vote on the frequency of future advisory votes on SLB’s executive compensation, as described in the Definitive Proxy Statement, was concluded with approximately 98.6% of the votes cast at the Annual Meeting voting in favor of annual votes.</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2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One Year</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Two Year</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Three Year</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r>
      <w:tr>
        <w:trPr>
          <w:trHeight w:val="196"/>
        </w:trPr>
        <w:tc>
          <w:tcPr>
            <w:tcW w:w="2440" w:type="dxa"/>
            <w:vAlign w:val="bottom"/>
            <w:tcBorders>
              <w:top w:val="single" w:sz="8" w:color="auto"/>
            </w:tcBorders>
            <w:shd w:val="clear" w:color="auto" w:fill="CCEEFF"/>
          </w:tcPr>
          <w:p>
            <w:pPr>
              <w:jc w:val="right"/>
              <w:ind w:right="559"/>
              <w:spacing w:after="0" w:line="196" w:lineRule="exact"/>
              <w:rPr>
                <w:sz w:val="20"/>
                <w:szCs w:val="20"/>
                <w:color w:val="auto"/>
              </w:rPr>
            </w:pPr>
            <w:r>
              <w:rPr>
                <w:rFonts w:ascii="Arial" w:cs="Arial" w:eastAsia="Arial" w:hAnsi="Arial"/>
                <w:sz w:val="18"/>
                <w:szCs w:val="18"/>
                <w:color w:val="auto"/>
              </w:rPr>
              <w:t>1,089,612,637</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739"/>
              <w:spacing w:after="0" w:line="196" w:lineRule="exact"/>
              <w:rPr>
                <w:sz w:val="20"/>
                <w:szCs w:val="20"/>
                <w:color w:val="auto"/>
              </w:rPr>
            </w:pPr>
            <w:r>
              <w:rPr>
                <w:rFonts w:ascii="Arial" w:cs="Arial" w:eastAsia="Arial" w:hAnsi="Arial"/>
                <w:sz w:val="18"/>
                <w:szCs w:val="18"/>
                <w:color w:val="auto"/>
              </w:rPr>
              <w:t>1,605,008</w:t>
            </w:r>
          </w:p>
        </w:tc>
        <w:tc>
          <w:tcPr>
            <w:tcW w:w="1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719"/>
              <w:spacing w:after="0" w:line="196" w:lineRule="exact"/>
              <w:rPr>
                <w:sz w:val="20"/>
                <w:szCs w:val="20"/>
                <w:color w:val="auto"/>
              </w:rPr>
            </w:pPr>
            <w:r>
              <w:rPr>
                <w:rFonts w:ascii="Arial" w:cs="Arial" w:eastAsia="Arial" w:hAnsi="Arial"/>
                <w:sz w:val="18"/>
                <w:szCs w:val="18"/>
                <w:color w:val="auto"/>
              </w:rPr>
              <w:t>14,013,084</w:t>
            </w:r>
          </w:p>
        </w:tc>
        <w:tc>
          <w:tcPr>
            <w:tcW w:w="10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719"/>
              <w:spacing w:after="0" w:line="196" w:lineRule="exact"/>
              <w:rPr>
                <w:sz w:val="20"/>
                <w:szCs w:val="20"/>
                <w:color w:val="auto"/>
              </w:rPr>
            </w:pPr>
            <w:r>
              <w:rPr>
                <w:rFonts w:ascii="Arial" w:cs="Arial" w:eastAsia="Arial" w:hAnsi="Arial"/>
                <w:sz w:val="18"/>
                <w:szCs w:val="18"/>
                <w:color w:val="auto"/>
              </w:rPr>
              <w:t>1,035,689</w:t>
            </w:r>
          </w:p>
        </w:tc>
      </w:tr>
    </w:tbl>
    <w:p>
      <w:pPr>
        <w:sectPr>
          <w:pgSz w:w="11900" w:h="16838" w:orient="portrait"/>
          <w:cols w:equalWidth="0" w:num="1">
            <w:col w:w="10980"/>
          </w:cols>
          <w:pgMar w:left="440" w:top="292"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3—Advisory Approval of Executive Compensation</w:t>
      </w:r>
    </w:p>
    <w:p>
      <w:pPr>
        <w:spacing w:after="0" w:line="126"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The advisory resolution to approve SLB’s executive compensation, as described in the Definitive Proxy Statement, was approved with approximately 96.6% of the votes cast at the Annual Meeting voting for the proposal.</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Abstain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196"/>
        </w:trPr>
        <w:tc>
          <w:tcPr>
            <w:tcW w:w="2440" w:type="dxa"/>
            <w:vAlign w:val="bottom"/>
            <w:tcBorders>
              <w:top w:val="single" w:sz="8" w:color="auto"/>
            </w:tcBorders>
            <w:shd w:val="clear" w:color="auto" w:fill="CCEEFF"/>
          </w:tcPr>
          <w:p>
            <w:pPr>
              <w:jc w:val="right"/>
              <w:ind w:right="559"/>
              <w:spacing w:after="0" w:line="196" w:lineRule="exact"/>
              <w:rPr>
                <w:sz w:val="20"/>
                <w:szCs w:val="20"/>
                <w:color w:val="auto"/>
              </w:rPr>
            </w:pPr>
            <w:r>
              <w:rPr>
                <w:rFonts w:ascii="Arial" w:cs="Arial" w:eastAsia="Arial" w:hAnsi="Arial"/>
                <w:sz w:val="18"/>
                <w:szCs w:val="18"/>
                <w:color w:val="auto"/>
              </w:rPr>
              <w:t>1,065,067,054</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679"/>
              <w:spacing w:after="0" w:line="196" w:lineRule="exact"/>
              <w:rPr>
                <w:sz w:val="20"/>
                <w:szCs w:val="20"/>
                <w:color w:val="auto"/>
              </w:rPr>
            </w:pPr>
            <w:r>
              <w:rPr>
                <w:rFonts w:ascii="Arial" w:cs="Arial" w:eastAsia="Arial" w:hAnsi="Arial"/>
                <w:sz w:val="18"/>
                <w:szCs w:val="18"/>
                <w:color w:val="auto"/>
              </w:rPr>
              <w:t>37,429,939</w:t>
            </w:r>
          </w:p>
        </w:tc>
        <w:tc>
          <w:tcPr>
            <w:tcW w:w="1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779"/>
              <w:spacing w:after="0" w:line="196" w:lineRule="exact"/>
              <w:rPr>
                <w:sz w:val="20"/>
                <w:szCs w:val="20"/>
                <w:color w:val="auto"/>
              </w:rPr>
            </w:pPr>
            <w:r>
              <w:rPr>
                <w:rFonts w:ascii="Arial" w:cs="Arial" w:eastAsia="Arial" w:hAnsi="Arial"/>
                <w:sz w:val="18"/>
                <w:szCs w:val="18"/>
                <w:color w:val="auto"/>
              </w:rPr>
              <w:t>3,769,426</w:t>
            </w:r>
          </w:p>
        </w:tc>
        <w:tc>
          <w:tcPr>
            <w:tcW w:w="10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619"/>
              <w:spacing w:after="0" w:line="196" w:lineRule="exact"/>
              <w:rPr>
                <w:sz w:val="20"/>
                <w:szCs w:val="20"/>
                <w:color w:val="auto"/>
              </w:rPr>
            </w:pPr>
            <w:r>
              <w:rPr>
                <w:rFonts w:ascii="Arial" w:cs="Arial" w:eastAsia="Arial" w:hAnsi="Arial"/>
                <w:sz w:val="18"/>
                <w:szCs w:val="18"/>
                <w:color w:val="auto"/>
              </w:rPr>
              <w:t>115,263,471</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4—Financial Statements and Dividends</w:t>
      </w:r>
    </w:p>
    <w:p>
      <w:pPr>
        <w:spacing w:after="0" w:line="126"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The proposal to approve SLB’s consolidated balance sheet at December 31, 2022, its consolidated statement of income for the year ended December 31, 2022, and the declarations of dividends by SLB’s Board of Directors in 2022 as reflected in its 2022 Annual Report to Shareholders, as described in the Definitive Proxy Statement, was approved with approximately 99.9% of the votes cast at the Annual Meeting voting for the proposal.</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Abstain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196"/>
        </w:trPr>
        <w:tc>
          <w:tcPr>
            <w:tcW w:w="2440" w:type="dxa"/>
            <w:vAlign w:val="bottom"/>
            <w:tcBorders>
              <w:top w:val="single" w:sz="8" w:color="auto"/>
            </w:tcBorders>
            <w:shd w:val="clear" w:color="auto" w:fill="CCEEFF"/>
          </w:tcPr>
          <w:p>
            <w:pPr>
              <w:jc w:val="right"/>
              <w:ind w:right="559"/>
              <w:spacing w:after="0" w:line="196" w:lineRule="exact"/>
              <w:rPr>
                <w:sz w:val="20"/>
                <w:szCs w:val="20"/>
                <w:color w:val="auto"/>
              </w:rPr>
            </w:pPr>
            <w:r>
              <w:rPr>
                <w:rFonts w:ascii="Arial" w:cs="Arial" w:eastAsia="Arial" w:hAnsi="Arial"/>
                <w:sz w:val="18"/>
                <w:szCs w:val="18"/>
                <w:color w:val="auto"/>
              </w:rPr>
              <w:t>1,215,659,411</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739"/>
              <w:spacing w:after="0" w:line="196" w:lineRule="exact"/>
              <w:rPr>
                <w:sz w:val="20"/>
                <w:szCs w:val="20"/>
                <w:color w:val="auto"/>
              </w:rPr>
            </w:pPr>
            <w:r>
              <w:rPr>
                <w:rFonts w:ascii="Arial" w:cs="Arial" w:eastAsia="Arial" w:hAnsi="Arial"/>
                <w:sz w:val="18"/>
                <w:szCs w:val="18"/>
                <w:color w:val="auto"/>
              </w:rPr>
              <w:t>1,163,699</w:t>
            </w:r>
          </w:p>
        </w:tc>
        <w:tc>
          <w:tcPr>
            <w:tcW w:w="1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779"/>
              <w:spacing w:after="0" w:line="196" w:lineRule="exact"/>
              <w:rPr>
                <w:sz w:val="20"/>
                <w:szCs w:val="20"/>
                <w:color w:val="auto"/>
              </w:rPr>
            </w:pPr>
            <w:r>
              <w:rPr>
                <w:rFonts w:ascii="Arial" w:cs="Arial" w:eastAsia="Arial" w:hAnsi="Arial"/>
                <w:sz w:val="18"/>
                <w:szCs w:val="18"/>
                <w:color w:val="auto"/>
              </w:rPr>
              <w:t>4,706,781</w:t>
            </w:r>
          </w:p>
        </w:tc>
        <w:tc>
          <w:tcPr>
            <w:tcW w:w="10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5—Independent Registered Public Accounting Firm</w:t>
      </w:r>
    </w:p>
    <w:p>
      <w:pPr>
        <w:spacing w:after="0" w:line="126" w:lineRule="exact"/>
        <w:rPr>
          <w:sz w:val="20"/>
          <w:szCs w:val="20"/>
          <w:color w:val="auto"/>
        </w:rPr>
      </w:pPr>
    </w:p>
    <w:p>
      <w:pPr>
        <w:ind w:right="20" w:firstLine="440"/>
        <w:spacing w:after="0" w:line="246" w:lineRule="auto"/>
        <w:rPr>
          <w:sz w:val="20"/>
          <w:szCs w:val="20"/>
          <w:color w:val="auto"/>
        </w:rPr>
      </w:pPr>
      <w:r>
        <w:rPr>
          <w:rFonts w:ascii="Arial" w:cs="Arial" w:eastAsia="Arial" w:hAnsi="Arial"/>
          <w:sz w:val="18"/>
          <w:szCs w:val="18"/>
          <w:color w:val="auto"/>
        </w:rPr>
        <w:t>The proposal to ratify the appointment of PricewaterhouseCoopers LLP as the independent auditors of SLB for 2023, as described in the Definitive Proxy Statement, was approved with approximately 92.9% of the votes cast at the Annual Meeting voting for the proposal.</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Abstain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196"/>
        </w:trPr>
        <w:tc>
          <w:tcPr>
            <w:tcW w:w="2440" w:type="dxa"/>
            <w:vAlign w:val="bottom"/>
            <w:tcBorders>
              <w:top w:val="single" w:sz="8" w:color="auto"/>
            </w:tcBorders>
            <w:shd w:val="clear" w:color="auto" w:fill="CCEEFF"/>
          </w:tcPr>
          <w:p>
            <w:pPr>
              <w:jc w:val="right"/>
              <w:ind w:right="559"/>
              <w:spacing w:after="0" w:line="196" w:lineRule="exact"/>
              <w:rPr>
                <w:sz w:val="20"/>
                <w:szCs w:val="20"/>
                <w:color w:val="auto"/>
              </w:rPr>
            </w:pPr>
            <w:r>
              <w:rPr>
                <w:rFonts w:ascii="Arial" w:cs="Arial" w:eastAsia="Arial" w:hAnsi="Arial"/>
                <w:sz w:val="18"/>
                <w:szCs w:val="18"/>
                <w:color w:val="auto"/>
              </w:rPr>
              <w:t>1,133,666,863</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679"/>
              <w:spacing w:after="0" w:line="196" w:lineRule="exact"/>
              <w:rPr>
                <w:sz w:val="20"/>
                <w:szCs w:val="20"/>
                <w:color w:val="auto"/>
              </w:rPr>
            </w:pPr>
            <w:r>
              <w:rPr>
                <w:rFonts w:ascii="Arial" w:cs="Arial" w:eastAsia="Arial" w:hAnsi="Arial"/>
                <w:sz w:val="18"/>
                <w:szCs w:val="18"/>
                <w:color w:val="auto"/>
              </w:rPr>
              <w:t>86,113,733</w:t>
            </w:r>
          </w:p>
        </w:tc>
        <w:tc>
          <w:tcPr>
            <w:tcW w:w="1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779"/>
              <w:spacing w:after="0" w:line="196" w:lineRule="exact"/>
              <w:rPr>
                <w:sz w:val="20"/>
                <w:szCs w:val="20"/>
                <w:color w:val="auto"/>
              </w:rPr>
            </w:pPr>
            <w:r>
              <w:rPr>
                <w:rFonts w:ascii="Arial" w:cs="Arial" w:eastAsia="Arial" w:hAnsi="Arial"/>
                <w:sz w:val="18"/>
                <w:szCs w:val="18"/>
                <w:color w:val="auto"/>
              </w:rPr>
              <w:t>1,749,296</w:t>
            </w:r>
          </w:p>
        </w:tc>
        <w:tc>
          <w:tcPr>
            <w:tcW w:w="10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r>
    </w:tbl>
    <w:p>
      <w:pPr>
        <w:sectPr>
          <w:pgSz w:w="11900" w:h="16838" w:orient="portrait"/>
          <w:cols w:equalWidth="0" w:num="1">
            <w:col w:w="11000"/>
          </w:cols>
          <w:pgMar w:left="440" w:top="292" w:right="45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34" w:lineRule="exact"/>
        <w:rPr>
          <w:sz w:val="20"/>
          <w:szCs w:val="20"/>
          <w:color w:val="auto"/>
        </w:rPr>
      </w:pPr>
    </w:p>
    <w:p>
      <w:pPr>
        <w:ind w:firstLine="991"/>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Dianne B. Ralston</w:t>
      </w:r>
    </w:p>
    <w:p>
      <w:pPr>
        <w:spacing w:after="0"/>
        <w:rPr>
          <w:sz w:val="20"/>
          <w:szCs w:val="20"/>
          <w:color w:val="auto"/>
        </w:rPr>
      </w:pPr>
      <w:r>
        <w:rPr>
          <w:rFonts w:ascii="Arial" w:cs="Arial" w:eastAsia="Arial" w:hAnsi="Arial"/>
          <w:sz w:val="18"/>
          <w:szCs w:val="18"/>
          <w:color w:val="auto"/>
        </w:rPr>
        <w:t>Chief Legal Officer and Secretary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April 5, 2023</w:t>
      </w:r>
    </w:p>
    <w:sectPr>
      <w:pgSz w:w="11900" w:h="16838" w:orient="portrait"/>
      <w:cols w:equalWidth="0" w:num="1">
        <w:col w:w="10900"/>
      </w:cols>
      <w:pgMar w:left="440" w:top="29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2023-04-06T05:17:34Z</dcterms:created>
  <dcterms:modified xsi:type="dcterms:W3CDTF">2023-04-06T05:17:34Z</dcterms:modified>
</cp:coreProperties>
</file>