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Schlumberger Limited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806857108</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38,442,700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38,442,700</w:t>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806857108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153 East 53 Street, 57th Floor</w:t>
      </w:r>
    </w:p>
    <w:p>
      <w:pPr>
        <w:ind w:left="740"/>
        <w:spacing w:after="0"/>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806857108</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7" w:lineRule="exact"/>
        <w:rPr>
          <w:sz w:val="20"/>
          <w:szCs w:val="20"/>
          <w:color w:val="auto"/>
        </w:rPr>
      </w:pPr>
    </w:p>
    <w:p>
      <w:pPr>
        <w:ind w:left="740" w:right="29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38,442,700 shares or 6.5% of the 588,743,000 shares of Common Stock believed to be outstanding as a result of acting as investment adviser to various investment companies registered under Section 8 of the Investment Company Act of 1940.</w:t>
      </w:r>
    </w:p>
    <w:p>
      <w:pPr>
        <w:spacing w:after="0" w:line="18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9, 2005</w:t>
      </w:r>
    </w:p>
    <w:p>
      <w:pPr>
        <w:spacing w:after="0" w:line="200" w:lineRule="exact"/>
        <w:rPr>
          <w:sz w:val="20"/>
          <w:szCs w:val="20"/>
          <w:color w:val="auto"/>
        </w:rPr>
      </w:pPr>
    </w:p>
    <w:p>
      <w:pPr>
        <w:sectPr>
          <w:pgSz w:w="11900" w:h="16838" w:orient="portrait"/>
          <w:cols w:equalWidth="0" w:num="2">
            <w:col w:w="1720" w:space="720"/>
            <w:col w:w="7779"/>
          </w:cols>
          <w:pgMar w:left="240" w:top="136"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238" w:lineRule="auto"/>
        <w:rPr>
          <w:sz w:val="20"/>
          <w:szCs w:val="20"/>
          <w:color w:val="auto"/>
        </w:rPr>
      </w:pPr>
      <w:r>
        <w:rPr>
          <w:rFonts w:ascii="Courier New" w:cs="Courier New" w:eastAsia="Courier New" w:hAnsi="Courier New"/>
          <w:sz w:val="18"/>
          <w:szCs w:val="18"/>
          <w:color w:val="auto"/>
        </w:rPr>
        <w:t>Paul G. Haaga, Jr., Executive Vice</w:t>
      </w:r>
    </w:p>
    <w:p>
      <w:pPr>
        <w:spacing w:after="0"/>
        <w:rPr>
          <w:sz w:val="20"/>
          <w:szCs w:val="20"/>
          <w:color w:val="auto"/>
        </w:rPr>
      </w:pPr>
      <w:r>
        <w:rPr>
          <w:rFonts w:ascii="Courier New" w:cs="Courier New" w:eastAsia="Courier New" w:hAnsi="Courier New"/>
          <w:sz w:val="18"/>
          <w:szCs w:val="18"/>
          <w:color w:val="auto"/>
        </w:rPr>
        <w:t>President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pacing w:after="0" w:line="200" w:lineRule="exact"/>
        <w:rPr>
          <w:sz w:val="20"/>
          <w:szCs w:val="20"/>
          <w:color w:val="auto"/>
        </w:rPr>
      </w:pPr>
    </w:p>
    <w:p>
      <w:pPr>
        <w:sectPr>
          <w:pgSz w:w="11900" w:h="16838" w:orient="portrait"/>
          <w:cols w:equalWidth="0" w:num="2">
            <w:col w:w="2000" w:space="440"/>
            <w:col w:w="77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Liliane Corzo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Liliane Corzo</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0" w:gutter="0" w:footer="0" w:header="0"/>
          <w:type w:val="continuous"/>
        </w:sectPr>
      </w:pPr>
    </w:p>
    <w:p>
      <w:pPr>
        <w:spacing w:after="0" w:line="7" w:lineRule="exact"/>
        <w:rPr>
          <w:sz w:val="20"/>
          <w:szCs w:val="20"/>
          <w:color w:val="auto"/>
        </w:rPr>
      </w:pPr>
    </w:p>
    <w:p>
      <w:pPr>
        <w:ind w:left="158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10, 2005 included as an Exhibit to Schedule 13G filed with the Securities and Exchange Commission by Capital Research and Management Company on February 4, 2005 with</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respect to Advanced Energy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806857108</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1"/>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2019-12-13T06:29:25Z</dcterms:created>
  <dcterms:modified xsi:type="dcterms:W3CDTF">2019-12-13T06:29:25Z</dcterms:modified>
</cp:coreProperties>
</file>