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July 24,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40" w:right="380" w:hanging="439"/>
        <w:spacing w:after="0" w:line="277" w:lineRule="auto"/>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20" w:firstLine="441"/>
        <w:spacing w:after="0" w:line="302"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June 30, 2019, which was filed with the U.S. Securities and Exchange Commission on July 24, 2019. Such disclosure appears on page 26 of the Quarterly Report on Form 10-Q and is incorporated by reference herein.</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20"/>
      </w:cols>
      <w:pgMar w:left="440"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2019-11-30T20:19:47Z</dcterms:created>
  <dcterms:modified xsi:type="dcterms:W3CDTF">2019-11-30T20:19:47Z</dcterms:modified>
</cp:coreProperties>
</file>