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2022</w:t>
      </w:r>
    </w:p>
    <w:p>
      <w:pPr>
        <w:jc w:val="center"/>
        <w:ind w:right="-19"/>
        <w:spacing w:after="0" w:line="225" w:lineRule="auto"/>
        <w:rPr>
          <w:sz w:val="20"/>
          <w:szCs w:val="20"/>
          <w:color w:val="auto"/>
        </w:rPr>
      </w:pPr>
      <w:r>
        <w:rPr>
          <w:rFonts w:ascii="Times New Roman" w:cs="Times New Roman" w:eastAsia="Times New Roman" w:hAnsi="Times New Roman"/>
          <w:sz w:val="14"/>
          <w:szCs w:val="14"/>
          <w:b w:val="1"/>
          <w:bCs w:val="1"/>
          <w:color w:val="auto"/>
        </w:rPr>
        <w:t>OR</w:t>
      </w:r>
    </w:p>
    <w:p>
      <w:pPr>
        <w:spacing w:after="0" w:line="1" w:lineRule="exact"/>
        <w:rPr>
          <w:sz w:val="24"/>
          <w:szCs w:val="24"/>
          <w:color w:val="auto"/>
        </w:rPr>
      </w:pPr>
    </w:p>
    <w:p>
      <w:pPr>
        <w:ind w:left="4540" w:right="1580" w:hanging="4532"/>
        <w:spacing w:after="0" w:line="344" w:lineRule="auto"/>
        <w:tabs>
          <w:tab w:leader="none" w:pos="50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29210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1160" w:type="dxa"/>
        <w:tblCellMar>
          <w:top w:w="0" w:type="dxa"/>
          <w:left w:w="0" w:type="dxa"/>
          <w:bottom w:w="0" w:type="dxa"/>
          <w:right w:w="0" w:type="dxa"/>
        </w:tblCellMar>
      </w:tblPr>
      <w:tr>
        <w:trPr>
          <w:trHeight w:val="216"/>
        </w:trPr>
        <w:tc>
          <w:tcPr>
            <w:tcW w:w="5000" w:type="dxa"/>
            <w:vAlign w:val="bottom"/>
          </w:tcPr>
          <w:p>
            <w:pPr>
              <w:jc w:val="center"/>
              <w:ind w:right="1695"/>
              <w:spacing w:after="0"/>
              <w:rPr>
                <w:sz w:val="20"/>
                <w:szCs w:val="20"/>
                <w:color w:val="auto"/>
              </w:rPr>
            </w:pPr>
            <w:r>
              <w:rPr>
                <w:rFonts w:ascii="Times New Roman" w:cs="Times New Roman" w:eastAsia="Times New Roman" w:hAnsi="Times New Roman"/>
                <w:sz w:val="18"/>
                <w:szCs w:val="18"/>
                <w:b w:val="1"/>
                <w:bCs w:val="1"/>
                <w:color w:val="auto"/>
                <w:w w:val="99"/>
              </w:rPr>
              <w:t>Curaçao</w:t>
            </w:r>
          </w:p>
        </w:tc>
        <w:tc>
          <w:tcPr>
            <w:tcW w:w="2860" w:type="dxa"/>
            <w:vAlign w:val="bottom"/>
          </w:tcPr>
          <w:p>
            <w:pPr>
              <w:jc w:val="center"/>
              <w:ind w:left="1717"/>
              <w:spacing w:after="0"/>
              <w:rPr>
                <w:sz w:val="20"/>
                <w:szCs w:val="20"/>
                <w:color w:val="auto"/>
              </w:rPr>
            </w:pPr>
            <w:r>
              <w:rPr>
                <w:rFonts w:ascii="Times New Roman" w:cs="Times New Roman" w:eastAsia="Times New Roman" w:hAnsi="Times New Roman"/>
                <w:sz w:val="18"/>
                <w:szCs w:val="18"/>
                <w:b w:val="1"/>
                <w:bCs w:val="1"/>
                <w:color w:val="auto"/>
                <w:w w:val="98"/>
              </w:rPr>
              <w:t>52-0684746</w:t>
            </w:r>
          </w:p>
        </w:tc>
      </w:tr>
      <w:tr>
        <w:trPr>
          <w:trHeight w:val="148"/>
        </w:trPr>
        <w:tc>
          <w:tcPr>
            <w:tcW w:w="5000" w:type="dxa"/>
            <w:vAlign w:val="bottom"/>
          </w:tcPr>
          <w:p>
            <w:pPr>
              <w:jc w:val="center"/>
              <w:ind w:right="1715"/>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60" w:type="dxa"/>
            <w:vAlign w:val="bottom"/>
          </w:tcPr>
          <w:p>
            <w:pPr>
              <w:jc w:val="center"/>
              <w:ind w:left="1737"/>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60" w:type="dxa"/>
            <w:vAlign w:val="bottom"/>
          </w:tcPr>
          <w:p>
            <w:pPr>
              <w:jc w:val="center"/>
              <w:ind w:left="1717"/>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98"/>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w w:val="99"/>
              </w:rPr>
              <w:t>42 rue Saint-Dominique</w:t>
            </w:r>
          </w:p>
        </w:tc>
        <w:tc>
          <w:tcPr>
            <w:tcW w:w="2860" w:type="dxa"/>
            <w:vAlign w:val="bottom"/>
          </w:tcPr>
          <w:p>
            <w:pPr>
              <w:spacing w:after="0"/>
              <w:rPr>
                <w:sz w:val="24"/>
                <w:szCs w:val="24"/>
                <w:color w:val="auto"/>
              </w:rPr>
            </w:pPr>
          </w:p>
        </w:tc>
      </w:tr>
      <w:tr>
        <w:trPr>
          <w:trHeight w:val="238"/>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rPr>
              <w:t>Paris, France</w:t>
            </w:r>
          </w:p>
        </w:tc>
        <w:tc>
          <w:tcPr>
            <w:tcW w:w="2860" w:type="dxa"/>
            <w:vAlign w:val="bottom"/>
          </w:tcPr>
          <w:p>
            <w:pPr>
              <w:jc w:val="center"/>
              <w:ind w:left="1717"/>
              <w:spacing w:after="0"/>
              <w:rPr>
                <w:sz w:val="20"/>
                <w:szCs w:val="20"/>
                <w:color w:val="auto"/>
              </w:rPr>
            </w:pPr>
            <w:r>
              <w:rPr>
                <w:rFonts w:ascii="Times New Roman" w:cs="Times New Roman" w:eastAsia="Times New Roman" w:hAnsi="Times New Roman"/>
                <w:sz w:val="18"/>
                <w:szCs w:val="18"/>
                <w:b w:val="1"/>
                <w:bCs w:val="1"/>
                <w:color w:val="auto"/>
              </w:rPr>
              <w:t>75007</w:t>
            </w:r>
          </w:p>
        </w:tc>
      </w:tr>
      <w:tr>
        <w:trPr>
          <w:trHeight w:val="315"/>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w w:val="99"/>
              </w:rPr>
              <w:t>5599 San Felipe</w:t>
            </w:r>
          </w:p>
        </w:tc>
        <w:tc>
          <w:tcPr>
            <w:tcW w:w="2860" w:type="dxa"/>
            <w:vAlign w:val="bottom"/>
          </w:tcPr>
          <w:p>
            <w:pPr>
              <w:spacing w:after="0"/>
              <w:rPr>
                <w:sz w:val="24"/>
                <w:szCs w:val="24"/>
                <w:color w:val="auto"/>
              </w:rPr>
            </w:pPr>
          </w:p>
        </w:tc>
      </w:tr>
      <w:tr>
        <w:trPr>
          <w:trHeight w:val="238"/>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w w:val="99"/>
              </w:rPr>
              <w:t>Houston, Texas, United States of America</w:t>
            </w:r>
          </w:p>
        </w:tc>
        <w:tc>
          <w:tcPr>
            <w:tcW w:w="2860" w:type="dxa"/>
            <w:vAlign w:val="bottom"/>
          </w:tcPr>
          <w:p>
            <w:pPr>
              <w:jc w:val="center"/>
              <w:ind w:left="1717"/>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315"/>
        </w:trPr>
        <w:tc>
          <w:tcPr>
            <w:tcW w:w="5000" w:type="dxa"/>
            <w:vAlign w:val="bottom"/>
          </w:tcPr>
          <w:p>
            <w:pPr>
              <w:jc w:val="center"/>
              <w:ind w:right="1695"/>
              <w:spacing w:after="0"/>
              <w:rPr>
                <w:sz w:val="20"/>
                <w:szCs w:val="20"/>
                <w:color w:val="auto"/>
              </w:rPr>
            </w:pPr>
            <w:r>
              <w:rPr>
                <w:rFonts w:ascii="Times New Roman" w:cs="Times New Roman" w:eastAsia="Times New Roman" w:hAnsi="Times New Roman"/>
                <w:sz w:val="18"/>
                <w:szCs w:val="18"/>
                <w:b w:val="1"/>
                <w:bCs w:val="1"/>
                <w:color w:val="auto"/>
                <w:w w:val="99"/>
              </w:rPr>
              <w:t>62 Buckingham Gate</w:t>
            </w:r>
          </w:p>
        </w:tc>
        <w:tc>
          <w:tcPr>
            <w:tcW w:w="2860" w:type="dxa"/>
            <w:vAlign w:val="bottom"/>
          </w:tcPr>
          <w:p>
            <w:pPr>
              <w:spacing w:after="0"/>
              <w:rPr>
                <w:sz w:val="24"/>
                <w:szCs w:val="24"/>
                <w:color w:val="auto"/>
              </w:rPr>
            </w:pPr>
          </w:p>
        </w:tc>
      </w:tr>
      <w:tr>
        <w:trPr>
          <w:trHeight w:val="238"/>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w w:val="99"/>
              </w:rPr>
              <w:t>London, United Kingdom</w:t>
            </w:r>
          </w:p>
        </w:tc>
        <w:tc>
          <w:tcPr>
            <w:tcW w:w="2860" w:type="dxa"/>
            <w:vAlign w:val="bottom"/>
          </w:tcPr>
          <w:p>
            <w:pPr>
              <w:jc w:val="center"/>
              <w:ind w:left="1737"/>
              <w:spacing w:after="0"/>
              <w:rPr>
                <w:sz w:val="20"/>
                <w:szCs w:val="20"/>
                <w:color w:val="auto"/>
              </w:rPr>
            </w:pPr>
            <w:r>
              <w:rPr>
                <w:rFonts w:ascii="Times New Roman" w:cs="Times New Roman" w:eastAsia="Times New Roman" w:hAnsi="Times New Roman"/>
                <w:sz w:val="18"/>
                <w:szCs w:val="18"/>
                <w:b w:val="1"/>
                <w:bCs w:val="1"/>
                <w:color w:val="auto"/>
                <w:w w:val="99"/>
              </w:rPr>
              <w:t>SW1E 6AJ</w:t>
            </w:r>
          </w:p>
        </w:tc>
      </w:tr>
      <w:tr>
        <w:trPr>
          <w:trHeight w:val="315"/>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rPr>
              <w:t>Parkstraat 83, The Hague,</w:t>
            </w:r>
          </w:p>
        </w:tc>
        <w:tc>
          <w:tcPr>
            <w:tcW w:w="2860" w:type="dxa"/>
            <w:vAlign w:val="bottom"/>
          </w:tcPr>
          <w:p>
            <w:pPr>
              <w:spacing w:after="0"/>
              <w:rPr>
                <w:sz w:val="24"/>
                <w:szCs w:val="24"/>
                <w:color w:val="auto"/>
              </w:rPr>
            </w:pPr>
          </w:p>
        </w:tc>
      </w:tr>
      <w:tr>
        <w:trPr>
          <w:trHeight w:val="216"/>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2860" w:type="dxa"/>
            <w:vAlign w:val="bottom"/>
          </w:tcPr>
          <w:p>
            <w:pPr>
              <w:jc w:val="center"/>
              <w:ind w:left="1737"/>
              <w:spacing w:after="0"/>
              <w:rPr>
                <w:sz w:val="20"/>
                <w:szCs w:val="20"/>
                <w:color w:val="auto"/>
              </w:rPr>
            </w:pPr>
            <w:r>
              <w:rPr>
                <w:rFonts w:ascii="Times New Roman" w:cs="Times New Roman" w:eastAsia="Times New Roman" w:hAnsi="Times New Roman"/>
                <w:sz w:val="18"/>
                <w:szCs w:val="18"/>
                <w:b w:val="1"/>
                <w:bCs w:val="1"/>
                <w:color w:val="auto"/>
              </w:rPr>
              <w:t>2514 JG</w:t>
            </w:r>
          </w:p>
        </w:tc>
      </w:tr>
      <w:tr>
        <w:trPr>
          <w:trHeight w:val="188"/>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4"/>
                <w:szCs w:val="14"/>
                <w:color w:val="auto"/>
              </w:rPr>
              <w:t>(Addresses of principal executive offices)</w:t>
            </w:r>
          </w:p>
        </w:tc>
        <w:tc>
          <w:tcPr>
            <w:tcW w:w="2860" w:type="dxa"/>
            <w:vAlign w:val="bottom"/>
          </w:tcPr>
          <w:p>
            <w:pPr>
              <w:jc w:val="center"/>
              <w:ind w:left="1717"/>
              <w:spacing w:after="0"/>
              <w:rPr>
                <w:sz w:val="20"/>
                <w:szCs w:val="20"/>
                <w:color w:val="auto"/>
              </w:rPr>
            </w:pPr>
            <w:r>
              <w:rPr>
                <w:rFonts w:ascii="Times New Roman" w:cs="Times New Roman" w:eastAsia="Times New Roman" w:hAnsi="Times New Roman"/>
                <w:sz w:val="14"/>
                <w:szCs w:val="14"/>
                <w:color w:val="auto"/>
              </w:rPr>
              <w:t>(Zip Codes)</w:t>
            </w:r>
          </w:p>
        </w:tc>
      </w:tr>
    </w:tbl>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is: (713) 513-2000</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2" w:lineRule="exact"/>
        <w:rPr>
          <w:sz w:val="24"/>
          <w:szCs w:val="24"/>
          <w:color w:val="auto"/>
        </w:rPr>
      </w:pPr>
    </w:p>
    <w:tbl>
      <w:tblPr>
        <w:tblLayout w:type="fixed"/>
        <w:tblInd w:w="92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3340" w:type="dxa"/>
            <w:vAlign w:val="bottom"/>
            <w:gridSpan w:val="2"/>
          </w:tcPr>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0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20" w:type="dxa"/>
            <w:vAlign w:val="bottom"/>
            <w:gridSpan w:val="2"/>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17"/>
        </w:trPr>
        <w:tc>
          <w:tcPr>
            <w:tcW w:w="406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90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color w:val="auto"/>
              </w:rPr>
              <w:t>SLB</w:t>
            </w:r>
          </w:p>
        </w:tc>
        <w:tc>
          <w:tcPr>
            <w:tcW w:w="6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0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96"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8060" w:type="dxa"/>
            <w:vAlign w:val="bottom"/>
            <w:gridSpan w:val="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p>
        </w:tc>
        <w:tc>
          <w:tcPr>
            <w:tcW w:w="2580" w:type="dxa"/>
            <w:vAlign w:val="bottom"/>
            <w:gridSpan w:val="2"/>
          </w:tcPr>
          <w:p>
            <w:pPr>
              <w:jc w:val="right"/>
              <w:ind w:right="1979"/>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92"/>
        </w:trPr>
        <w:tc>
          <w:tcPr>
            <w:tcW w:w="8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97"/>
        </w:trPr>
        <w:tc>
          <w:tcPr>
            <w:tcW w:w="8060" w:type="dxa"/>
            <w:vAlign w:val="bottom"/>
            <w:gridSpan w:val="3"/>
          </w:tcPr>
          <w:p>
            <w:pPr>
              <w:ind w:left="376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420" w:type="dxa"/>
            <w:vAlign w:val="bottom"/>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 at March 31, 2022</w:t>
            </w:r>
          </w:p>
        </w:tc>
      </w:tr>
      <w:tr>
        <w:trPr>
          <w:trHeight w:val="223"/>
        </w:trPr>
        <w:tc>
          <w:tcPr>
            <w:tcW w:w="8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258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1,413,460,705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1405255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Quarter 2022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9600" w:type="dxa"/>
            <w:vAlign w:val="bottom"/>
            <w:gridSpan w:val="11"/>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6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2520" w:type="dxa"/>
            <w:vAlign w:val="bottom"/>
            <w:tcBorders>
              <w:top w:val="single" w:sz="8" w:color="0000EE"/>
            </w:tcBorders>
            <w:gridSpan w:val="2"/>
          </w:tcPr>
          <w:p>
            <w:pPr>
              <w:spacing w:after="0"/>
              <w:rPr>
                <w:sz w:val="24"/>
                <w:szCs w:val="24"/>
                <w:color w:val="auto"/>
              </w:rPr>
            </w:pPr>
          </w:p>
        </w:tc>
        <w:tc>
          <w:tcPr>
            <w:tcW w:w="530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8260" w:type="dxa"/>
            <w:vAlign w:val="bottom"/>
            <w:gridSpan w:val="7"/>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tcPr>
          <w:p>
            <w:pPr>
              <w:spacing w:after="0"/>
              <w:rPr>
                <w:sz w:val="24"/>
                <w:szCs w:val="24"/>
                <w:color w:val="auto"/>
              </w:rPr>
            </w:pPr>
          </w:p>
        </w:tc>
        <w:tc>
          <w:tcPr>
            <w:tcW w:w="728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828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Exhibits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52"/>
        </w:trPr>
        <w:tc>
          <w:tcPr>
            <w:tcW w:w="114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56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(Stated in millions, except per share amounts)</w:t>
            </w:r>
          </w:p>
        </w:tc>
      </w:tr>
      <w:tr>
        <w:trPr>
          <w:trHeight w:val="459"/>
        </w:trPr>
        <w:tc>
          <w:tcPr>
            <w:tcW w:w="5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19"/>
                <w:szCs w:val="19"/>
                <w:color w:val="auto"/>
              </w:rPr>
            </w:pPr>
          </w:p>
        </w:tc>
        <w:tc>
          <w:tcPr>
            <w:tcW w:w="1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9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9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4,222</w:t>
            </w:r>
          </w:p>
        </w:tc>
        <w:tc>
          <w:tcPr>
            <w:tcW w:w="1420" w:type="dxa"/>
            <w:vAlign w:val="bottom"/>
            <w:gridSpan w:val="2"/>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Product sales</w:t>
            </w:r>
          </w:p>
        </w:tc>
        <w:tc>
          <w:tcPr>
            <w:tcW w:w="19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1,740</w:t>
            </w:r>
          </w:p>
        </w:tc>
        <w:tc>
          <w:tcPr>
            <w:tcW w:w="3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5,962</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Interest &amp; other income</w:t>
            </w:r>
          </w:p>
        </w:tc>
        <w:tc>
          <w:tcPr>
            <w:tcW w:w="1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services</w:t>
            </w:r>
          </w:p>
        </w:tc>
        <w:tc>
          <w:tcPr>
            <w:tcW w:w="1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3,387</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sales</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1,626</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&amp; engineering</w:t>
            </w:r>
          </w:p>
        </w:tc>
        <w:tc>
          <w:tcPr>
            <w:tcW w:w="1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w:t>
            </w:r>
          </w:p>
        </w:tc>
        <w:tc>
          <w:tcPr>
            <w:tcW w:w="19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3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before taxes</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Tax expense</w:t>
            </w:r>
          </w:p>
        </w:tc>
        <w:tc>
          <w:tcPr>
            <w:tcW w:w="19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3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9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r>
      <w:tr>
        <w:trPr>
          <w:trHeight w:val="263"/>
        </w:trPr>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Net income attributable to Schlumberger</w:t>
            </w:r>
          </w:p>
        </w:tc>
        <w:tc>
          <w:tcPr>
            <w:tcW w:w="190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300" w:type="dxa"/>
            <w:vAlign w:val="bottom"/>
            <w:tcBorders>
              <w:bottom w:val="single" w:sz="8" w:color="CFF0FC"/>
            </w:tcBorders>
          </w:tcPr>
          <w:p>
            <w:pPr>
              <w:spacing w:after="0"/>
              <w:rPr>
                <w:sz w:val="22"/>
                <w:szCs w:val="22"/>
                <w:color w:val="auto"/>
              </w:rPr>
            </w:pPr>
          </w:p>
        </w:tc>
        <w:tc>
          <w:tcPr>
            <w:tcW w:w="112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FF0FC"/>
            </w:tcBorders>
          </w:tcPr>
          <w:p>
            <w:pPr>
              <w:spacing w:after="0"/>
              <w:rPr>
                <w:sz w:val="22"/>
                <w:szCs w:val="22"/>
                <w:color w:val="auto"/>
              </w:rPr>
            </w:pPr>
          </w:p>
        </w:tc>
      </w:tr>
      <w:tr>
        <w:trPr>
          <w:trHeight w:val="210"/>
        </w:trPr>
        <w:tc>
          <w:tcPr>
            <w:tcW w:w="578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income per share of Schlumberger</w:t>
            </w:r>
          </w:p>
        </w:tc>
        <w:tc>
          <w:tcPr>
            <w:tcW w:w="29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1420" w:type="dxa"/>
            <w:vAlign w:val="bottom"/>
            <w:gridSpan w:val="2"/>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3"/>
                <w:szCs w:val="23"/>
                <w:color w:val="auto"/>
              </w:rPr>
            </w:pPr>
          </w:p>
        </w:tc>
      </w:tr>
      <w:tr>
        <w:trPr>
          <w:trHeight w:val="210"/>
        </w:trPr>
        <w:tc>
          <w:tcPr>
            <w:tcW w:w="5780" w:type="dxa"/>
            <w:vAlign w:val="bottom"/>
            <w:tcBorders>
              <w:top w:val="single" w:sz="8" w:color="CFF0FC"/>
            </w:tcBorders>
            <w:shd w:val="clear" w:color="auto" w:fill="CFF0FC"/>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69"/>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income per share of Schlumberger</w:t>
            </w:r>
          </w:p>
        </w:tc>
        <w:tc>
          <w:tcPr>
            <w:tcW w:w="29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1420" w:type="dxa"/>
            <w:vAlign w:val="bottom"/>
            <w:gridSpan w:val="2"/>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3"/>
                <w:szCs w:val="23"/>
                <w:color w:val="auto"/>
              </w:rPr>
            </w:pPr>
          </w:p>
        </w:tc>
      </w:tr>
      <w:tr>
        <w:trPr>
          <w:trHeight w:val="210"/>
        </w:trPr>
        <w:tc>
          <w:tcPr>
            <w:tcW w:w="5780" w:type="dxa"/>
            <w:vAlign w:val="bottom"/>
            <w:tcBorders>
              <w:top w:val="single" w:sz="8" w:color="CFF0FC"/>
            </w:tcBorders>
            <w:shd w:val="clear" w:color="auto" w:fill="CFF0FC"/>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1,412</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19"/>
                <w:szCs w:val="19"/>
                <w:color w:val="auto"/>
              </w:rPr>
            </w:pPr>
          </w:p>
        </w:tc>
      </w:tr>
      <w:tr>
        <w:trPr>
          <w:trHeight w:val="238"/>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Assuming dilution</w:t>
            </w:r>
          </w:p>
        </w:tc>
        <w:tc>
          <w:tcPr>
            <w:tcW w:w="1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1,434</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20"/>
                <w:szCs w:val="20"/>
                <w:color w:val="auto"/>
              </w:rPr>
            </w:pPr>
          </w:p>
        </w:tc>
      </w:tr>
    </w:tbl>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356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(Stated in millions)</w:t>
            </w:r>
          </w:p>
        </w:tc>
      </w:tr>
      <w:tr>
        <w:trPr>
          <w:trHeight w:val="459"/>
        </w:trPr>
        <w:tc>
          <w:tcPr>
            <w:tcW w:w="6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60" w:type="dxa"/>
            <w:vAlign w:val="bottom"/>
            <w:gridSpan w:val="7"/>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22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1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adjustments</w:t>
            </w:r>
          </w:p>
        </w:tc>
        <w:tc>
          <w:tcPr>
            <w:tcW w:w="1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net change arising during the period</w:t>
            </w:r>
          </w:p>
        </w:tc>
        <w:tc>
          <w:tcPr>
            <w:tcW w:w="1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 hedges</w:t>
            </w:r>
          </w:p>
        </w:tc>
        <w:tc>
          <w:tcPr>
            <w:tcW w:w="1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gain on cash flow hedges</w:t>
            </w:r>
          </w:p>
        </w:tc>
        <w:tc>
          <w:tcPr>
            <w:tcW w:w="1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to net income of net realized loss (income)</w:t>
            </w:r>
          </w:p>
        </w:tc>
        <w:tc>
          <w:tcPr>
            <w:tcW w:w="1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plans</w:t>
            </w:r>
          </w:p>
        </w:tc>
        <w:tc>
          <w:tcPr>
            <w:tcW w:w="1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to net income of net actuarial loss</w:t>
            </w:r>
          </w:p>
        </w:tc>
        <w:tc>
          <w:tcPr>
            <w:tcW w:w="1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r>
      <w:tr>
        <w:trPr>
          <w:trHeight w:val="22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to net income of net prior service credit</w:t>
            </w:r>
          </w:p>
        </w:tc>
        <w:tc>
          <w:tcPr>
            <w:tcW w:w="1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tc>
        <w:tc>
          <w:tcPr>
            <w:tcW w:w="14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r>
      <w:tr>
        <w:trPr>
          <w:trHeight w:val="22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46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income attributable to Schlumberger</w:t>
            </w:r>
          </w:p>
        </w:tc>
        <w:tc>
          <w:tcPr>
            <w:tcW w:w="146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3"/>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Mar. 31,</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Dec. 31,</w:t>
            </w:r>
          </w:p>
        </w:tc>
      </w:tr>
      <w:tr>
        <w:trPr>
          <w:trHeight w:val="238"/>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37"/>
        </w:trPr>
        <w:tc>
          <w:tcPr>
            <w:tcW w:w="7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Receivables less allowance for doubtful accounts (2022 - $319; 2021 - $319)</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5,713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1,172</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13,253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12,978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4,269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shd w:val="clear" w:color="auto" w:fill="CFF0FC"/>
          </w:tcPr>
          <w:p>
            <w:pPr>
              <w:spacing w:after="0"/>
              <w:rPr>
                <w:sz w:val="19"/>
                <w:szCs w:val="19"/>
                <w:color w:val="auto"/>
              </w:rPr>
            </w:pPr>
          </w:p>
        </w:tc>
      </w:tr>
      <w:tr>
        <w:trPr>
          <w:trHeight w:val="263"/>
        </w:trPr>
        <w:tc>
          <w:tcPr>
            <w:tcW w:w="76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41,967</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41,511</w:t>
            </w:r>
          </w:p>
        </w:tc>
        <w:tc>
          <w:tcPr>
            <w:tcW w:w="100" w:type="dxa"/>
            <w:vAlign w:val="bottom"/>
            <w:tcBorders>
              <w:bottom w:val="single" w:sz="8" w:color="CFF0FC"/>
            </w:tcBorders>
          </w:tcPr>
          <w:p>
            <w:pPr>
              <w:spacing w:after="0"/>
              <w:rPr>
                <w:sz w:val="22"/>
                <w:szCs w:val="22"/>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8,638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10,696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13,163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Postretirement Benefits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Deferred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2,160</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26,328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11,957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(1,503)</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(2,233)</w:t>
            </w: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8,532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(3,639)</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(3,570)</w:t>
            </w:r>
          </w:p>
        </w:tc>
      </w:tr>
      <w:tr>
        <w:trPr>
          <w:trHeight w:val="223"/>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15,347</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15,639</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41,967</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58"/>
        </w:trPr>
        <w:tc>
          <w:tcPr>
            <w:tcW w:w="6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60" w:type="dxa"/>
            <w:vAlign w:val="bottom"/>
            <w:gridSpan w:val="7"/>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648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FF0FC"/>
            </w:tcBorders>
          </w:tcPr>
          <w:p>
            <w:pPr>
              <w:spacing w:after="0"/>
              <w:rPr>
                <w:sz w:val="18"/>
                <w:szCs w:val="18"/>
                <w:color w:val="auto"/>
              </w:rPr>
            </w:pPr>
          </w:p>
        </w:tc>
        <w:tc>
          <w:tcPr>
            <w:tcW w:w="2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FF0FC"/>
            </w:tcBorders>
          </w:tcPr>
          <w:p>
            <w:pPr>
              <w:spacing w:after="0"/>
              <w:rPr>
                <w:sz w:val="18"/>
                <w:szCs w:val="18"/>
                <w:color w:val="auto"/>
              </w:rPr>
            </w:pPr>
          </w:p>
        </w:tc>
      </w:tr>
      <w:tr>
        <w:trPr>
          <w:trHeight w:val="211"/>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2280" w:type="dxa"/>
            <w:vAlign w:val="bottom"/>
            <w:gridSpan w:val="2"/>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520</w:t>
            </w:r>
          </w:p>
        </w:tc>
        <w:tc>
          <w:tcPr>
            <w:tcW w:w="300" w:type="dxa"/>
            <w:vAlign w:val="bottom"/>
          </w:tcPr>
          <w:p>
            <w:pPr>
              <w:spacing w:after="0"/>
              <w:rPr>
                <w:sz w:val="18"/>
                <w:szCs w:val="18"/>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620"/>
              <w:spacing w:after="0" w:line="216" w:lineRule="exact"/>
              <w:rPr>
                <w:sz w:val="20"/>
                <w:szCs w:val="20"/>
                <w:color w:val="auto"/>
              </w:rPr>
            </w:pPr>
            <w:r>
              <w:rPr>
                <w:rFonts w:ascii="Times New Roman" w:cs="Times New Roman" w:eastAsia="Times New Roman" w:hAnsi="Times New Roman"/>
                <w:sz w:val="15"/>
                <w:szCs w:val="15"/>
                <w:color w:val="auto"/>
              </w:rPr>
              <w:t xml:space="preserve">Depreciation and amortization </w:t>
            </w:r>
            <w:r>
              <w:rPr>
                <w:rFonts w:ascii="Times New Roman" w:cs="Times New Roman" w:eastAsia="Times New Roman" w:hAnsi="Times New Roman"/>
                <w:sz w:val="25"/>
                <w:szCs w:val="25"/>
                <w:color w:val="auto"/>
                <w:vertAlign w:val="superscript"/>
              </w:rPr>
              <w:t>(1)</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Deferred taxes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(14)</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r>
      <w:tr>
        <w:trPr>
          <w:trHeight w:val="214"/>
        </w:trPr>
        <w:tc>
          <w:tcPr>
            <w:tcW w:w="64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Earnings of equity method investments, less dividends received</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216"/>
        </w:trPr>
        <w:tc>
          <w:tcPr>
            <w:tcW w:w="6480" w:type="dxa"/>
            <w:vAlign w:val="bottom"/>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Change in assets and liabilities: </w:t>
            </w:r>
            <w:r>
              <w:rPr>
                <w:rFonts w:ascii="Times New Roman" w:cs="Times New Roman" w:eastAsia="Times New Roman" w:hAnsi="Times New Roman"/>
                <w:sz w:val="25"/>
                <w:szCs w:val="25"/>
                <w:color w:val="auto"/>
                <w:vertAlign w:val="superscript"/>
              </w:rPr>
              <w:t>(2)</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Increase in receivables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(404)</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r>
      <w:tr>
        <w:trPr>
          <w:trHeight w:val="214"/>
        </w:trPr>
        <w:tc>
          <w:tcPr>
            <w:tcW w:w="64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Increase in other current assets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(177)</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r>
      <w:tr>
        <w:trPr>
          <w:trHeight w:val="214"/>
        </w:trPr>
        <w:tc>
          <w:tcPr>
            <w:tcW w:w="64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Increase (decrease) in accounts payable and accrued liabilities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(438)</w:t>
            </w:r>
          </w:p>
        </w:tc>
      </w:tr>
      <w:tr>
        <w:trPr>
          <w:trHeight w:val="214"/>
        </w:trPr>
        <w:tc>
          <w:tcPr>
            <w:tcW w:w="64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Increase (decrease) in estimated liability for taxes on income</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r>
      <w:tr>
        <w:trPr>
          <w:trHeight w:val="218"/>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Decrease in other liabilities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r>
      <w:tr>
        <w:trPr>
          <w:trHeight w:val="214"/>
        </w:trPr>
        <w:tc>
          <w:tcPr>
            <w:tcW w:w="64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r>
      <w:tr>
        <w:trPr>
          <w:trHeight w:val="211"/>
        </w:trPr>
        <w:tc>
          <w:tcPr>
            <w:tcW w:w="6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Capital expenditures</w:t>
            </w:r>
          </w:p>
        </w:tc>
        <w:tc>
          <w:tcPr>
            <w:tcW w:w="1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(304)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w:t>
            </w: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APS investments</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(168)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w:t>
            </w: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Multiclient seismic data costs capitalized</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(40)</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Business acquisitions and investments, net of cash acquired</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sale of Liberty shares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Sale of investments, net</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(23)</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r>
      <w:tr>
        <w:trPr>
          <w:trHeight w:val="208"/>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00" w:type="dxa"/>
            <w:vAlign w:val="bottom"/>
            <w:tcBorders>
              <w:bottom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FF0FC"/>
            </w:tcBorders>
          </w:tcPr>
          <w:p>
            <w:pPr>
              <w:spacing w:after="0"/>
              <w:rPr>
                <w:sz w:val="18"/>
                <w:szCs w:val="18"/>
                <w:color w:val="auto"/>
              </w:rPr>
            </w:pPr>
          </w:p>
        </w:tc>
      </w:tr>
      <w:tr>
        <w:trPr>
          <w:trHeight w:val="211"/>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Dividends paid</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(175)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w:t>
            </w: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Taxes paid on net settled stock-based compensation awards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(81)</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increase (decrease) in short-term borrowings</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w:t>
            </w: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r>
      <w:tr>
        <w:trPr>
          <w:trHeight w:val="208"/>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0" w:type="dxa"/>
            <w:vAlign w:val="bottom"/>
            <w:tcBorders>
              <w:bottom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Borders>
              <w:bottom w:val="single" w:sz="8" w:color="CFF0FC"/>
            </w:tcBorders>
          </w:tcPr>
          <w:p>
            <w:pPr>
              <w:spacing w:after="0"/>
              <w:rPr>
                <w:sz w:val="18"/>
                <w:szCs w:val="18"/>
                <w:color w:val="auto"/>
              </w:rPr>
            </w:pPr>
          </w:p>
        </w:tc>
      </w:tr>
      <w:tr>
        <w:trPr>
          <w:trHeight w:val="211"/>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before translation effect</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Translation effect on cash</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218"/>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12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1,757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shd w:val="clear" w:color="auto" w:fill="CFF0FC"/>
          </w:tcPr>
          <w:p>
            <w:pPr>
              <w:spacing w:after="0"/>
              <w:rPr>
                <w:sz w:val="18"/>
                <w:szCs w:val="18"/>
                <w:color w:val="auto"/>
              </w:rPr>
            </w:pPr>
          </w:p>
        </w:tc>
      </w:tr>
      <w:tr>
        <w:trPr>
          <w:trHeight w:val="208"/>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Cash, end of period</w:t>
            </w:r>
          </w:p>
        </w:tc>
        <w:tc>
          <w:tcPr>
            <w:tcW w:w="12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8"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multiclient seismic data costs, and APS investments.</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Net of the effect of business acquisitions and divestitures.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29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January 1, 2022 – March 31, 2022</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January 1, 2022</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12,608</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(2,233)</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8,199</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(3,570)</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282</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15,286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(106)</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of restricted stock, net of taxes withheld</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(81)</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 declared ($0.125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(177)</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4"/>
                <w:szCs w:val="14"/>
                <w:color w:val="auto"/>
              </w:rPr>
            </w:pPr>
          </w:p>
        </w:tc>
      </w:tr>
      <w:tr>
        <w:trPr>
          <w:trHeight w:val="156"/>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March 31, 2022</w:t>
            </w: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11,957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(1,503)</w:t>
            </w:r>
          </w:p>
        </w:tc>
        <w:tc>
          <w:tcPr>
            <w:tcW w:w="26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8,532</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(3,639)</w:t>
            </w:r>
          </w:p>
        </w:tc>
        <w:tc>
          <w:tcPr>
            <w:tcW w:w="260" w:type="dxa"/>
            <w:vAlign w:val="bottom"/>
          </w:tcPr>
          <w:p>
            <w:pPr>
              <w:spacing w:after="0"/>
              <w:rPr>
                <w:sz w:val="13"/>
                <w:szCs w:val="13"/>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292</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15,639</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29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January 1, 2021 – March 31, 2021</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January 1, 2021</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12,970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(3,033)</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7,018</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(4,884)</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418</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12,489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Vesting of restricted stock, net of taxes withheld</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Dividends declared ($0.125 per share)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(175)</w:t>
            </w:r>
          </w:p>
        </w:tc>
      </w:tr>
      <w:tr>
        <w:trPr>
          <w:trHeight w:val="156"/>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March 31, 2021</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12,663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(2,598)</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7,142</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(4,664)</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429</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12,972</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SHARES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66"/>
        </w:trPr>
        <w:tc>
          <w:tcPr>
            <w:tcW w:w="6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38"/>
        </w:trPr>
        <w:tc>
          <w:tcPr>
            <w:tcW w:w="6600" w:type="dxa"/>
            <w:vAlign w:val="bottom"/>
          </w:tcPr>
          <w:p>
            <w:pPr>
              <w:spacing w:after="0"/>
              <w:rPr>
                <w:sz w:val="20"/>
                <w:szCs w:val="20"/>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Issued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 Treasury</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9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30"/>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9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356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2022 are not necessarily indicative of the results that may be expected for the full year ending December 31, 2022. The December 31, 2021 balance sheet information has been derived from the Schlumberger 2021 audited financial statements. For further information, refer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and notes thereto included in the Schlumberger Annual Report on Form 10-K for the year ended December 31, 2021, filed with the Securities and Exchange Commission on January 26, 2022.</w:t>
      </w:r>
    </w:p>
    <w:p>
      <w:pPr>
        <w:spacing w:after="0" w:line="292" w:lineRule="exact"/>
        <w:rPr>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and Credits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31, 2020, Schlumberger contributed its onshore hydraulic fracturing business in the United States and Canada, including its pressure pumping, pumpdown perforating and Permian frac sand business to Liberty Energy Inc. (“Liberty”) in exchange for an equity interest in Liberty. During the first quarter of 2022, Schlumberger sold 7.2 million of its shares of Liberty and received proceeds of $84 million. As a result of this transaction Schlumberger recognized a gain of $26 million. This gain is classified in </w:t>
      </w:r>
      <w:r>
        <w:rPr>
          <w:rFonts w:ascii="Times New Roman" w:cs="Times New Roman" w:eastAsia="Times New Roman" w:hAnsi="Times New Roman"/>
          <w:sz w:val="18"/>
          <w:szCs w:val="18"/>
          <w:i w:val="1"/>
          <w:iCs w:val="1"/>
          <w:color w:val="auto"/>
        </w:rPr>
        <w:t>Interest &amp;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As of March 31, 2022, Schlumberger had a 27% equity interest in Liberty.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did not record any charges or credits during the first quarter of 2021.</w:t>
      </w:r>
    </w:p>
    <w:p>
      <w:pPr>
        <w:spacing w:after="0" w:line="329"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from basic income per share of Schlumberger to diluted income per share of Schlumberger: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425"/>
        </w:trPr>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left="157"/>
              <w:spacing w:after="0"/>
              <w:rPr>
                <w:sz w:val="20"/>
                <w:szCs w:val="20"/>
                <w:color w:val="auto"/>
              </w:rPr>
            </w:pPr>
            <w:r>
              <w:rPr>
                <w:rFonts w:ascii="Times New Roman" w:cs="Times New Roman" w:eastAsia="Times New Roman" w:hAnsi="Times New Roman"/>
                <w:sz w:val="16"/>
                <w:szCs w:val="16"/>
                <w:color w:val="auto"/>
                <w:w w:val="99"/>
              </w:rPr>
              <w:t>2021</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Average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Attributable to</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Earnings per</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Attributable to</w:t>
            </w:r>
          </w:p>
        </w:tc>
        <w:tc>
          <w:tcPr>
            <w:tcW w:w="2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Shares</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Earnings per</w:t>
            </w:r>
          </w:p>
        </w:tc>
      </w:tr>
      <w:tr>
        <w:trPr>
          <w:trHeight w:val="215"/>
        </w:trPr>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Schlumberger</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0" w:type="dxa"/>
            <w:vAlign w:val="bottom"/>
          </w:tcPr>
          <w:p>
            <w:pPr>
              <w:spacing w:after="0"/>
              <w:rPr>
                <w:sz w:val="18"/>
                <w:szCs w:val="18"/>
                <w:color w:val="auto"/>
              </w:rPr>
            </w:pPr>
          </w:p>
        </w:tc>
        <w:tc>
          <w:tcPr>
            <w:tcW w:w="102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rPr>
              <w:t>Schlumberger</w:t>
            </w: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Outstanding</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Share</w:t>
            </w:r>
          </w:p>
        </w:tc>
      </w:tr>
      <w:tr>
        <w:trPr>
          <w:trHeight w:val="206"/>
        </w:trPr>
        <w:tc>
          <w:tcPr>
            <w:tcW w:w="1060" w:type="dxa"/>
            <w:vAlign w:val="bottom"/>
            <w:tcBorders>
              <w:top w:val="single" w:sz="8" w:color="CFF0FC"/>
              <w:bottom w:val="single" w:sz="8" w:color="auto"/>
            </w:tcBorders>
            <w:shd w:val="clear" w:color="auto" w:fill="CFF0FC"/>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9"/>
              </w:rPr>
              <w:t>First Quarter</w:t>
            </w:r>
          </w:p>
        </w:tc>
        <w:tc>
          <w:tcPr>
            <w:tcW w:w="1440" w:type="dxa"/>
            <w:vAlign w:val="bottom"/>
            <w:tcBorders>
              <w:top w:val="single" w:sz="8" w:color="CFF0FC"/>
              <w:bottom w:val="single" w:sz="8" w:color="CFF0FC"/>
            </w:tcBorders>
            <w:shd w:val="clear" w:color="auto" w:fill="CFF0FC"/>
          </w:tcPr>
          <w:p>
            <w:pPr>
              <w:spacing w:after="0"/>
              <w:rPr>
                <w:sz w:val="17"/>
                <w:szCs w:val="17"/>
                <w:color w:val="auto"/>
              </w:rPr>
            </w:pPr>
          </w:p>
        </w:tc>
        <w:tc>
          <w:tcPr>
            <w:tcW w:w="6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70"/>
        </w:trPr>
        <w:tc>
          <w:tcPr>
            <w:tcW w:w="25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220" w:type="dxa"/>
            <w:vAlign w:val="bottom"/>
            <w:tcBorders>
              <w:bottom w:val="single" w:sz="8" w:color="CFF0FC"/>
            </w:tcBorders>
          </w:tcPr>
          <w:p>
            <w:pPr>
              <w:spacing w:after="0"/>
              <w:rPr>
                <w:sz w:val="23"/>
                <w:szCs w:val="23"/>
                <w:color w:val="auto"/>
              </w:rPr>
            </w:pPr>
          </w:p>
        </w:tc>
        <w:tc>
          <w:tcPr>
            <w:tcW w:w="10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w:t>
            </w:r>
          </w:p>
        </w:tc>
        <w:tc>
          <w:tcPr>
            <w:tcW w:w="2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22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32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2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FF0FC"/>
            </w:tcBorders>
          </w:tcPr>
          <w:p>
            <w:pPr>
              <w:spacing w:after="0"/>
              <w:rPr>
                <w:sz w:val="23"/>
                <w:szCs w:val="23"/>
                <w:color w:val="auto"/>
              </w:rPr>
            </w:pPr>
          </w:p>
        </w:tc>
      </w:tr>
      <w:tr>
        <w:trPr>
          <w:trHeight w:val="210"/>
        </w:trPr>
        <w:tc>
          <w:tcPr>
            <w:tcW w:w="2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2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1,434</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number of outstanding options to purchase shares of Schlumberger common stock that were not included in the computation of diluted income per share, because to do so would have had an antidilutive effect,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(Stated in millions)</w:t>
            </w:r>
          </w:p>
        </w:tc>
      </w:tr>
      <w:tr>
        <w:trPr>
          <w:trHeight w:val="459"/>
        </w:trPr>
        <w:tc>
          <w:tcPr>
            <w:tcW w:w="7680" w:type="dxa"/>
            <w:vAlign w:val="bottom"/>
          </w:tcPr>
          <w:p>
            <w:pPr>
              <w:spacing w:after="0"/>
              <w:rPr>
                <w:sz w:val="24"/>
                <w:szCs w:val="24"/>
                <w:color w:val="auto"/>
              </w:rPr>
            </w:pPr>
          </w:p>
        </w:tc>
        <w:tc>
          <w:tcPr>
            <w:tcW w:w="35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80" w:type="dxa"/>
            <w:vAlign w:val="bottom"/>
            <w:tcBorders>
              <w:bottom w:val="single" w:sz="8" w:color="CFF0FC"/>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jc w:val="right"/>
              <w:ind w:right="5850"/>
              <w:spacing w:after="0"/>
              <w:rPr>
                <w:sz w:val="20"/>
                <w:szCs w:val="20"/>
                <w:color w:val="auto"/>
              </w:rPr>
            </w:pPr>
            <w:r>
              <w:rPr>
                <w:rFonts w:ascii="Times New Roman" w:cs="Times New Roman" w:eastAsia="Times New Roman" w:hAnsi="Times New Roman"/>
                <w:sz w:val="18"/>
                <w:szCs w:val="18"/>
                <w:color w:val="auto"/>
                <w:w w:val="99"/>
              </w:rPr>
              <w:t>Employee stock options</w:t>
            </w:r>
          </w:p>
        </w:tc>
        <w:tc>
          <w:tcPr>
            <w:tcW w:w="11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9"/>
                <w:szCs w:val="19"/>
                <w:color w:val="auto"/>
              </w:rPr>
            </w:pPr>
          </w:p>
        </w:tc>
      </w:tr>
      <w:tr>
        <w:trPr>
          <w:trHeight w:val="554"/>
        </w:trPr>
        <w:tc>
          <w:tcPr>
            <w:tcW w:w="768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8</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6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which are stated at the lower of average cost or net realizable value,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3"/>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Mar. 31,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8"/>
        </w:trPr>
        <w:tc>
          <w:tcPr>
            <w:tcW w:w="2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388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2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3,719</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Fixed Assets</w:t>
            </w:r>
          </w:p>
        </w:tc>
        <w:tc>
          <w:tcPr>
            <w:tcW w:w="2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120" w:type="dxa"/>
            <w:vAlign w:val="bottom"/>
            <w:gridSpan w:val="3"/>
            <w:vMerge w:val="continue"/>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fixed assets follows:</w:t>
            </w: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3"/>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Mar. 31,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8"/>
        </w:trPr>
        <w:tc>
          <w:tcPr>
            <w:tcW w:w="2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388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29,022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22,668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19"/>
                <w:szCs w:val="19"/>
                <w:color w:val="auto"/>
              </w:rPr>
            </w:pPr>
          </w:p>
        </w:tc>
        <w:tc>
          <w:tcPr>
            <w:tcW w:w="25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6,354</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relating to fixed assets was $338 million and $355 million in the first quarter of 2022 and 2021, respectively.</w:t>
      </w:r>
    </w:p>
    <w:p>
      <w:pPr>
        <w:spacing w:after="0" w:line="200" w:lineRule="exact"/>
        <w:rPr>
          <w:sz w:val="20"/>
          <w:szCs w:val="20"/>
          <w:color w:val="auto"/>
        </w:rPr>
      </w:pPr>
    </w:p>
    <w:p>
      <w:pPr>
        <w:spacing w:after="0" w:line="359"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book value, accumulated amortization and net book value of intangible assets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52"/>
        </w:trPr>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Mar. 31, 2022</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Dec. 31, 2021</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6"/>
                <w:szCs w:val="16"/>
                <w:color w:val="auto"/>
              </w:rPr>
              <w:t>Gross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18"/>
                <w:szCs w:val="18"/>
                <w:color w:val="auto"/>
              </w:rPr>
            </w:pPr>
          </w:p>
        </w:tc>
        <w:tc>
          <w:tcPr>
            <w:tcW w:w="98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Net Book</w:t>
            </w:r>
          </w:p>
        </w:tc>
        <w:tc>
          <w:tcPr>
            <w:tcW w:w="100" w:type="dxa"/>
            <w:vAlign w:val="bottom"/>
          </w:tcPr>
          <w:p>
            <w:pPr>
              <w:spacing w:after="0"/>
              <w:rPr>
                <w:sz w:val="18"/>
                <w:szCs w:val="18"/>
                <w:color w:val="auto"/>
              </w:rPr>
            </w:pPr>
          </w:p>
        </w:tc>
      </w:tr>
      <w:tr>
        <w:trPr>
          <w:trHeight w:val="257"/>
        </w:trPr>
        <w:tc>
          <w:tcPr>
            <w:tcW w:w="2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6"/>
                <w:szCs w:val="16"/>
                <w:color w:val="auto"/>
              </w:rPr>
              <w:t>Book Value</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4"/>
              </w:rPr>
              <w:t>Value</w:t>
            </w:r>
          </w:p>
        </w:tc>
      </w:tr>
      <w:tr>
        <w:trPr>
          <w:trHeight w:val="226"/>
        </w:trPr>
        <w:tc>
          <w:tcPr>
            <w:tcW w:w="2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Technology/technical know-how</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r>
      <w:tr>
        <w:trPr>
          <w:trHeight w:val="229"/>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FF0FC"/>
          </w:tcPr>
          <w:p>
            <w:pPr>
              <w:spacing w:after="0"/>
              <w:rPr>
                <w:sz w:val="19"/>
                <w:szCs w:val="19"/>
                <w:color w:val="auto"/>
              </w:rPr>
            </w:pPr>
          </w:p>
        </w:tc>
      </w:tr>
      <w:tr>
        <w:trPr>
          <w:trHeight w:val="230"/>
        </w:trPr>
        <w:tc>
          <w:tcPr>
            <w:tcW w:w="2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FF0FC"/>
            </w:tcBorders>
          </w:tcPr>
          <w:p>
            <w:pPr>
              <w:spacing w:after="0"/>
              <w:rPr>
                <w:sz w:val="19"/>
                <w:szCs w:val="19"/>
                <w:color w:val="auto"/>
              </w:rPr>
            </w:pPr>
          </w:p>
        </w:tc>
      </w:tr>
      <w:tr>
        <w:trPr>
          <w:trHeight w:val="223"/>
        </w:trPr>
        <w:tc>
          <w:tcPr>
            <w:tcW w:w="28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5,256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charged to income was $75 million during the first quarter of 2022 and $76 million during the first quarter of 2021.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net book value of intangible assets at March 31, 2022, amortization expense for the subsequent five years is estimated to be: remaining three quarters of 2022—$227 million; 2023—$291 million; 2024—$279 million; 2025—$261 million; 2026—$256 million; and 2027—$252 million.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3"/>
        </w:trPr>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28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 31,</w:t>
            </w:r>
          </w:p>
        </w:tc>
      </w:tr>
      <w:tr>
        <w:trPr>
          <w:trHeight w:val="238"/>
        </w:trPr>
        <w:tc>
          <w:tcPr>
            <w:tcW w:w="500" w:type="dxa"/>
            <w:vAlign w:val="bottom"/>
            <w:tcBorders>
              <w:bottom w:val="single" w:sz="8" w:color="CFF0FC"/>
            </w:tcBorders>
          </w:tcPr>
          <w:p>
            <w:pPr>
              <w:spacing w:after="0"/>
              <w:rPr>
                <w:sz w:val="20"/>
                <w:szCs w:val="20"/>
                <w:color w:val="auto"/>
              </w:rPr>
            </w:pPr>
          </w:p>
        </w:tc>
        <w:tc>
          <w:tcPr>
            <w:tcW w:w="466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FF0FC"/>
            </w:tcBorders>
          </w:tcPr>
          <w:p>
            <w:pPr>
              <w:spacing w:after="0"/>
              <w:rPr>
                <w:sz w:val="20"/>
                <w:szCs w:val="20"/>
                <w:color w:val="auto"/>
              </w:rPr>
            </w:pPr>
          </w:p>
        </w:tc>
      </w:tr>
      <w:tr>
        <w:trPr>
          <w:trHeight w:val="223"/>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3.65%</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3.90%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2.65%</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1.375% Guaranteed Notes due 2026</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Guaranteed Notes due 2032</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0.25%</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2027</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0.50%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2031</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4.00%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4.30%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3.75%</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2024</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Guaranteed Notes due 2026</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0.00%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1.40%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7.00%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2038</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5.95%</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2041</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5.13%</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2043</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4.00%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2023</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3.70%</w:t>
            </w:r>
          </w:p>
        </w:tc>
        <w:tc>
          <w:tcPr>
            <w:tcW w:w="4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25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FF0FC"/>
            </w:tcBorders>
          </w:tcPr>
          <w:p>
            <w:pPr>
              <w:spacing w:after="0"/>
              <w:rPr>
                <w:sz w:val="19"/>
                <w:szCs w:val="19"/>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19"/>
                <w:szCs w:val="19"/>
                <w:color w:val="auto"/>
              </w:rPr>
            </w:pPr>
          </w:p>
        </w:tc>
        <w:tc>
          <w:tcPr>
            <w:tcW w:w="25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13,163</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estimated fair value of Schlumberger’s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based on quoted market prices at March 31, 2022 and December 31, 2021, was $13.0 billion and $13.9 billion, respectively.</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Schlumberger has a €750 million three-year committed revolving credit facility maturing in June 2024. At March 31, 2022 no amounts had been drawn under this facility.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revolving credit facility described above, at March 31, 2022, Schlumberger had separate committed credit facility agreements aggregating $5.75 billion with commercial banks, all of which was available and unused. These committed facilities support commercial paper programs in the United States and Europe, of which $0.75 billion matures in February 2024, $2.0 billion matures in February 2025, $1.0 billion matures in July 2026 and $2.0 billion matures in February 2027. Interest rates and other terms of borrowing under these lines of credit vary by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under the commercial paper programs at March 31, 2022 and December 31, 2021.</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Schlumberger Limited fully and unconditionally guarantees the securities issued by certain of its subsidiaries, including securities issued by Schlumberger Investment SA and Schlumberger Finance Canada Ltd., both wholly-owned subsidiaries of Schlumberger.</w:t>
      </w:r>
    </w:p>
    <w:p>
      <w:pPr>
        <w:spacing w:after="0" w:line="266"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multinational company, Schlumberger conducts its business in over 120 countries. Schlumberger’s functional currency is primarily the US dollar.</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Times New Roman" w:cs="Times New Roman" w:eastAsia="Times New Roman" w:hAnsi="Times New Roman"/>
          <w:sz w:val="18"/>
          <w:szCs w:val="18"/>
          <w:i w:val="1"/>
          <w:iCs w:val="1"/>
          <w:color w:val="auto"/>
        </w:rPr>
        <w:t xml:space="preserve">Consolidated Balance Sheet </w:t>
      </w:r>
      <w:r>
        <w:rPr>
          <w:rFonts w:ascii="Times New Roman" w:cs="Times New Roman" w:eastAsia="Times New Roman" w:hAnsi="Times New Roman"/>
          <w:sz w:val="18"/>
          <w:szCs w:val="18"/>
          <w:color w:val="auto"/>
        </w:rPr>
        <w:t>and in</w:t>
      </w:r>
      <w:r>
        <w:rPr>
          <w:rFonts w:ascii="Times New Roman" w:cs="Times New Roman" w:eastAsia="Times New Roman" w:hAnsi="Times New Roman"/>
          <w:sz w:val="18"/>
          <w:szCs w:val="18"/>
          <w:i w:val="1"/>
          <w:iCs w:val="1"/>
          <w:color w:val="auto"/>
        </w:rPr>
        <w:t xml:space="preserve"> Accumulated Other Comprehensive Loss. </w:t>
      </w:r>
      <w:r>
        <w:rPr>
          <w:rFonts w:ascii="Times New Roman" w:cs="Times New Roman" w:eastAsia="Times New Roman" w:hAnsi="Times New Roman"/>
          <w:sz w:val="18"/>
          <w:szCs w:val="18"/>
          <w:color w:val="auto"/>
        </w:rPr>
        <w:t>Amounts recorded in</w:t>
      </w:r>
      <w:r>
        <w:rPr>
          <w:rFonts w:ascii="Times New Roman" w:cs="Times New Roman" w:eastAsia="Times New Roman" w:hAnsi="Times New Roman"/>
          <w:sz w:val="18"/>
          <w:szCs w:val="18"/>
          <w:i w:val="1"/>
          <w:iCs w:val="1"/>
          <w:color w:val="auto"/>
        </w:rPr>
        <w:t xml:space="preserve"> Accumulated Other Comprehensive Loss </w:t>
      </w:r>
      <w:r>
        <w:rPr>
          <w:rFonts w:ascii="Times New Roman" w:cs="Times New Roman" w:eastAsia="Times New Roman" w:hAnsi="Times New Roman"/>
          <w:sz w:val="18"/>
          <w:szCs w:val="18"/>
          <w:color w:val="auto"/>
        </w:rPr>
        <w:t>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reclassified into earnings in the same period or periods that the hedged item is recognized in earnings.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 w:name="page11"/>
    <w:bookmarkEnd w:id="10"/>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Schlumberger is also exposed to risks on future cash flows relating to certain of its fixed rate debt denominated in currencies other than the functional currency. Schlumberger uses cross-currency swaps to provide a hedge against these cash flow risks.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was $71 million at March 31, 2022 ($66 million at December 31, 2021) and 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was $86 million at March 31, 2022 ($78 million at December 31, 2021) relating to the fair value of outstanding cross-currency swap derivatives. The fair value was determined using a model with inputs that are observable in the market or can be derived or corroborated by observable data.</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During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0.50% Notes due 2031. These cross-currency swaps effectively convert the Euro-denominated notes to US-dollar denominated debt with fixed annual interest rates of 2.29%, 2.51% and 2.76%, respectively.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2020, a US-dollar functional currency subsidiary of Schlumberger issued €0.8 billion of Euro-denominated debt. Schlumberger entered into cross-currency swaps for an aggregate notional amount of €0.8 billion in order to hedge changes in the fair value of its €0.4 billion of 0.25% Notes due 2027 and €0.4 billion of 0.50% Notes due 2031. These cross-currency swaps effectively convert the Euro-denominated notes to US-dollar denominated debt with fixed annual interest rates of 1.87% and 2.20%, respectively.</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2020, a US-dollar functional currency subsidiary of Schlumberger issued €2.0 billion of Euro-denominated debt. Schlumberger entered into cross-currency swaps for an aggregate notional amount of €2.0 billion in order to hedge changes in the fair value of its €1.0 billion of 1.375% Guaranteed Notes due 2026 and €1.0 billion of 2.00% Guaranteed Notes due 2032. These cross-currency swaps effectively convert the swapped portion of the Euro-denominated notes to US-dollar denominated debt with fixed annual interest rates of 2.77% and 3.49%, respectively.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2020, a Canadian dollar functional currency subsidiary of Schlumberger issued $0.5 billion of US dollar denominated debt. Schlumberger entered into cross-currency swaps for an aggregate notional amount of $0.5 billion in order to hedge changes in the fair value of its $0.5 billion 1.40% Senior Notes due 2025. These cross-currency swaps effectively convert the US dollar notes to Canadian dollar denominated debt with a fixed annual interest rate of 1.73%.</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During the fourth quarter of 2021 and the first quarter of 2022, Schlumberger entered into derivative contracts that hedge the price of oil relating to approximately 75% of the projected oil production for all of 2022 and the first quarter of 2023 of one its Asset Performance Solutions (“APS”) projects. These contracts are accounted for as cash flow hedges, with the changes in fair value of the hedge recorded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Amounts recorded in</w:t>
      </w:r>
      <w:r>
        <w:rPr>
          <w:rFonts w:ascii="Times New Roman" w:cs="Times New Roman" w:eastAsia="Times New Roman" w:hAnsi="Times New Roman"/>
          <w:sz w:val="18"/>
          <w:szCs w:val="18"/>
          <w:i w:val="1"/>
          <w:iCs w:val="1"/>
          <w:color w:val="auto"/>
        </w:rPr>
        <w:t xml:space="preserve"> Accumulated Other Comprehensive Loss </w:t>
      </w:r>
      <w:r>
        <w:rPr>
          <w:rFonts w:ascii="Times New Roman" w:cs="Times New Roman" w:eastAsia="Times New Roman" w:hAnsi="Times New Roman"/>
          <w:sz w:val="18"/>
          <w:szCs w:val="18"/>
          <w:color w:val="auto"/>
        </w:rPr>
        <w:t>are reclassified to earnings in the same period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periods that the hedged item is recognized in earnings. Included in </w:t>
      </w:r>
      <w:r>
        <w:rPr>
          <w:rFonts w:ascii="Times New Roman" w:cs="Times New Roman" w:eastAsia="Times New Roman" w:hAnsi="Times New Roman"/>
          <w:sz w:val="18"/>
          <w:szCs w:val="18"/>
          <w:i w:val="1"/>
          <w:iCs w:val="1"/>
          <w:color w:val="auto"/>
        </w:rPr>
        <w:t>Accounts payable and accrued liabilities</w:t>
      </w:r>
      <w:r>
        <w:rPr>
          <w:rFonts w:ascii="Times New Roman" w:cs="Times New Roman" w:eastAsia="Times New Roman" w:hAnsi="Times New Roman"/>
          <w:sz w:val="18"/>
          <w:szCs w:val="18"/>
          <w:color w:val="auto"/>
        </w:rPr>
        <w:t xml:space="preserve"> was $94 million at March 31, 2022 relating to the fair value of the outstanding commodity hedges.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Schlumberger is exposed to changes in the fair value of assets and liabilities denominated in currencies other than the functional currency. While Schlumberger uses foreign currency forward contracts to economically hedge this exposure as it relates to certain currencies, these contracts are not designated as hedges for accounting purposes. Instead, the fair value of the contracts is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changes in the fair value are recognized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as are changes in the fair value of the hedged item.</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March 31, 2022, contracts were outstanding for the US dollar equivalent of $7.6 billion in various foreign currencies, of which $5.8 billion relates to hedges of debt denominated in currencies other than the functional currency.</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than the previously mentioned cross-currency swaps and commodity hedges, the fair value of the other outstanding derivatives was not material at March 31, 2022 and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The effect of derivative instruments designated as cash flow hedges, and those not designated as hedges, on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was as follows:</w:t>
      </w: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1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7"/>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Gain (Loss) Recognized in Income</w:t>
            </w:r>
          </w:p>
        </w:tc>
        <w:tc>
          <w:tcPr>
            <w:tcW w:w="1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Borders>
              <w:top w:val="single" w:sz="8" w:color="auto"/>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Consolidated Statement of Income Classification</w:t>
            </w:r>
          </w:p>
        </w:tc>
        <w:tc>
          <w:tcPr>
            <w:tcW w:w="0" w:type="dxa"/>
            <w:vAlign w:val="bottom"/>
          </w:tcPr>
          <w:p>
            <w:pPr>
              <w:spacing w:after="0"/>
              <w:rPr>
                <w:sz w:val="1"/>
                <w:szCs w:val="1"/>
                <w:color w:val="auto"/>
              </w:rPr>
            </w:pPr>
          </w:p>
        </w:tc>
      </w:tr>
      <w:tr>
        <w:trPr>
          <w:trHeight w:val="225"/>
        </w:trPr>
        <w:tc>
          <w:tcPr>
            <w:tcW w:w="3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1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Cross currency swaps</w:t>
            </w:r>
          </w:p>
        </w:tc>
        <w:tc>
          <w:tcPr>
            <w:tcW w:w="1040" w:type="dxa"/>
            <w:vAlign w:val="bottom"/>
            <w:gridSpan w:val="2"/>
          </w:tcPr>
          <w:p>
            <w:pPr>
              <w:jc w:val="right"/>
              <w:ind w:right="59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(131)</w:t>
            </w:r>
          </w:p>
        </w:tc>
        <w:tc>
          <w:tcPr>
            <w:tcW w:w="86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Commodity contracts</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4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0" w:type="dxa"/>
            <w:vAlign w:val="bottom"/>
          </w:tcPr>
          <w:p>
            <w:pPr>
              <w:spacing w:after="0"/>
              <w:rPr>
                <w:sz w:val="1"/>
                <w:szCs w:val="1"/>
                <w:color w:val="auto"/>
              </w:rPr>
            </w:pPr>
          </w:p>
        </w:tc>
      </w:tr>
      <w:tr>
        <w:trPr>
          <w:trHeight w:val="229"/>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9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(214)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1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040" w:type="dxa"/>
            <w:vAlign w:val="bottom"/>
            <w:gridSpan w:val="2"/>
            <w:shd w:val="clear" w:color="auto" w:fill="CFF0FC"/>
          </w:tcPr>
          <w:p>
            <w:pPr>
              <w:jc w:val="right"/>
              <w:ind w:right="59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w:t>
            </w:r>
          </w:p>
        </w:tc>
        <w:tc>
          <w:tcPr>
            <w:tcW w:w="86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4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80"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First Quarter 2022</w:t>
            </w:r>
          </w:p>
        </w:tc>
        <w:tc>
          <w:tcPr>
            <w:tcW w:w="180" w:type="dxa"/>
            <w:vAlign w:val="bottom"/>
          </w:tcPr>
          <w:p>
            <w:pPr>
              <w:spacing w:after="0"/>
              <w:rPr>
                <w:sz w:val="24"/>
                <w:szCs w:val="24"/>
                <w:color w:val="auto"/>
              </w:rPr>
            </w:pPr>
          </w:p>
        </w:tc>
        <w:tc>
          <w:tcPr>
            <w:tcW w:w="25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First Quarter 2021</w:t>
            </w:r>
          </w:p>
        </w:tc>
      </w:tr>
      <w:tr>
        <w:trPr>
          <w:trHeight w:val="214"/>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Income</w:t>
            </w:r>
          </w:p>
        </w:tc>
        <w:tc>
          <w:tcPr>
            <w:tcW w:w="100" w:type="dxa"/>
            <w:vAlign w:val="bottom"/>
          </w:tcPr>
          <w:p>
            <w:pPr>
              <w:spacing w:after="0"/>
              <w:rPr>
                <w:sz w:val="18"/>
                <w:szCs w:val="18"/>
                <w:color w:val="auto"/>
              </w:rPr>
            </w:pPr>
          </w:p>
        </w:tc>
      </w:tr>
      <w:tr>
        <w:trPr>
          <w:trHeight w:val="230"/>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8"/>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Taxes</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(60)</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(164)</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(120)</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3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20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372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5,962</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ind w:left="380" w:right="20" w:hanging="372"/>
        <w:spacing w:after="0" w:line="195" w:lineRule="auto"/>
        <w:tabs>
          <w:tab w:leader="none" w:pos="38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Times New Roman" w:cs="Times New Roman" w:eastAsia="Times New Roman" w:hAnsi="Times New Roman"/>
          <w:sz w:val="28"/>
          <w:szCs w:val="28"/>
          <w:color w:val="auto"/>
          <w:vertAlign w:val="superscript"/>
        </w:rPr>
      </w:pPr>
    </w:p>
    <w:p>
      <w:pPr>
        <w:ind w:left="380" w:hanging="372"/>
        <w:spacing w:after="0" w:line="231" w:lineRule="auto"/>
        <w:tabs>
          <w:tab w:leader="none" w:pos="38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($12 million in 2022; $1 million in 2021).</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($3 million in 2022; $4 million in 2021).</w:t>
      </w:r>
    </w:p>
    <w:p>
      <w:pPr>
        <w:spacing w:after="0" w:line="118"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See Note 2 – </w:t>
      </w:r>
      <w:r>
        <w:rPr>
          <w:rFonts w:ascii="Times New Roman" w:cs="Times New Roman" w:eastAsia="Times New Roman" w:hAnsi="Times New Roman"/>
          <w:sz w:val="14"/>
          <w:szCs w:val="14"/>
          <w:i w:val="1"/>
          <w:iCs w:val="1"/>
          <w:color w:val="auto"/>
        </w:rPr>
        <w:t>Charges and Credits</w:t>
      </w:r>
      <w:r>
        <w:rPr>
          <w:rFonts w:ascii="Times New Roman" w:cs="Times New Roman" w:eastAsia="Times New Roman" w:hAnsi="Times New Roman"/>
          <w:sz w:val="14"/>
          <w:szCs w:val="14"/>
          <w:color w:val="auto"/>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Revenue by geographic area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42"/>
        </w:trPr>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North America and International revenue disaggregated by segment was as follows:</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42"/>
        </w:trPr>
        <w:tc>
          <w:tcPr>
            <w:tcW w:w="5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First Quarter 2022</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&amp; other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color w:val="auto"/>
              </w:rPr>
              <w:t>First Quarter 2021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North</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Eliminations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America</w:t>
            </w:r>
          </w:p>
        </w:tc>
        <w:tc>
          <w:tcPr>
            <w:tcW w:w="10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International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&amp; other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Revenue in excess of billings related to contracts where revenue is recognized over time was $0.3 billion at both March 31, 2022 and December 31, 2021. Such amounts are included within </w:t>
      </w:r>
      <w:r>
        <w:rPr>
          <w:rFonts w:ascii="Times New Roman" w:cs="Times New Roman" w:eastAsia="Times New Roman" w:hAnsi="Times New Roman"/>
          <w:sz w:val="18"/>
          <w:szCs w:val="18"/>
          <w:i w:val="1"/>
          <w:iCs w:val="1"/>
          <w:color w:val="auto"/>
        </w:rPr>
        <w:t>Receivables less allowance for doubtful accounts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nature of its business, Schlumberger does not have significant backlog. Total backlog was $3.0 billion at March 31, 2022, of which approximately 56% is expected to be recognized as revenue over the next 12 months.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Billings and cash collections in excess of revenue was $1.0 billion at both March 31, 2022 and December 31, 2021. Such amounts are included within </w:t>
      </w:r>
      <w:r>
        <w:rPr>
          <w:rFonts w:ascii="Times New Roman" w:cs="Times New Roman" w:eastAsia="Times New Roman" w:hAnsi="Times New Roman"/>
          <w:sz w:val="18"/>
          <w:szCs w:val="18"/>
          <w:i w:val="1"/>
          <w:iCs w:val="1"/>
          <w:color w:val="auto"/>
        </w:rPr>
        <w:t xml:space="preserve">Accounts payable and accrued liabilities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Balance Sheet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conflict in Ukraine that began in late February 2022 continues as of the date of this quarterly report. Schlumberger is deeply focused on the safety and security of its employees and their families in Ukraine, Russia and throughout the affected region.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Schlumberger’s executive leadership established local and global crisis management teams which began meeting regularly in February 2022 to respond to the crisis and its effect on Schlumberger’s employees, business and operations, including impacts related to increased economic sanctions and export controls. In March 2022, Schlumberger decided to immediately suspend new investment and technology deployment to its Russia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Russia represented approximately 5% of Schlumberger’s worldwide revenue during the first quarter of 2022. The carrying value of Schlumberger’s net assets in Russia was approximately $0.8 billion as of March 31, 2022. This consisted of $0.2 billion of receivables, $0.2 billion of inventories, $0.3 billion of other current assets, $0.3 billion of fixed assets, $0.1 billion of other non-current assets and $0.3 billion of current liabilities.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continues to actively monitor this dynamic situation and comply with applicable international laws and sanctions. The extent to which Schlumberger’s operations and financial results (including the need to potentially write-down the carrying value of certain assets) may be affected by the ongoing conflict in Ukraine will depend on various factors, including the extent and duration of the conflict; the effects of the conflict on regional and global economic and geopolitical conditions; the effect of further international sanctions and trade control restrictions on Schlumberger’s business, the global economy and global supply chains; and the impact of further devaluation of the ruble. Continuation or escalation of the conflict may also aggravate the risk factors that Schlumberger identified in its Annual Report on Form 10-K for the year ended December 31, 2021.</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2022 Compared to Fourth Quarter 2021</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First Quarter 2022</w:t>
            </w:r>
          </w:p>
        </w:tc>
        <w:tc>
          <w:tcPr>
            <w:tcW w:w="3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Fourth Quarter 2021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Income Before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Income Before</w:t>
            </w:r>
          </w:p>
        </w:tc>
        <w:tc>
          <w:tcPr>
            <w:tcW w:w="100" w:type="dxa"/>
            <w:vAlign w:val="bottom"/>
          </w:tcPr>
          <w:p>
            <w:pPr>
              <w:spacing w:after="0"/>
              <w:rPr>
                <w:sz w:val="18"/>
                <w:szCs w:val="18"/>
                <w:color w:val="auto"/>
              </w:rPr>
            </w:pPr>
          </w:p>
        </w:tc>
      </w:tr>
      <w:tr>
        <w:trPr>
          <w:trHeight w:val="238"/>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857</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1,604</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(107)</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(60)</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(164)</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(120)</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3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20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tcPr>
          <w:p>
            <w:pPr>
              <w:spacing w:after="0"/>
              <w:rPr>
                <w:sz w:val="19"/>
                <w:szCs w:val="19"/>
                <w:color w:val="auto"/>
              </w:rPr>
            </w:pPr>
          </w:p>
        </w:tc>
      </w:tr>
      <w:tr>
        <w:trPr>
          <w:trHeight w:val="223"/>
        </w:trPr>
        <w:tc>
          <w:tcPr>
            <w:tcW w:w="372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5,962</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380" w:right="20" w:hanging="372"/>
        <w:spacing w:after="0" w:line="195" w:lineRule="auto"/>
        <w:tabs>
          <w:tab w:leader="none" w:pos="380"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3" w:lineRule="exact"/>
        <w:rPr>
          <w:rFonts w:ascii="Times New Roman" w:cs="Times New Roman" w:eastAsia="Times New Roman" w:hAnsi="Times New Roman"/>
          <w:sz w:val="28"/>
          <w:szCs w:val="28"/>
          <w:color w:val="auto"/>
          <w:vertAlign w:val="superscript"/>
        </w:rPr>
      </w:pPr>
    </w:p>
    <w:p>
      <w:pPr>
        <w:ind w:left="380" w:hanging="372"/>
        <w:spacing w:after="0"/>
        <w:tabs>
          <w:tab w:leader="none" w:pos="380"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($12 million in Q1 2022; $1 million in Q4 2021).</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($3 million in Q1 2022; $4 million in Q4 2021).</w:t>
      </w:r>
    </w:p>
    <w:p>
      <w:pPr>
        <w:spacing w:after="0" w:line="118"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Charges and credits are described in detail in Note 2 to the </w:t>
      </w:r>
      <w:r>
        <w:rPr>
          <w:rFonts w:ascii="Times New Roman" w:cs="Times New Roman" w:eastAsia="Times New Roman" w:hAnsi="Times New Roman"/>
          <w:sz w:val="14"/>
          <w:szCs w:val="14"/>
          <w:i w:val="1"/>
          <w:iCs w:val="1"/>
          <w:color w:val="auto"/>
        </w:rPr>
        <w:t>Consolidated Financial Statements</w:t>
      </w:r>
      <w:r>
        <w:rPr>
          <w:rFonts w:ascii="Times New Roman" w:cs="Times New Roman" w:eastAsia="Times New Roman" w:hAnsi="Times New Roman"/>
          <w:sz w:val="14"/>
          <w:szCs w:val="14"/>
          <w:color w:val="auto"/>
        </w:rPr>
        <w:t>.</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First-quarter 2022 revenue of $6.0 billion decreased 4% sequentially. Geographically, North America revenue was flat sequentially and international revenue declined 5% sequentially.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sequential revenue decline primarily reflects the typical seasonal activity decline in the Northern Hemisphere, with the decline in Europe/CIS/Africa more pronounced due to the depreciation of the ruble, as well as global supply chain constraints impacting Production Systems. In contrast, North America and Latin America revenue was essentially flat sequentially. By Division, Well Construction revenue was slightly higher than last quarter as strong drilling activity in North America, Latin America, and the Middle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East more than offset the seasonal reductions in Europe/CIS/Africa and Asia. Reservoir Performance, Production Systems, and Digital &amp; Integration were sequentially lower due to seasonal reductions in activity and sales.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Moving forward, the outlook for the rest of 2022—particularly in the second half—remains positive with both short- and long-cycle investments accelerating. Notably, a number of final investment decisions for long-cycle development projects have been approved, new contracts were awarded, offshore exploration drilling is resuming, and several customers have announced a significant step-up in their spending plans for this year and over the next few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it is Schlumberger’s view that increased activity—both on land and offshore—higher technology adoption, and pricing momentum will drive simultaneous growth internationally and in North America. This will result in a sequential seasonal rebound in the second quarter followed by significant growth in the second half of the year, particularly in the international market.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this backdrop and despite the uncertainty linked to Russia, Schlumberger believes the current market dynamics should allow it to maintain its full-year ambitions of year-on-year revenue growth in the mid-teens. Schlumberger’s positive outlook extends further into 2023 and beyond as it anticipates successive years of market growth. As demand continues to strengthen and new investments are committed to diversify energy supply, the duration and scale of this upcycle may potentially prove higher than originally anticipated, absent a setback in the economic recovery.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&amp; Integration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Digital &amp; Integration revenue of $857 million decreased 4% sequentially due to seasonally lower sales of digital and exploration data licenses primarily in North America and Europe/CIS/Africa. This decline was partially offset by strong contribution from our APS projects in Ecuador with the resumption of production following the pipeline disruptions in the previous quarter.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Digital &amp; Integration pretax operating margin of 34% contracted 372 bps sequentially primarily due to the effects of lower sales of digital and exploration data licenses.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Performance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Reservoir Performance revenue of $1.2 billion decreased 6% sequentially due to seasonal activity reductions, primarily in the Northern Hemisphere as well as reduced intervention and stimulation activity in Latin America. Revenue was also impacted by the depreciation of the ruble.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Reservoir Performance pretax operating margin of 13% contracted 232 bps sequentially due to reduced profitability from seasonally lower evaluation and stimulation activity, primarily in the Northern Hemisphere.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 Construction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Well Construction revenue of $2.4 billion was slightly higher sequentially driven by strong drilling activity in North America, Latin America, and the Middle East that was largely offset by seasonal reductions in Europe/CIS/Africa and Asia as well as the effects of the depreciation of the ruble.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Construction pretax operating margin of 16% expanded 77 bps sequentially due to improved profitability in integrated drilling.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Systems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Production Systems revenue of $1.6 billion declined 9% sequentially due to lower sales of well production systems across all areas and reduced revenue from subsea projects. Revenue was temporarily impacted by supply chain and logistics constraints resulting in lower-than-expected product deliveries.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Production Systems pretax operating margin of 7% declined 192 bps sequentially. The margin contraction was primarily due to reduced profitability in well production systems driven by the impact of global supply chain and logistics constraints.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2022 Compared to First Quarter 2021</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First Quarter 2022</w:t>
            </w:r>
          </w:p>
        </w:tc>
        <w:tc>
          <w:tcPr>
            <w:tcW w:w="160" w:type="dxa"/>
            <w:vAlign w:val="bottom"/>
          </w:tcPr>
          <w:p>
            <w:pPr>
              <w:spacing w:after="0"/>
              <w:rPr>
                <w:sz w:val="24"/>
                <w:szCs w:val="24"/>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First Quarter 2021</w:t>
            </w:r>
          </w:p>
        </w:tc>
      </w:tr>
      <w:tr>
        <w:trPr>
          <w:trHeight w:val="214"/>
        </w:trPr>
        <w:tc>
          <w:tcPr>
            <w:tcW w:w="5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Income</w:t>
            </w:r>
          </w:p>
        </w:tc>
        <w:tc>
          <w:tcPr>
            <w:tcW w:w="100" w:type="dxa"/>
            <w:vAlign w:val="bottom"/>
          </w:tcPr>
          <w:p>
            <w:pPr>
              <w:spacing w:after="0"/>
              <w:rPr>
                <w:sz w:val="18"/>
                <w:szCs w:val="18"/>
                <w:color w:val="auto"/>
              </w:rPr>
            </w:pPr>
          </w:p>
        </w:tc>
      </w:tr>
      <w:tr>
        <w:trPr>
          <w:trHeight w:val="229"/>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Before</w:t>
            </w:r>
          </w:p>
        </w:tc>
      </w:tr>
      <w:tr>
        <w:trPr>
          <w:trHeight w:val="238"/>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6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Taxes</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(107)</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(60)</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(164)</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5,962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380" w:right="20" w:hanging="372"/>
        <w:spacing w:after="0" w:line="195" w:lineRule="auto"/>
        <w:tabs>
          <w:tab w:leader="none" w:pos="38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Times New Roman" w:cs="Times New Roman" w:eastAsia="Times New Roman" w:hAnsi="Times New Roman"/>
          <w:sz w:val="28"/>
          <w:szCs w:val="28"/>
          <w:color w:val="auto"/>
          <w:vertAlign w:val="superscript"/>
        </w:rPr>
      </w:pPr>
    </w:p>
    <w:p>
      <w:pPr>
        <w:ind w:left="380" w:hanging="372"/>
        <w:spacing w:after="0" w:line="231" w:lineRule="auto"/>
        <w:tabs>
          <w:tab w:leader="none" w:pos="38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($12 million in 2022; $1 million in 2021).</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($3 million in 2022; $4 million in 2021).</w:t>
      </w:r>
    </w:p>
    <w:p>
      <w:pPr>
        <w:spacing w:after="0" w:line="118"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Charges and credits are described in detail in Note 2 to the </w:t>
      </w:r>
      <w:r>
        <w:rPr>
          <w:rFonts w:ascii="Times New Roman" w:cs="Times New Roman" w:eastAsia="Times New Roman" w:hAnsi="Times New Roman"/>
          <w:sz w:val="14"/>
          <w:szCs w:val="14"/>
          <w:i w:val="1"/>
          <w:iCs w:val="1"/>
          <w:color w:val="auto"/>
        </w:rPr>
        <w:t>Consolidated Financial Statements.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quarter 2022 revenue of $6.0 billion increased 14% year-on-year. Year-on-year revenue growth was led by Well Construction and Reservoir Performance, both of which grew more than 20%—outperforming global rig count growth. Digital &amp; Integration revenue grew 11%, while Production Systems revenue increased 1%. In Digital &amp; Integration, growth was driven by strong digital sales, increased exploration data license sales, and higher revenue from APS projects. In contrast, Production Systems growth was temporarily hampered by ongoing supply chain and logistics constraints, resulting in lower-than-expected product deliveries.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geographical basis, revenue growth compared to the same quarter last year was broad-based, with international revenue increasing 10% and North America growing 32%. International growth was widespread across all areas, led by Latin America. Europe/CIS/Africa grew primarily from higher Production Systems sales in Turkey and increased exploration drilling in offshore Africa. Middle East &amp; Asia revenue increased due to higher drilling, stimulation, and intervention activity. In North America, growth was pervasive across drilling and completions activity, coupled with a strong contribution from the APS project in Canada.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&amp; Integration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quarter 2022 revenue increased 11% to $0.9 billion, with growth in all areas driven by strong digital sales, increased exploration data license sales, and higher revenue from APS projects.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Year-on-year, pretax operating margin expanded 201 bps to 34% with improvement across all areas due to increased profitability in digital, exploration data licenses, and APS projects.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Performance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quarter 2022 revenue increased 21% to $1.2 billion as double-digit growth was posted in evaluation, intervention, and stimulation services both on land and offshore, with more exploration-related activity during the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operating margin expanded 299 bps year-on-year to 13%, due to improved profitability in evaluation and intervention activity.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Well Construction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First quarter 2022 revenue of $2.4 billion increased 24% year-on-year. Double-digit growth was recorded in drilling fluids, measurements, and in integrated drilling activity both on land and offshore.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Pretax operating margin expanded 534 bps year-on-year to 16%, with profitability improving in integrated drilling, equipment sales, and measurements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Systems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quarter revenue of $1.6 billion increased 1% year-on-year. Double-digit growth in North America and Europe &amp; Africa was driven by new projects in contrast to reductions in Middle East &amp; Asia and Latin America resulting from the end of projects and temporary supply chain constraints.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Pretax operating margin of 7% declined 159 bps year-on-year. The margin contraction was primarily due to reduced profitability in well production systems driven primarily by the impact of global supply chain and logistics constraints.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and Other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&amp; other income </w:t>
      </w:r>
      <w:r>
        <w:rPr>
          <w:rFonts w:ascii="Times New Roman" w:cs="Times New Roman" w:eastAsia="Times New Roman" w:hAnsi="Times New Roman"/>
          <w:sz w:val="18"/>
          <w:szCs w:val="18"/>
          <w:color w:val="auto"/>
        </w:rPr>
        <w:t>consisted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(Stated in millions)</w:t>
            </w:r>
          </w:p>
        </w:tc>
      </w:tr>
      <w:tr>
        <w:trPr>
          <w:trHeight w:val="459"/>
        </w:trPr>
        <w:tc>
          <w:tcPr>
            <w:tcW w:w="5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260" w:type="dxa"/>
            <w:vAlign w:val="bottom"/>
            <w:tcBorders>
              <w:bottom w:val="single" w:sz="8" w:color="CFF0FC"/>
            </w:tcBorders>
          </w:tcPr>
          <w:p>
            <w:pPr>
              <w:spacing w:after="0"/>
              <w:rPr>
                <w:sz w:val="19"/>
                <w:szCs w:val="19"/>
                <w:color w:val="auto"/>
              </w:rPr>
            </w:pPr>
          </w:p>
        </w:tc>
        <w:tc>
          <w:tcPr>
            <w:tcW w:w="24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of equity method investments</w:t>
            </w:r>
          </w:p>
        </w:tc>
        <w:tc>
          <w:tcPr>
            <w:tcW w:w="2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3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Liberty shares</w:t>
            </w:r>
          </w:p>
        </w:tc>
        <w:tc>
          <w:tcPr>
            <w:tcW w:w="24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2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&amp; engineering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&amp; administrative </w:t>
      </w:r>
      <w:r>
        <w:rPr>
          <w:rFonts w:ascii="Times New Roman" w:cs="Times New Roman" w:eastAsia="Times New Roman" w:hAnsi="Times New Roman"/>
          <w:sz w:val="18"/>
          <w:szCs w:val="18"/>
          <w:color w:val="auto"/>
        </w:rPr>
        <w:t>expenses, as a percentage of</w:t>
      </w:r>
      <w:r>
        <w:rPr>
          <w:rFonts w:ascii="Times New Roman" w:cs="Times New Roman" w:eastAsia="Times New Roman" w:hAnsi="Times New Roman"/>
          <w:sz w:val="18"/>
          <w:szCs w:val="18"/>
          <w:i w:val="1"/>
          <w:iCs w:val="1"/>
          <w:color w:val="auto"/>
        </w:rPr>
        <w:t xml:space="preserve"> Revenue</w:t>
      </w:r>
      <w:r>
        <w:rPr>
          <w:rFonts w:ascii="Times New Roman" w:cs="Times New Roman" w:eastAsia="Times New Roman" w:hAnsi="Times New Roman"/>
          <w:sz w:val="18"/>
          <w:szCs w:val="18"/>
          <w:color w:val="auto"/>
        </w:rPr>
        <w:t>, for the first quarter ended March 31, 2022 and 2021 were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w:t>
      </w:r>
    </w:p>
    <w:p>
      <w:pPr>
        <w:spacing w:after="0" w:line="1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b w:val="1"/>
          <w:bCs w:val="1"/>
          <w:color w:val="auto"/>
        </w:rPr>
        <w:t>First Quarter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FF0FC"/>
            </w:tcBorders>
          </w:tcPr>
          <w:p>
            <w:pPr>
              <w:spacing w:after="0"/>
              <w:rPr>
                <w:sz w:val="19"/>
                <w:szCs w:val="19"/>
                <w:color w:val="auto"/>
              </w:rPr>
            </w:pPr>
          </w:p>
        </w:tc>
      </w:tr>
      <w:tr>
        <w:trPr>
          <w:trHeight w:val="22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&amp; engineering</w:t>
            </w:r>
          </w:p>
        </w:tc>
        <w:tc>
          <w:tcPr>
            <w:tcW w:w="1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for the first quarter of 2022 was 18%, as compared to 19% for the same period of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Charges and Credits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31, 2020, Schlumberger contributed its onshore hydraulic fracturing business in the United States and Canada, including its pressure pumping, pumpdown perforating and Permian frac sand business to Liberty Energy Inc. (“Liberty”) in exchange for an equity interest in Liberty. During the first quarter of 2022, Schlumberger sold 7.2 million of its shares of Liberty and received proceeds of $84 million. As a result of this transaction Schlumberger recognized a gain of $26 million. This gain is classified in </w:t>
      </w:r>
      <w:r>
        <w:rPr>
          <w:rFonts w:ascii="Times New Roman" w:cs="Times New Roman" w:eastAsia="Times New Roman" w:hAnsi="Times New Roman"/>
          <w:sz w:val="18"/>
          <w:szCs w:val="18"/>
          <w:i w:val="1"/>
          <w:iCs w:val="1"/>
          <w:color w:val="auto"/>
        </w:rPr>
        <w:t>Interest &amp;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As of March 31, 2022, Schlumberger had a 27% equity interest in Liberty.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did not record any charges or credits during the first quarter of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components of liquidity as well as changes in liquidity follow: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3"/>
        </w:trPr>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Mar. 31,</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Mar.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 31,</w:t>
            </w:r>
          </w:p>
        </w:tc>
      </w:tr>
      <w:tr>
        <w:trPr>
          <w:trHeight w:val="238"/>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Components of Liquidity:</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20"/>
                <w:szCs w:val="20"/>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(923)</w:t>
            </w:r>
          </w:p>
        </w:tc>
        <w:tc>
          <w:tcPr>
            <w:tcW w:w="100" w:type="dxa"/>
            <w:vAlign w:val="bottom"/>
            <w:shd w:val="clear" w:color="auto" w:fill="CFF0FC"/>
          </w:tcPr>
          <w:p>
            <w:pPr>
              <w:spacing w:after="0"/>
              <w:rPr>
                <w:sz w:val="19"/>
                <w:szCs w:val="19"/>
                <w:color w:val="auto"/>
              </w:rPr>
            </w:pPr>
          </w:p>
        </w:tc>
        <w:tc>
          <w:tcPr>
            <w:tcW w:w="1500" w:type="dxa"/>
            <w:vAlign w:val="bottom"/>
            <w:gridSpan w:val="5"/>
            <w:shd w:val="clear" w:color="auto" w:fill="CFF0FC"/>
          </w:tcPr>
          <w:p>
            <w:pPr>
              <w:jc w:val="right"/>
              <w:ind w:right="144"/>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(909)</w:t>
            </w: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(13,163)</w:t>
            </w:r>
          </w:p>
        </w:tc>
        <w:tc>
          <w:tcPr>
            <w:tcW w:w="100" w:type="dxa"/>
            <w:vAlign w:val="bottom"/>
          </w:tcPr>
          <w:p>
            <w:pPr>
              <w:spacing w:after="0"/>
              <w:rPr>
                <w:sz w:val="19"/>
                <w:szCs w:val="19"/>
                <w:color w:val="auto"/>
              </w:rPr>
            </w:pPr>
          </w:p>
        </w:tc>
        <w:tc>
          <w:tcPr>
            <w:tcW w:w="1500" w:type="dxa"/>
            <w:vAlign w:val="bottom"/>
            <w:gridSpan w:val="5"/>
          </w:tcPr>
          <w:p>
            <w:pPr>
              <w:jc w:val="right"/>
              <w:ind w:right="144"/>
              <w:spacing w:after="0"/>
              <w:rPr>
                <w:sz w:val="20"/>
                <w:szCs w:val="20"/>
                <w:color w:val="auto"/>
              </w:rPr>
            </w:pPr>
            <w:r>
              <w:rPr>
                <w:rFonts w:ascii="Times New Roman" w:cs="Times New Roman" w:eastAsia="Times New Roman" w:hAnsi="Times New Roman"/>
                <w:sz w:val="18"/>
                <w:szCs w:val="18"/>
                <w:color w:val="auto"/>
              </w:rPr>
              <w:t>(15,834)</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(13,286)</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15"/>
                <w:szCs w:val="15"/>
                <w:color w:val="auto"/>
              </w:rPr>
              <w:t>(1)</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9"/>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Mar. 31,</w:t>
            </w:r>
          </w:p>
        </w:tc>
      </w:tr>
      <w:tr>
        <w:trPr>
          <w:trHeight w:val="223"/>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Changes in Liquidity:</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260" w:type="dxa"/>
            <w:vAlign w:val="bottom"/>
            <w:shd w:val="clear" w:color="auto" w:fill="CFF0FC"/>
          </w:tcPr>
          <w:p>
            <w:pPr>
              <w:spacing w:after="0"/>
              <w:rPr>
                <w:sz w:val="19"/>
                <w:szCs w:val="19"/>
                <w:color w:val="auto"/>
              </w:rPr>
            </w:pPr>
          </w:p>
        </w:tc>
        <w:tc>
          <w:tcPr>
            <w:tcW w:w="6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(2)</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of equity method investments, less dividends received</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Increase in working capital </w:t>
            </w:r>
            <w:r>
              <w:rPr>
                <w:rFonts w:ascii="Times New Roman" w:cs="Times New Roman" w:eastAsia="Times New Roman" w:hAnsi="Times New Roman"/>
                <w:sz w:val="15"/>
                <w:szCs w:val="15"/>
                <w:color w:val="auto"/>
              </w:rPr>
              <w:t>(3)</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(948)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(55)</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APS investments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Multiclient seismic data costs capitalized</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5"/>
                <w:szCs w:val="15"/>
                <w:b w:val="1"/>
                <w:bCs w:val="1"/>
                <w:color w:val="auto"/>
              </w:rPr>
              <w:t>(4)</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 plus debt assumed</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Liberty shares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(105)</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debt before impact of changes in foreign exchange rates on net debt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changes in foreign exchange rates on net debt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debt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debt, beginning of period </w:t>
            </w:r>
            <w:r>
              <w:rPr>
                <w:rFonts w:ascii="Times New Roman" w:cs="Times New Roman" w:eastAsia="Times New Roman" w:hAnsi="Times New Roman"/>
                <w:sz w:val="15"/>
                <w:szCs w:val="15"/>
                <w:color w:val="auto"/>
              </w:rPr>
              <w:t>(1)</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(11,056)</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(13,880)</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debt, end of period </w:t>
            </w:r>
            <w:r>
              <w:rPr>
                <w:rFonts w:ascii="Times New Roman" w:cs="Times New Roman" w:eastAsia="Times New Roman" w:hAnsi="Times New Roman"/>
                <w:sz w:val="15"/>
                <w:szCs w:val="15"/>
                <w:color w:val="auto"/>
              </w:rPr>
              <w:t>(1)</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(11,437)</w:t>
            </w:r>
          </w:p>
        </w:tc>
        <w:tc>
          <w:tcPr>
            <w:tcW w:w="2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left="380" w:hanging="372"/>
        <w:spacing w:after="0" w:line="214" w:lineRule="auto"/>
        <w:tabs>
          <w:tab w:leader="none" w:pos="380"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Times New Roman" w:cs="Times New Roman" w:eastAsia="Times New Roman" w:hAnsi="Times New Roman"/>
          <w:sz w:val="28"/>
          <w:szCs w:val="28"/>
          <w:color w:val="auto"/>
          <w:vertAlign w:val="superscript"/>
        </w:rPr>
      </w:pPr>
    </w:p>
    <w:p>
      <w:pPr>
        <w:ind w:left="380" w:hanging="372"/>
        <w:spacing w:after="0" w:line="231" w:lineRule="auto"/>
        <w:tabs>
          <w:tab w:leader="none" w:pos="380"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multiclient seismic data costs, and APS investments.</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severance payments of $22 million and $112 million during the three months ended March 31, 2022 and 2021, respectively.</w:t>
      </w:r>
    </w:p>
    <w:p>
      <w:pPr>
        <w:spacing w:after="0" w:line="118" w:lineRule="exact"/>
        <w:rPr>
          <w:rFonts w:ascii="Times New Roman" w:cs="Times New Roman" w:eastAsia="Times New Roman" w:hAnsi="Times New Roman"/>
          <w:sz w:val="22"/>
          <w:szCs w:val="22"/>
          <w:color w:val="auto"/>
          <w:vertAlign w:val="superscript"/>
        </w:rPr>
      </w:pPr>
    </w:p>
    <w:p>
      <w:pPr>
        <w:jc w:val="both"/>
        <w:ind w:left="380" w:hanging="372"/>
        <w:spacing w:after="0" w:line="227" w:lineRule="auto"/>
        <w:tabs>
          <w:tab w:leader="none" w:pos="380"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liquidity events during the first three months of 2022 and 2021 included:</w:t>
      </w:r>
    </w:p>
    <w:p>
      <w:pPr>
        <w:spacing w:after="0" w:line="185" w:lineRule="exact"/>
        <w:rPr>
          <w:sz w:val="20"/>
          <w:szCs w:val="20"/>
          <w:color w:val="auto"/>
        </w:rPr>
      </w:pPr>
    </w:p>
    <w:p>
      <w:pPr>
        <w:ind w:left="38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investments (consisting of capital expenditures, APS investments and multiclient seismic data capitalized) were $0.5 billion during the first three months of 2022 compared to $0.3 billion during the first three months of 2021. Capital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18"/>
          <w:szCs w:val="18"/>
          <w:color w:val="auto"/>
        </w:rPr>
        <w:t>during the full year of 2022 are expected to be between $1.9 billion and $2.0 billion as compared to $1.7 billion for the full year 2021.</w:t>
      </w:r>
    </w:p>
    <w:p>
      <w:pPr>
        <w:spacing w:after="0" w:line="185" w:lineRule="exact"/>
        <w:rPr>
          <w:sz w:val="20"/>
          <w:szCs w:val="20"/>
          <w:color w:val="auto"/>
        </w:rPr>
      </w:pPr>
    </w:p>
    <w:p>
      <w:pPr>
        <w:jc w:val="both"/>
        <w:ind w:left="38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2022 working capital consumed $948 million of liquidity as compared to $455 million during the same quarter of 2021. The year-on-year increase in working capital consumption was primarily driven by an increase in inventory ahead of the anticipated growth as well as an increase in receivables following the exceptional cash collections experienced in the fourth quarter of 2021.</w:t>
      </w:r>
    </w:p>
    <w:p>
      <w:pPr>
        <w:spacing w:after="0" w:line="13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2016, the Board approved a $10 billion share repurchase program for Schlumberger common stock. Schlumberger had repurchased $1.0 billion of Schlumberger common stock under this program as of March 31, 2022. Schlumberger did not repurchase any of its common stock during the first three months of 2022.</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2022, Schlumberger had $2.65 billion of cash and short-term investments on hand. Schlumberger had committed debt facility agreements aggregating $6.58 billion, all of which was available and unused. Schlumberger believes these amounts are sufficient to meet future business requirements for at least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under the commercial paper programs at March 31, 2022.</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21, 2022, Schlumberger’s Board of Directors approved a 40% increase in the quarterly cash dividend from $0.125 per share of outstanding common stock to $0.175 per share, beginning with the dividend payable on July 14, 2022, to stockholders of record on June 1, 2022.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Schlumberger’s customers were to deteriorate resulting in an impairment of their ability to make payments. As a large multinational company with a long history of operating in a cyclical industry, Schlumberger has extensive experience in working with its customers during difficult times to manage its accounts receivable.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Schlumberger generates revenue in more than 120 countries. As of March 31, 2022, only four of those countries individually accounted for greater than 5% of Schlumberger’s net receivable balance, of which only two (the United States and Mexico) accounted for greater than 10% of such receivables.</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Receivables, less allowance for doubtful accounts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as of March 31, 2022 is approximately $0.6 billion of receivables relating to Mexico. Schlumberger’s receivables from its primary customer in Mexico are not in dispute and Schlumberger has not historically had any material write-offs due to uncollectible accounts receivable relating to this customer.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first-quarter 2022 Form 10-Q,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“forecast,” “estimate,” “intend,” “anticipate,” “ambition,” “goal,” “target,” “think,” “should,” “could,” “would,” “will,” “see,” “likely,” and other similar words. Forward-looking statements address matters that are, to varying degrees, uncertain, such as statements about Schlumberger’s financial and performance targets and other forecasts or expectations regarding, or dependent on, its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Schlumberger and the oil and gas industry; the business strategies of Schlumberger, including digital and “fit for basin,” as well as the strategies of Schlumberger’s customers; Schlumberger’s effective tax rate; Schlumberger’s APS projects, joint ventures, and other alliances; Schlumberger’s response to the COVID-19 pandemic and its preparedness for other widespread health emergencies; the impact of the ongoing conflict in Ukraine on global energy supply; access to raw materials; future global economic and geopolitical conditions; future liquidity; and future results of operations, such as margin levels. These statements are subject to risks and uncertainties, including, but not limited to, changing global economic and geopolitical conditions; changes in exploration and production spending by Schlumberger’s customers and changes in the level of oil and natural gas exploration and development; the results of operations and financial condition of Schlumberger’s customers and suppliers; Schlumberger’s inability to achieve its financial and performance targets and other forecasts and expectations; Schlumberger’s inability to achieve net-zero carbon emissions goals or interim emissions reduction goals; general economic, geopolitical and business conditions in key regions of the world; the ongoing conflict in Ukraine; foreign currency risk;</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spacing w:after="0" w:line="252" w:lineRule="auto"/>
        <w:rPr>
          <w:sz w:val="20"/>
          <w:szCs w:val="20"/>
          <w:color w:val="auto"/>
        </w:rPr>
      </w:pPr>
      <w:r>
        <w:rPr>
          <w:rFonts w:ascii="Times New Roman" w:cs="Times New Roman" w:eastAsia="Times New Roman" w:hAnsi="Times New Roman"/>
          <w:sz w:val="18"/>
          <w:szCs w:val="18"/>
          <w:color w:val="auto"/>
        </w:rPr>
        <w:t>pricing pressure; inflation; weather and seasonal factors; unfavorable effects of health pandemics; availability and cost of raw materials; operational modifications, delays or cancellations; challenges in Schlumberger’s supply chain; production declines; the extent of future charges; Schlumberger’s inability to recognize efficiencies and other intended benefits from its business strategies and initiatives, such as digital or Schlumberger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first-quarter 2022 Form 10-Q are made as of April 27, 2022, and Schlumberger disclaims any intention or obligation to update publicly or revise such statements, whether as a result of new information, future events or otherwise.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2021. Schlumberger’s exposure to market risk has not changed materially since December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with respect to this Item 1 is set forth under Note 9—</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in the accompanying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from the risk factors disclosed in Part 1, Item 1A, of Schlumberger’s Annual Report on Form 10-K for the fiscal year ended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 Repurchases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Schlumberger had repurchased $1.0 billion of Schlumberger common stock under its $10 billion share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did not repurchase any of its common stock during the first quarter of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Schlumberger’s residual transactions or dealings with the government of Iran during the first quarter of 2022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02" w:lineRule="exact"/>
        <w:rPr>
          <w:sz w:val="20"/>
          <w:szCs w:val="20"/>
          <w:color w:val="auto"/>
        </w:rPr>
      </w:pPr>
    </w:p>
    <w:p>
      <w:pPr>
        <w:ind w:left="440"/>
        <w:spacing w:after="0" w:line="282" w:lineRule="auto"/>
        <w:rPr>
          <w:rFonts w:ascii="Times New Roman" w:cs="Times New Roman" w:eastAsia="Times New Roman" w:hAnsi="Times New Roman"/>
          <w:sz w:val="18"/>
          <w:szCs w:val="18"/>
          <w:u w:val="single" w:color="auto"/>
          <w:color w:val="0000FF"/>
        </w:rPr>
      </w:pPr>
      <w:hyperlink r:id="rId35">
        <w:r>
          <w:rPr>
            <w:rFonts w:ascii="Times New Roman" w:cs="Times New Roman" w:eastAsia="Times New Roman" w:hAnsi="Times New Roman"/>
            <w:sz w:val="18"/>
            <w:szCs w:val="18"/>
            <w:color w:val="auto"/>
          </w:rPr>
          <w:t>Exhibit 3.1—</w:t>
        </w:r>
        <w:r>
          <w:rPr>
            <w:rFonts w:ascii="Times New Roman" w:cs="Times New Roman" w:eastAsia="Times New Roman" w:hAnsi="Times New Roman"/>
            <w:sz w:val="18"/>
            <w:szCs w:val="18"/>
            <w:u w:val="single" w:color="auto"/>
            <w:color w:val="0000FF"/>
          </w:rPr>
          <w:t>Articles of Incorporation of Schlumberger Limited (Schlumberger N.V.) (incorporated by reference to Exhibit 3.1 to Schlumberger’s</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FF"/>
          </w:rPr>
          <w:t>Current Report on Form 8-K filed on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-185420</wp:posOffset>
            </wp:positionV>
            <wp:extent cx="62185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2185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-48260</wp:posOffset>
            </wp:positionV>
            <wp:extent cx="23736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373630" cy="8890"/>
                    </a:xfrm>
                    <a:prstGeom prst="rect">
                      <a:avLst/>
                    </a:prstGeom>
                    <a:noFill/>
                  </pic:spPr>
                </pic:pic>
              </a:graphicData>
            </a:graphic>
          </wp:anchor>
        </w:drawing>
      </w:r>
    </w:p>
    <w:p>
      <w:pPr>
        <w:spacing w:after="0" w:line="7" w:lineRule="exact"/>
        <w:rPr>
          <w:sz w:val="20"/>
          <w:szCs w:val="20"/>
          <w:color w:val="auto"/>
        </w:rPr>
      </w:pPr>
    </w:p>
    <w:p>
      <w:pPr>
        <w:ind w:left="440"/>
        <w:spacing w:after="0" w:line="282" w:lineRule="auto"/>
        <w:rPr>
          <w:rFonts w:ascii="Times New Roman" w:cs="Times New Roman" w:eastAsia="Times New Roman" w:hAnsi="Times New Roman"/>
          <w:sz w:val="18"/>
          <w:szCs w:val="18"/>
          <w:u w:val="single" w:color="auto"/>
          <w:color w:val="0000FF"/>
        </w:rPr>
      </w:pPr>
      <w:hyperlink r:id="rId38">
        <w:r>
          <w:rPr>
            <w:rFonts w:ascii="Times New Roman" w:cs="Times New Roman" w:eastAsia="Times New Roman" w:hAnsi="Times New Roman"/>
            <w:sz w:val="18"/>
            <w:szCs w:val="18"/>
            <w:color w:val="auto"/>
          </w:rPr>
          <w:t>Exhibit 3.2—</w:t>
        </w:r>
        <w:r>
          <w:rPr>
            <w:rFonts w:ascii="Times New Roman" w:cs="Times New Roman" w:eastAsia="Times New Roman" w:hAnsi="Times New Roman"/>
            <w:sz w:val="18"/>
            <w:szCs w:val="18"/>
            <w:u w:val="single" w:color="auto"/>
            <w:color w:val="0000FF"/>
          </w:rPr>
          <w:t>Amended and Restated By-laws of Schlumberger Limited (Schlumberger N.V.) (incorporated by reference to Exhibit 3 to</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FF"/>
          </w:rPr>
          <w:t>Schlumberger’s Current Report on Form 8-K filed on July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-185420</wp:posOffset>
            </wp:positionV>
            <wp:extent cx="6189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-48260</wp:posOffset>
            </wp:positionV>
            <wp:extent cx="31280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128010" cy="8255"/>
                    </a:xfrm>
                    <a:prstGeom prst="rect">
                      <a:avLst/>
                    </a:prstGeom>
                    <a:noFill/>
                  </pic:spPr>
                </pic:pic>
              </a:graphicData>
            </a:graphic>
          </wp:anchor>
        </w:drawing>
      </w:r>
    </w:p>
    <w:p>
      <w:pPr>
        <w:spacing w:after="0" w:line="7" w:lineRule="exact"/>
        <w:rPr>
          <w:sz w:val="20"/>
          <w:szCs w:val="20"/>
          <w:color w:val="auto"/>
        </w:rPr>
      </w:pPr>
    </w:p>
    <w:p>
      <w:pPr>
        <w:ind w:left="440" w:right="20" w:firstLine="9"/>
        <w:spacing w:after="0" w:line="282" w:lineRule="auto"/>
        <w:tabs>
          <w:tab w:leader="none" w:pos="60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w:t>
      </w:r>
      <w:r>
        <w:rPr>
          <w:rFonts w:ascii="Times New Roman" w:cs="Times New Roman" w:eastAsia="Times New Roman" w:hAnsi="Times New Roman"/>
          <w:sz w:val="18"/>
          <w:szCs w:val="18"/>
          <w:u w:val="single" w:color="auto"/>
          <w:color w:val="0000EE"/>
        </w:rPr>
        <w:t>Employment, Non-Competition and Non-Solicitation Agreement effective as of April 1, 2022, by and between Schlumberger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Limited and Ashok Belani (+)</w:t>
      </w:r>
    </w:p>
    <w:p>
      <w:pPr>
        <w:spacing w:after="0" w:line="26" w:lineRule="exact"/>
        <w:rPr>
          <w:rFonts w:ascii="Times New Roman" w:cs="Times New Roman" w:eastAsia="Times New Roman" w:hAnsi="Times New Roman"/>
          <w:sz w:val="18"/>
          <w:szCs w:val="18"/>
          <w:color w:val="auto"/>
        </w:rPr>
      </w:pPr>
    </w:p>
    <w:p>
      <w:pPr>
        <w:ind w:left="440" w:firstLine="9"/>
        <w:spacing w:after="0" w:line="282" w:lineRule="auto"/>
        <w:tabs>
          <w:tab w:leader="none" w:pos="60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10.2—</w:t>
      </w:r>
      <w:r>
        <w:rPr>
          <w:rFonts w:ascii="Times New Roman" w:cs="Times New Roman" w:eastAsia="Times New Roman" w:hAnsi="Times New Roman"/>
          <w:sz w:val="18"/>
          <w:szCs w:val="18"/>
          <w:u w:val="single" w:color="auto"/>
          <w:color w:val="0000EE"/>
        </w:rPr>
        <w:t>Employment, Non-Competition and Non-Solicitation Agreement effective as of May 1, 2022, by and between Schlumberger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Limited and Hinda Gharbi (+)</w:t>
      </w:r>
    </w:p>
    <w:p>
      <w:pPr>
        <w:spacing w:after="0" w:line="26" w:lineRule="exact"/>
        <w:rPr>
          <w:rFonts w:ascii="Times New Roman" w:cs="Times New Roman" w:eastAsia="Times New Roman" w:hAnsi="Times New Roman"/>
          <w:sz w:val="18"/>
          <w:szCs w:val="18"/>
          <w:color w:val="auto"/>
        </w:rPr>
      </w:pPr>
    </w:p>
    <w:p>
      <w:pPr>
        <w:ind w:left="440" w:firstLine="9"/>
        <w:spacing w:after="0" w:line="282" w:lineRule="auto"/>
        <w:tabs>
          <w:tab w:leader="none" w:pos="5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10.3—</w:t>
      </w:r>
      <w:r>
        <w:rPr>
          <w:rFonts w:ascii="Times New Roman" w:cs="Times New Roman" w:eastAsia="Times New Roman" w:hAnsi="Times New Roman"/>
          <w:sz w:val="18"/>
          <w:szCs w:val="18"/>
          <w:u w:val="single" w:color="auto"/>
          <w:color w:val="0000EE"/>
        </w:rPr>
        <w:t>Form of Performance Share Unit Award Agreement (Based on Free Cash Flow Margin Performance) under the Schlumberger 2017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Omnibus Stock Incentive Plan (+)</w:t>
      </w:r>
    </w:p>
    <w:p>
      <w:pPr>
        <w:spacing w:after="0" w:line="26" w:lineRule="exact"/>
        <w:rPr>
          <w:rFonts w:ascii="Times New Roman" w:cs="Times New Roman" w:eastAsia="Times New Roman" w:hAnsi="Times New Roman"/>
          <w:sz w:val="18"/>
          <w:szCs w:val="18"/>
          <w:color w:val="auto"/>
        </w:rPr>
      </w:pPr>
    </w:p>
    <w:p>
      <w:pPr>
        <w:ind w:left="440" w:firstLine="9"/>
        <w:spacing w:after="0" w:line="282" w:lineRule="auto"/>
        <w:tabs>
          <w:tab w:leader="none" w:pos="5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10.4—</w:t>
      </w:r>
      <w:r>
        <w:rPr>
          <w:rFonts w:ascii="Times New Roman" w:cs="Times New Roman" w:eastAsia="Times New Roman" w:hAnsi="Times New Roman"/>
          <w:sz w:val="18"/>
          <w:szCs w:val="18"/>
          <w:u w:val="single" w:color="auto"/>
          <w:color w:val="0000EE"/>
        </w:rPr>
        <w:t>Form of Performance Share Unit Award Agreement (Based on Return on Capital Employed Performance) under the Schlumberger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2017 Omnibus Stock Incentive Plan (+)</w:t>
      </w:r>
    </w:p>
    <w:p>
      <w:pPr>
        <w:spacing w:after="0" w:line="26" w:lineRule="exact"/>
        <w:rPr>
          <w:rFonts w:ascii="Times New Roman" w:cs="Times New Roman" w:eastAsia="Times New Roman" w:hAnsi="Times New Roman"/>
          <w:sz w:val="18"/>
          <w:szCs w:val="18"/>
          <w:color w:val="auto"/>
        </w:rPr>
      </w:pPr>
    </w:p>
    <w:p>
      <w:pPr>
        <w:ind w:left="440" w:firstLine="9"/>
        <w:spacing w:after="0" w:line="282" w:lineRule="auto"/>
        <w:tabs>
          <w:tab w:leader="none" w:pos="5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10.5—</w:t>
      </w:r>
      <w:r>
        <w:rPr>
          <w:rFonts w:ascii="Times New Roman" w:cs="Times New Roman" w:eastAsia="Times New Roman" w:hAnsi="Times New Roman"/>
          <w:sz w:val="18"/>
          <w:szCs w:val="18"/>
          <w:u w:val="single" w:color="auto"/>
          <w:color w:val="0000EE"/>
        </w:rPr>
        <w:t>Form of Performance Share Unit Award Agreement (Based on Relative TSR Performance) under the Schlumberger 2017 Omnibus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Stock Incentive Plan (+)</w:t>
      </w:r>
    </w:p>
    <w:p>
      <w:pPr>
        <w:spacing w:after="0" w:line="26"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22—</w:t>
      </w:r>
      <w:r>
        <w:rPr>
          <w:rFonts w:ascii="Times New Roman" w:cs="Times New Roman" w:eastAsia="Times New Roman" w:hAnsi="Times New Roman"/>
          <w:sz w:val="18"/>
          <w:szCs w:val="18"/>
          <w:u w:val="single" w:color="auto"/>
          <w:color w:val="0000EE"/>
        </w:rPr>
        <w:t>Issuers of Registered Guaranteed Debt Securities</w:t>
      </w:r>
    </w:p>
    <w:p>
      <w:pPr>
        <w:spacing w:after="0" w:line="90" w:lineRule="exact"/>
        <w:rPr>
          <w:rFonts w:ascii="Times New Roman" w:cs="Times New Roman" w:eastAsia="Times New Roman" w:hAnsi="Times New Roman"/>
          <w:sz w:val="18"/>
          <w:szCs w:val="18"/>
          <w:color w:val="auto"/>
        </w:rPr>
      </w:pPr>
    </w:p>
    <w:p>
      <w:pPr>
        <w:ind w:left="440" w:firstLine="9"/>
        <w:spacing w:after="0" w:line="282" w:lineRule="auto"/>
        <w:tabs>
          <w:tab w:leader="none" w:pos="5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31.1—</w:t>
      </w:r>
      <w:r>
        <w:rPr>
          <w:rFonts w:ascii="Times New Roman" w:cs="Times New Roman" w:eastAsia="Times New Roman" w:hAnsi="Times New Roman"/>
          <w:sz w:val="18"/>
          <w:szCs w:val="18"/>
          <w:u w:val="single" w:color="auto"/>
          <w:color w:val="0000EE"/>
        </w:rPr>
        <w:t>Certification of Chief Executive Officer pursuant to Rule 13a-14(a) of the Securities Exchange Act of 1934, as amended, as adopted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pursuant to Section 302 of the Sarbanes-Oxley Act of 2002</w:t>
      </w:r>
    </w:p>
    <w:p>
      <w:pPr>
        <w:spacing w:after="0" w:line="26" w:lineRule="exact"/>
        <w:rPr>
          <w:rFonts w:ascii="Times New Roman" w:cs="Times New Roman" w:eastAsia="Times New Roman" w:hAnsi="Times New Roman"/>
          <w:sz w:val="18"/>
          <w:szCs w:val="18"/>
          <w:color w:val="auto"/>
        </w:rPr>
      </w:pPr>
    </w:p>
    <w:p>
      <w:pPr>
        <w:ind w:left="440" w:firstLine="9"/>
        <w:spacing w:after="0" w:line="282" w:lineRule="auto"/>
        <w:tabs>
          <w:tab w:leader="none" w:pos="5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31.2—</w:t>
      </w:r>
      <w:r>
        <w:rPr>
          <w:rFonts w:ascii="Times New Roman" w:cs="Times New Roman" w:eastAsia="Times New Roman" w:hAnsi="Times New Roman"/>
          <w:sz w:val="18"/>
          <w:szCs w:val="18"/>
          <w:u w:val="single" w:color="auto"/>
          <w:color w:val="0000EE"/>
        </w:rPr>
        <w:t>Certification of Chief Financial Officer pursuant to Rule 13a-14(a) of the Securities Exchange Act of 1934, as amended, as adopted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pursuant to Section 302 of the Sarbanes-Oxley Act of 2002</w:t>
      </w:r>
    </w:p>
    <w:p>
      <w:pPr>
        <w:spacing w:after="0" w:line="27" w:lineRule="exact"/>
        <w:rPr>
          <w:sz w:val="20"/>
          <w:szCs w:val="20"/>
          <w:color w:val="auto"/>
        </w:rPr>
      </w:pPr>
    </w:p>
    <w:p>
      <w:pPr>
        <w:ind w:left="440" w:firstLine="9"/>
        <w:spacing w:after="0" w:line="282" w:lineRule="auto"/>
        <w:tabs>
          <w:tab w:leader="none" w:pos="6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w:t>
      </w:r>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 Sarbanes-Oxley Act of 2002</w:t>
      </w:r>
    </w:p>
    <w:p>
      <w:pPr>
        <w:spacing w:after="0" w:line="26" w:lineRule="exact"/>
        <w:rPr>
          <w:rFonts w:ascii="Times New Roman" w:cs="Times New Roman" w:eastAsia="Times New Roman" w:hAnsi="Times New Roman"/>
          <w:sz w:val="18"/>
          <w:szCs w:val="18"/>
          <w:color w:val="auto"/>
        </w:rPr>
      </w:pPr>
    </w:p>
    <w:p>
      <w:pPr>
        <w:ind w:left="440" w:firstLine="9"/>
        <w:spacing w:after="0" w:line="282" w:lineRule="auto"/>
        <w:tabs>
          <w:tab w:leader="none" w:pos="6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32.2—</w:t>
      </w: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 Act of 2002</w:t>
      </w:r>
    </w:p>
    <w:p>
      <w:pPr>
        <w:spacing w:after="0" w:line="27" w:lineRule="exact"/>
        <w:rPr>
          <w:sz w:val="20"/>
          <w:szCs w:val="20"/>
          <w:color w:val="auto"/>
        </w:rPr>
      </w:pPr>
    </w:p>
    <w:p>
      <w:pPr>
        <w:ind w:left="580" w:hanging="131"/>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95—</w:t>
      </w:r>
      <w:r>
        <w:rPr>
          <w:rFonts w:ascii="Times New Roman" w:cs="Times New Roman" w:eastAsia="Times New Roman" w:hAnsi="Times New Roman"/>
          <w:sz w:val="18"/>
          <w:szCs w:val="18"/>
          <w:u w:val="single" w:color="auto"/>
          <w:color w:val="0000EE"/>
        </w:rPr>
        <w:t>Mine Safety Disclosures</w:t>
      </w:r>
    </w:p>
    <w:p>
      <w:pPr>
        <w:spacing w:after="0" w:line="90" w:lineRule="exact"/>
        <w:rPr>
          <w:rFonts w:ascii="Times New Roman" w:cs="Times New Roman" w:eastAsia="Times New Roman" w:hAnsi="Times New Roman"/>
          <w:sz w:val="18"/>
          <w:szCs w:val="18"/>
          <w:color w:val="auto"/>
        </w:rPr>
      </w:pPr>
    </w:p>
    <w:p>
      <w:pPr>
        <w:ind w:left="440" w:firstLine="9"/>
        <w:spacing w:after="0" w:line="282" w:lineRule="auto"/>
        <w:tabs>
          <w:tab w:leader="none" w:pos="5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101.INS—Inline XBRL Instance Document – the instance document does not appear in the Interactive Data File because XBRL tags are embedded within the Inline XBRL document</w:t>
      </w:r>
    </w:p>
    <w:p>
      <w:pPr>
        <w:spacing w:after="0" w:line="26"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101.SCH—Inline XBRL Taxonomy Extension Schema Document</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101.CAL—Inline XBRL Taxonomy Extension Calculation Linkbase Document</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101.DEF—Inline XBRL Taxonomy Extension Definition Linkbase Document</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101.LAB—Inline XBRL Taxonomy Extension Label Linkbase Document</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101.PRE—Inline XBRL Taxonomy Extension Presentation Linkbase Document</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 104—Cover Page Interactive Data File (embedded within the Inline XBRL document)</w:t>
      </w:r>
    </w:p>
    <w:p>
      <w:pPr>
        <w:spacing w:after="0" w:line="252"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Form 10-Q.</w:t>
      </w:r>
    </w:p>
    <w:p>
      <w:pPr>
        <w:spacing w:after="0" w:line="117"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Form 10-Q.</w:t>
      </w:r>
    </w:p>
    <w:p>
      <w:pPr>
        <w:spacing w:after="0" w:line="117" w:lineRule="exact"/>
        <w:rPr>
          <w:rFonts w:ascii="Times New Roman" w:cs="Times New Roman" w:eastAsia="Times New Roman" w:hAnsi="Times New Roman"/>
          <w:sz w:val="18"/>
          <w:szCs w:val="18"/>
          <w:color w:val="auto"/>
        </w:rPr>
      </w:pPr>
    </w:p>
    <w:p>
      <w:pPr>
        <w:ind w:left="280" w:hanging="260"/>
        <w:spacing w:after="0"/>
        <w:tabs>
          <w:tab w:leader="none" w:pos="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compensatory plans or arrangements.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color w:val="auto"/>
        </w:rPr>
        <w:t>Date:</w:t>
        <w:tab/>
        <w:t>April 27, 2022</w:t>
      </w:r>
      <w:r>
        <w:rPr>
          <w:sz w:val="20"/>
          <w:szCs w:val="20"/>
          <w:color w:val="auto"/>
        </w:rPr>
        <w:tab/>
      </w:r>
      <w:r>
        <w:rPr>
          <w:rFonts w:ascii="Times New Roman" w:cs="Times New Roman" w:eastAsia="Times New Roman" w:hAnsi="Times New Roman"/>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Howard Guild</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Chief Accounting Officer and Duly Authorized Signatory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NON-COMPETITION AND NON-SOLICITATION AGREEMENT</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THIS EMPLOYMENT, NON-COMPETITION AND NON-SOLICITATION AGREEMENT (as may be amended,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effective as of April 1, 2022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between SCHLUMBERGER LIMITED, a Curaçao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(the “Company”), and Ashok Belani, an individual residing in Houston, Texas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8"/>
        <w:spacing w:after="0" w:line="253" w:lineRule="exact"/>
        <w:tabs>
          <w:tab w:leader="none" w:pos="810"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Employment of Executive</w:t>
      </w:r>
      <w:r>
        <w:rPr>
          <w:rFonts w:ascii="Times New Roman" w:cs="Times New Roman" w:eastAsia="Times New Roman" w:hAnsi="Times New Roman"/>
          <w:sz w:val="22"/>
          <w:szCs w:val="22"/>
          <w:color w:val="auto"/>
        </w:rPr>
        <w:t>. In consideration of the mutual covenants and agreements herein contained, including Executive’s execution of a release of claims as provided in as Exhibit A to this Agreement, the Company and Executive enter into an agreement retaining Executive’s services as described herein, securing Executive’s non-competition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solicitation covenants, establishing certain incentive, tenure and performance criteria related to such employment, and otherwise fixing Executive’s benefits and compensation, all subject to the terms and conditions of this Agreement.</w:t>
      </w:r>
    </w:p>
    <w:p>
      <w:pPr>
        <w:spacing w:after="0" w:line="179" w:lineRule="exact"/>
        <w:rPr>
          <w:rFonts w:ascii="Times New Roman" w:cs="Times New Roman" w:eastAsia="Times New Roman" w:hAnsi="Times New Roman"/>
          <w:sz w:val="22"/>
          <w:szCs w:val="22"/>
          <w:color w:val="010000"/>
        </w:rPr>
      </w:pPr>
    </w:p>
    <w:p>
      <w:pPr>
        <w:jc w:val="both"/>
        <w:ind w:firstLine="8"/>
        <w:spacing w:after="0" w:line="246" w:lineRule="auto"/>
        <w:tabs>
          <w:tab w:leader="none" w:pos="810" w:val="left"/>
        </w:tabs>
        <w:numPr>
          <w:ilvl w:val="0"/>
          <w:numId w:val="2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 and Extent of Services</w:t>
      </w:r>
      <w:r>
        <w:rPr>
          <w:rFonts w:ascii="Times New Roman" w:cs="Times New Roman" w:eastAsia="Times New Roman" w:hAnsi="Times New Roman"/>
          <w:sz w:val="21"/>
          <w:szCs w:val="21"/>
          <w:color w:val="auto"/>
        </w:rPr>
        <w:t>. The term will commence on the Effective Date and will continue until the close of business on March 31, 2024 (the “Term”). During the Term, Executive will be employed by the Company and will have the title of Senior Strategic Advisor, reporting to the Company’s Chief Executive Officer, and shall be available to provide services as requested for 50% of his business time. This Agreement does not constitute a guarantee of continued employment but instead provides for certain obligations of, and rights and benefits for, Executive during the Term and in the event his employment with the Company terminates under the circumstances described herein. Effective as of the Effective Date, Executive hereby resigns from all positions, offices or directorships at the Company and its affiliates, other than the position of Advisor as contemplated above. At the expiration of the Term, or if Executive’s employment is terminated sooner pursuant to Section 4, effective as of such termination, Executive’s employment with the Company and all of its subsidiaries shall terminate.</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Nothing herein will prohibit Executive, during the Term, from being engaged as a consultant or employee to organizations or businesses or to be appointed to their boards of directors, except those identified as Unauthorized Competitors (as defined in Section 5). However, Executive additionally covenants that he will not accept employment with any oil and gas service company or any company that is a direct competitor of the existing portfolio of Schlumberger New Energy products without prior written approval of the CEO.</w:t>
      </w:r>
    </w:p>
    <w:p>
      <w:pPr>
        <w:spacing w:after="0" w:line="177" w:lineRule="exact"/>
        <w:rPr>
          <w:sz w:val="20"/>
          <w:szCs w:val="20"/>
          <w:color w:val="auto"/>
        </w:rPr>
      </w:pPr>
    </w:p>
    <w:p>
      <w:pPr>
        <w:ind w:left="820" w:hanging="812"/>
        <w:spacing w:after="0"/>
        <w:tabs>
          <w:tab w:leader="none" w:pos="8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and Payment and Benefits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left="1700" w:hanging="842"/>
        <w:spacing w:after="0" w:line="238" w:lineRule="auto"/>
        <w:tabs>
          <w:tab w:leader="none" w:pos="1700" w:val="left"/>
        </w:tabs>
        <w:numPr>
          <w:ilvl w:val="1"/>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Base Salary. </w:t>
      </w:r>
      <w:r>
        <w:rPr>
          <w:rFonts w:ascii="Times New Roman" w:cs="Times New Roman" w:eastAsia="Times New Roman" w:hAnsi="Times New Roman"/>
          <w:sz w:val="22"/>
          <w:szCs w:val="22"/>
          <w:color w:val="auto"/>
        </w:rPr>
        <w:t>During the Term, or if Executive’s employment is terminated sooner pursuant to Section 4, until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termination, Executive will be entitled to payment of annual base salary of $900,000, paid subject to applicable withholding and in accordance with the Company’s standard payroll practices for employees. The base salary amount shall be inclusive of any perquisite allowance, such that no additional amount will be paid to the Executive for any perquisite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jc w:val="both"/>
        <w:ind w:left="842" w:hanging="842"/>
        <w:spacing w:after="0" w:line="233" w:lineRule="auto"/>
        <w:tabs>
          <w:tab w:leader="none" w:pos="842"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Welfare Benefits</w:t>
      </w:r>
      <w:r>
        <w:rPr>
          <w:rFonts w:ascii="Times New Roman" w:cs="Times New Roman" w:eastAsia="Times New Roman" w:hAnsi="Times New Roman"/>
          <w:sz w:val="22"/>
          <w:szCs w:val="22"/>
          <w:color w:val="auto"/>
        </w:rPr>
        <w:t>. During the Term, or if Executive’s employment is terminated sooner pursuant to Section 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until such termination, Executive shall be eligible to participate in the Company’s group health, welfare and insurance plans (e.g., medical, dental, vision, life insurance, short- and long-term disability, etc.) (collectively, “Company Welfare Plans”) on a basis comparable to that of other United States employees of the Company and as such plans may be amended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Executive accepts employment with another entity, or engages on a substantially full-time basis as a consultant with any other entity, then Executive will no longer be eligible to participate in, and shall cease participating in, all Company Welfare Plans, effective as of the date of such acceptance of employment or commencement of such consulting services, regardless whether this Agreement remains in effect after such date as permitted by the second paragraph of Section 4(d). For the avoidance of doubt, the non-competition covenant contained in Section (5)(b)(i) is not the subject of this proviso, and nothing in this Section 3(b) shall be construed to vitiate Section (5)(b)(i) or any other provision of this Agreement relating to Unauthorized Competitors. Following his retirement at the end of the Term, Executive will be eligible to elect coverage subject to the terms of the Company’s retiree medical plan as such plan may be amended from time to time. Executive will not participate in any other Company Welfare Plans.</w:t>
      </w:r>
    </w:p>
    <w:p>
      <w:pPr>
        <w:spacing w:after="0" w:line="177" w:lineRule="exact"/>
        <w:rPr>
          <w:rFonts w:ascii="Times New Roman" w:cs="Times New Roman" w:eastAsia="Times New Roman" w:hAnsi="Times New Roman"/>
          <w:sz w:val="22"/>
          <w:szCs w:val="22"/>
          <w:color w:val="010000"/>
        </w:rPr>
      </w:pPr>
    </w:p>
    <w:p>
      <w:pPr>
        <w:jc w:val="both"/>
        <w:ind w:left="842" w:hanging="842"/>
        <w:spacing w:after="0" w:line="238" w:lineRule="auto"/>
        <w:tabs>
          <w:tab w:leader="none" w:pos="842"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Pension and Profit Sharing. </w:t>
      </w:r>
      <w:r>
        <w:rPr>
          <w:rFonts w:ascii="Times New Roman" w:cs="Times New Roman" w:eastAsia="Times New Roman" w:hAnsi="Times New Roman"/>
          <w:sz w:val="22"/>
          <w:szCs w:val="22"/>
          <w:color w:val="auto"/>
        </w:rPr>
        <w:t>During the Term, or if Executive’s employment is terminated sooner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4, until such termination, Executive will continue to accrue additional benefits under the Company’s qualified and non-qualified pension and profit-sharing plans. Payments under the Company’s non-qualified pension and profit-sharing plans will be made in accordance with the terms of the relevant plan upon separation from service with the Company.</w:t>
      </w:r>
    </w:p>
    <w:p>
      <w:pPr>
        <w:spacing w:after="0" w:line="176" w:lineRule="exact"/>
        <w:rPr>
          <w:rFonts w:ascii="Times New Roman" w:cs="Times New Roman" w:eastAsia="Times New Roman" w:hAnsi="Times New Roman"/>
          <w:sz w:val="22"/>
          <w:szCs w:val="22"/>
          <w:color w:val="010000"/>
        </w:rPr>
      </w:pPr>
    </w:p>
    <w:p>
      <w:pPr>
        <w:ind w:left="842" w:hanging="842"/>
        <w:spacing w:after="0"/>
        <w:tabs>
          <w:tab w:leader="none" w:pos="842"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Incentive Plans.</w:t>
      </w:r>
    </w:p>
    <w:p>
      <w:pPr>
        <w:spacing w:after="0" w:line="210" w:lineRule="exact"/>
        <w:rPr>
          <w:rFonts w:ascii="Times New Roman" w:cs="Times New Roman" w:eastAsia="Times New Roman" w:hAnsi="Times New Roman"/>
          <w:sz w:val="22"/>
          <w:szCs w:val="22"/>
          <w:color w:val="010000"/>
        </w:rPr>
      </w:pPr>
    </w:p>
    <w:p>
      <w:pPr>
        <w:jc w:val="both"/>
        <w:ind w:left="1722" w:hanging="858"/>
        <w:spacing w:after="0" w:line="235" w:lineRule="auto"/>
        <w:tabs>
          <w:tab w:leader="none" w:pos="1722" w:val="left"/>
        </w:tabs>
        <w:numPr>
          <w:ilvl w:val="1"/>
          <w:numId w:val="26"/>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Executive received a long-term incentive (“LTI”) grant in January 2022 (the “January 2022 LTI Grant”) which will vest, if at all, only on the basis provided for in the award agreements governing the January 2022 LTI Grant. Following the award, Executive will not receive any other new grants of LTI awards. During the Term, or if Executive’s employment is terminated sooner pursuant to Section 4, until such termination, Executive will continue to vest in the January 2022 LTI Grant and LTI awards previously granted to Executive under the Company’s stock incentive plans (each, a “Plan,” and collectively, the “Plans”) in accordance with, and subject to the terms of those Plans and any applicable agreements.</w:t>
      </w:r>
    </w:p>
    <w:p>
      <w:pPr>
        <w:spacing w:after="0" w:line="178" w:lineRule="exact"/>
        <w:rPr>
          <w:sz w:val="20"/>
          <w:szCs w:val="20"/>
          <w:color w:val="auto"/>
        </w:rPr>
      </w:pPr>
    </w:p>
    <w:p>
      <w:pPr>
        <w:ind w:left="1742"/>
        <w:spacing w:after="0"/>
        <w:rPr>
          <w:sz w:val="20"/>
          <w:szCs w:val="20"/>
          <w:color w:val="auto"/>
        </w:rPr>
      </w:pPr>
      <w:r>
        <w:rPr>
          <w:rFonts w:ascii="Times New Roman" w:cs="Times New Roman" w:eastAsia="Times New Roman" w:hAnsi="Times New Roman"/>
          <w:sz w:val="22"/>
          <w:szCs w:val="22"/>
          <w:color w:val="auto"/>
        </w:rPr>
        <w:t>Executive will not receive any new grants of LTI awards during the Term.</w:t>
      </w:r>
    </w:p>
    <w:p>
      <w:pPr>
        <w:spacing w:after="0" w:line="206" w:lineRule="exact"/>
        <w:rPr>
          <w:sz w:val="20"/>
          <w:szCs w:val="20"/>
          <w:color w:val="auto"/>
        </w:rPr>
      </w:pPr>
    </w:p>
    <w:p>
      <w:pPr>
        <w:ind w:left="4722"/>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66675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540" w:right="339" w:bottom="1440" w:gutter="0" w:footer="0" w:header="0"/>
        </w:sectPr>
      </w:pPr>
    </w:p>
    <w:bookmarkStart w:id="25" w:name="page26"/>
    <w:bookmarkEnd w:id="25"/>
    <w:p>
      <w:pPr>
        <w:jc w:val="both"/>
        <w:ind w:left="1722" w:hanging="858"/>
        <w:spacing w:after="0" w:line="243" w:lineRule="auto"/>
        <w:tabs>
          <w:tab w:leader="none" w:pos="1722" w:val="left"/>
        </w:tabs>
        <w:numPr>
          <w:ilvl w:val="1"/>
          <w:numId w:val="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for termination of Executive’s employment for Cause pursuant to Section 4(c) (including, for the avoidance of doubt, termination due to breach of the covenant not to compete), the Compensation Committee has determined that Executive shall, pursuant to the terms of Executive’s stock option, RSU and PSU award agreements, be deemed to have terminated his employment with the Company at the end of the Term (or if Executive’s employment is terminated sooner pursuant to Section 4 (other than Section 4(c)), then upon such termination) due to “Retirement.” Accordingly, stock options previously issued to Executive and outstanding as of the Effective Date will continue to vest through Executive’s termination of employment and thereafter, subject to the terms of the applicable agreements. Such options will remain exercisable upon the earlier of five years after Executive’s termination of employment or upon the stock option expiration date (or, with respect to options granted after April 1, 2015, until the original option expiration date), subject to earlier termination pursuant to the terms of the applicable agreements. In addition, (1) PSUs previously issued to Executive and outstanding as of the Effective Date will continue to vest until Executive’s termination of employment and thereafter, subject to the terms and conditions of the applicable agreement, including the applicable performance conditions, with vesting based on actual results rather than at target without regard to actual results; (2) any PSUs and RSUs that have vested as of the end of the Term (or if Executive’s employment is terminated sooner pursuant to Section 4 (other than Section 4(c)), then upon such termination) will convert (to the extent not already converted) into common stock of the Company in accordance with, and subject to, the applicable agreements and Plan rules; and (3) RSUs previously issued to Executive and outstanding as of the Effective Date will continue to vest until Executive’s termination of employment and thereafter, subject to the terms and conditions of the applicable agreement.</w:t>
      </w:r>
    </w:p>
    <w:p>
      <w:pPr>
        <w:spacing w:after="0" w:line="182" w:lineRule="exact"/>
        <w:rPr>
          <w:rFonts w:ascii="Times New Roman" w:cs="Times New Roman" w:eastAsia="Times New Roman" w:hAnsi="Times New Roman"/>
          <w:sz w:val="21"/>
          <w:szCs w:val="21"/>
          <w:color w:val="010000"/>
        </w:rPr>
      </w:pPr>
    </w:p>
    <w:p>
      <w:pPr>
        <w:jc w:val="both"/>
        <w:ind w:left="1722" w:hanging="858"/>
        <w:spacing w:after="0" w:line="244" w:lineRule="auto"/>
        <w:tabs>
          <w:tab w:leader="none" w:pos="1722" w:val="left"/>
        </w:tabs>
        <w:numPr>
          <w:ilvl w:val="1"/>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Company will pay Executive a cash incentive bonus, less lawful deductions, based on achievement of personal and financial performance targets for 2022, prorated based on the number of days that have elapsed in 2022 prior to the Effective Date.</w:t>
      </w:r>
    </w:p>
    <w:p>
      <w:pPr>
        <w:spacing w:after="0" w:line="173" w:lineRule="exact"/>
        <w:rPr>
          <w:rFonts w:ascii="Times New Roman" w:cs="Times New Roman" w:eastAsia="Times New Roman" w:hAnsi="Times New Roman"/>
          <w:sz w:val="22"/>
          <w:szCs w:val="22"/>
          <w:color w:val="010000"/>
        </w:rPr>
      </w:pPr>
    </w:p>
    <w:p>
      <w:pPr>
        <w:jc w:val="both"/>
        <w:ind w:left="1722" w:hanging="858"/>
        <w:spacing w:after="0" w:line="244" w:lineRule="auto"/>
        <w:tabs>
          <w:tab w:leader="none" w:pos="1722" w:val="left"/>
        </w:tabs>
        <w:numPr>
          <w:ilvl w:val="1"/>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and after the Effective Date, Executive will not be eligible to participate in, or receive any, annual incentive or bonus program or payout of any kind, other than as described in Section 3(d) (iii) above.</w:t>
      </w:r>
    </w:p>
    <w:p>
      <w:pPr>
        <w:spacing w:after="0" w:line="169" w:lineRule="exact"/>
        <w:rPr>
          <w:rFonts w:ascii="Times New Roman" w:cs="Times New Roman" w:eastAsia="Times New Roman" w:hAnsi="Times New Roman"/>
          <w:sz w:val="22"/>
          <w:szCs w:val="22"/>
          <w:color w:val="010000"/>
        </w:rPr>
      </w:pPr>
    </w:p>
    <w:p>
      <w:pPr>
        <w:jc w:val="both"/>
        <w:ind w:left="842" w:hanging="842"/>
        <w:spacing w:after="0" w:line="241" w:lineRule="auto"/>
        <w:tabs>
          <w:tab w:leader="none" w:pos="842"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Vacation</w:t>
      </w:r>
      <w:r>
        <w:rPr>
          <w:rFonts w:ascii="Times New Roman" w:cs="Times New Roman" w:eastAsia="Times New Roman" w:hAnsi="Times New Roman"/>
          <w:sz w:val="22"/>
          <w:szCs w:val="22"/>
          <w:color w:val="auto"/>
        </w:rPr>
        <w:t>. As soon as administratively practicable following the Effective Date, the Company shall pay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a cash amount representing his accrued and unused vacation accumulated as of the date immediately prior to the Effective Date. During the Term, Executive will not be eligible to accrue vacation pay.</w:t>
      </w:r>
    </w:p>
    <w:p>
      <w:pPr>
        <w:spacing w:after="0" w:line="176" w:lineRule="exact"/>
        <w:rPr>
          <w:sz w:val="20"/>
          <w:szCs w:val="20"/>
          <w:color w:val="auto"/>
        </w:rPr>
      </w:pPr>
    </w:p>
    <w:p>
      <w:pPr>
        <w:ind w:left="4722"/>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66675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544" w:right="339" w:bottom="1440" w:gutter="0" w:footer="0" w:header="0"/>
        </w:sectPr>
      </w:pPr>
    </w:p>
    <w:bookmarkStart w:id="26" w:name="page27"/>
    <w:bookmarkEnd w:id="26"/>
    <w:p>
      <w:pPr>
        <w:jc w:val="both"/>
        <w:ind w:left="1700" w:hanging="842"/>
        <w:spacing w:after="0" w:line="237" w:lineRule="auto"/>
        <w:tabs>
          <w:tab w:leader="none" w:pos="1700" w:val="left"/>
        </w:tabs>
        <w:numPr>
          <w:ilvl w:val="1"/>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Expense Reimbursement</w:t>
      </w:r>
      <w:r>
        <w:rPr>
          <w:rFonts w:ascii="Times New Roman" w:cs="Times New Roman" w:eastAsia="Times New Roman" w:hAnsi="Times New Roman"/>
          <w:sz w:val="22"/>
          <w:szCs w:val="22"/>
          <w:color w:val="auto"/>
        </w:rPr>
        <w:t>. The Company shall reimburse Executive for actual and reasonable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expenses incurred in the normal course of performing his duties hereunder, following delivery of supporting documentation therefor. Executive shall submit all invoices for such incurred costs to the Company no later than 30 days prior to the end of the taxable year following the taxable year in which they were incurred. The Company shall reimburse Executive for any undisputed costs within 30 days of receipt of such invoices and supporting documentation as requested.</w:t>
      </w:r>
    </w:p>
    <w:p>
      <w:pPr>
        <w:spacing w:after="0" w:line="175" w:lineRule="exact"/>
        <w:rPr>
          <w:rFonts w:ascii="Times New Roman" w:cs="Times New Roman" w:eastAsia="Times New Roman" w:hAnsi="Times New Roman"/>
          <w:sz w:val="22"/>
          <w:szCs w:val="22"/>
          <w:color w:val="010000"/>
        </w:rPr>
      </w:pPr>
    </w:p>
    <w:p>
      <w:pPr>
        <w:jc w:val="both"/>
        <w:ind w:left="1700" w:hanging="842"/>
        <w:spacing w:after="0" w:line="237" w:lineRule="auto"/>
        <w:tabs>
          <w:tab w:leader="none" w:pos="1700" w:val="left"/>
        </w:tabs>
        <w:numPr>
          <w:ilvl w:val="1"/>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No Other Compensation or Benefits</w:t>
      </w:r>
      <w:r>
        <w:rPr>
          <w:rFonts w:ascii="Times New Roman" w:cs="Times New Roman" w:eastAsia="Times New Roman" w:hAnsi="Times New Roman"/>
          <w:sz w:val="22"/>
          <w:szCs w:val="22"/>
          <w:color w:val="auto"/>
        </w:rPr>
        <w:t>. Executive acknowledges and agrees that, except as expressly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he will not be entitled to participate in any employee benefit plan or arrangement, or to receive any other compensation associated or in connection with his services during the Term. The Company will not, by reason of this Section 3, be obligated to institute, maintain or refrain from changing, amending or discontinuing, any incentive compensation, employee benefit or stock incentive program or plan, so long as such actions are similarly applicable to covered employees generally.</w:t>
      </w:r>
    </w:p>
    <w:p>
      <w:pPr>
        <w:spacing w:after="0" w:line="179" w:lineRule="exact"/>
        <w:rPr>
          <w:rFonts w:ascii="Times New Roman" w:cs="Times New Roman" w:eastAsia="Times New Roman" w:hAnsi="Times New Roman"/>
          <w:sz w:val="22"/>
          <w:szCs w:val="22"/>
          <w:color w:val="010000"/>
        </w:rPr>
      </w:pPr>
    </w:p>
    <w:p>
      <w:pPr>
        <w:ind w:left="820" w:hanging="812"/>
        <w:spacing w:after="0"/>
        <w:tabs>
          <w:tab w:leader="none" w:pos="820" w:val="left"/>
        </w:tabs>
        <w:numPr>
          <w:ilvl w:val="0"/>
          <w:numId w:val="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Executive’s employment with Employer will be considered “at will” and be terminated (i)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upon Executive’s death; (ii) upon Executive’s Disability (as defined in Section 4(b)); (iii) for Cause (as defined in Section 4(c));</w:t>
      </w:r>
    </w:p>
    <w:p>
      <w:pPr>
        <w:spacing w:after="0" w:line="2" w:lineRule="exact"/>
        <w:rPr>
          <w:sz w:val="20"/>
          <w:szCs w:val="20"/>
          <w:color w:val="auto"/>
        </w:rPr>
      </w:pPr>
    </w:p>
    <w:p>
      <w:pPr>
        <w:jc w:val="both"/>
        <w:ind w:firstLine="8"/>
        <w:spacing w:after="0" w:line="235" w:lineRule="auto"/>
        <w:tabs>
          <w:tab w:leader="none" w:pos="47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mutual agreement, as set forth in Section 4(d); or (v) upon Executive’s retirement (as described in Section 4(e)). Should Executive’s employment terminate prior to the end of the Term, the following provisions of this Section 4 will govern the rights of Executive under this Agreement:</w:t>
      </w:r>
    </w:p>
    <w:p>
      <w:pPr>
        <w:spacing w:after="0" w:line="173" w:lineRule="exact"/>
        <w:rPr>
          <w:rFonts w:ascii="Times New Roman" w:cs="Times New Roman" w:eastAsia="Times New Roman" w:hAnsi="Times New Roman"/>
          <w:sz w:val="22"/>
          <w:szCs w:val="22"/>
          <w:color w:val="auto"/>
        </w:rPr>
      </w:pPr>
    </w:p>
    <w:p>
      <w:pPr>
        <w:jc w:val="both"/>
        <w:ind w:left="1700" w:hanging="842"/>
        <w:spacing w:after="0" w:line="241" w:lineRule="auto"/>
        <w:tabs>
          <w:tab w:leader="none" w:pos="1700" w:val="left"/>
        </w:tabs>
        <w:numPr>
          <w:ilvl w:val="1"/>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Termination Due to Death</w:t>
      </w:r>
      <w:r>
        <w:rPr>
          <w:rFonts w:ascii="Times New Roman" w:cs="Times New Roman" w:eastAsia="Times New Roman" w:hAnsi="Times New Roman"/>
          <w:sz w:val="22"/>
          <w:szCs w:val="22"/>
          <w:color w:val="auto"/>
        </w:rPr>
        <w:t>. In the event Executive’s employment terminates during the Term as a result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171" w:lineRule="exact"/>
        <w:rPr>
          <w:rFonts w:ascii="Times New Roman" w:cs="Times New Roman" w:eastAsia="Times New Roman" w:hAnsi="Times New Roman"/>
          <w:sz w:val="22"/>
          <w:szCs w:val="22"/>
          <w:color w:val="010000"/>
        </w:rPr>
      </w:pPr>
    </w:p>
    <w:p>
      <w:pPr>
        <w:jc w:val="both"/>
        <w:ind w:left="1700" w:hanging="842"/>
        <w:spacing w:after="0" w:line="237" w:lineRule="auto"/>
        <w:tabs>
          <w:tab w:leader="none" w:pos="1700" w:val="left"/>
        </w:tabs>
        <w:numPr>
          <w:ilvl w:val="1"/>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Termination Due to Disability</w:t>
      </w:r>
      <w:r>
        <w:rPr>
          <w:rFonts w:ascii="Times New Roman" w:cs="Times New Roman" w:eastAsia="Times New Roman" w:hAnsi="Times New Roman"/>
          <w:sz w:val="22"/>
          <w:szCs w:val="22"/>
          <w:color w:val="auto"/>
        </w:rPr>
        <w:t>. Executive’s employment during the Term will terminate upon Executive’s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Disability, which for purposes of this Agreement means that Executive is unable to perform the normal duties of his job due to an illness or injury (as determined pursuant to the terms of the Company’s long-term disability plan covering Executives), Executive shall receive any base salary and benefits accrued but unpaid as of the date of his termination due to Disability, plus any amounts payable on account of Executive’s Disability, pursuant to any other plan or program of the Company.</w:t>
      </w:r>
    </w:p>
    <w:p>
      <w:pPr>
        <w:spacing w:after="0" w:line="175" w:lineRule="exact"/>
        <w:rPr>
          <w:rFonts w:ascii="Times New Roman" w:cs="Times New Roman" w:eastAsia="Times New Roman" w:hAnsi="Times New Roman"/>
          <w:sz w:val="22"/>
          <w:szCs w:val="22"/>
          <w:color w:val="010000"/>
        </w:rPr>
      </w:pPr>
    </w:p>
    <w:p>
      <w:pPr>
        <w:jc w:val="both"/>
        <w:ind w:left="1700" w:hanging="842"/>
        <w:spacing w:after="0" w:line="263" w:lineRule="auto"/>
        <w:tabs>
          <w:tab w:leader="none" w:pos="1700" w:val="left"/>
        </w:tabs>
        <w:numPr>
          <w:ilvl w:val="1"/>
          <w:numId w:val="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Termination by the Company for Cause</w:t>
      </w:r>
      <w:r>
        <w:rPr>
          <w:rFonts w:ascii="Times New Roman" w:cs="Times New Roman" w:eastAsia="Times New Roman" w:hAnsi="Times New Roman"/>
          <w:sz w:val="21"/>
          <w:szCs w:val="21"/>
          <w:color w:val="auto"/>
        </w:rPr>
        <w:t>. In the event the Company terminates Executive’s employment during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Term for Cause, as defined below, he shall, subject to Section 5(d), be entitled to any other amounts earned, accrued or owing as of the date of termination of employment under the applicable employee benefit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jc w:val="both"/>
        <w:ind w:left="1700" w:right="20"/>
        <w:spacing w:after="0" w:line="261" w:lineRule="auto"/>
        <w:rPr>
          <w:sz w:val="20"/>
          <w:szCs w:val="20"/>
          <w:color w:val="auto"/>
        </w:rPr>
      </w:pPr>
      <w:r>
        <w:rPr>
          <w:rFonts w:ascii="Times New Roman" w:cs="Times New Roman" w:eastAsia="Times New Roman" w:hAnsi="Times New Roman"/>
          <w:sz w:val="21"/>
          <w:szCs w:val="21"/>
          <w:color w:val="auto"/>
        </w:rPr>
        <w:t>plans or programs of the Company. “Cause” means Executive’s dishonesty relating to his employment with the Company, conviction of a felony, willful or negligent unauthorized disclosure of Confidential Information of the Company, or breach of any of Executive’s obligations and restrictive covenants set forth in Section 5.</w:t>
      </w:r>
    </w:p>
    <w:p>
      <w:pPr>
        <w:spacing w:after="0" w:line="153" w:lineRule="exact"/>
        <w:rPr>
          <w:sz w:val="20"/>
          <w:szCs w:val="20"/>
          <w:color w:val="auto"/>
        </w:rPr>
      </w:pPr>
    </w:p>
    <w:p>
      <w:pPr>
        <w:jc w:val="both"/>
        <w:ind w:left="1700" w:hanging="842"/>
        <w:spacing w:after="0" w:line="238" w:lineRule="auto"/>
        <w:tabs>
          <w:tab w:leader="none" w:pos="1700" w:val="left"/>
        </w:tabs>
        <w:numPr>
          <w:ilvl w:val="1"/>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Voluntary Termination and Termination Due to Mutual Agreement</w:t>
      </w:r>
      <w:r>
        <w:rPr>
          <w:rFonts w:ascii="Times New Roman" w:cs="Times New Roman" w:eastAsia="Times New Roman" w:hAnsi="Times New Roman"/>
          <w:sz w:val="22"/>
          <w:szCs w:val="22"/>
          <w:color w:val="auto"/>
        </w:rPr>
        <w:t>. Upon 15 days’ prior written notice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(unless otherwise waived by the Company in writing), Executive may voluntarily terminate his employment with the Company. A voluntary termination pursuant to this Section 4(d) shall not include a termination under Section 4(a), 4(b) or 4(c) above, and shall not be deemed a breach of this Agreement by Executive except if Executive is otherwise in breach of Section 5(b).</w:t>
      </w:r>
    </w:p>
    <w:p>
      <w:pPr>
        <w:spacing w:after="0" w:line="180" w:lineRule="exact"/>
        <w:rPr>
          <w:rFonts w:ascii="Times New Roman" w:cs="Times New Roman" w:eastAsia="Times New Roman" w:hAnsi="Times New Roman"/>
          <w:sz w:val="22"/>
          <w:szCs w:val="22"/>
          <w:color w:val="010000"/>
        </w:rPr>
      </w:pPr>
    </w:p>
    <w:p>
      <w:pPr>
        <w:jc w:val="both"/>
        <w:ind w:left="1700" w:hanging="842"/>
        <w:spacing w:after="0" w:line="236" w:lineRule="auto"/>
        <w:tabs>
          <w:tab w:leader="none" w:pos="1700" w:val="left"/>
        </w:tabs>
        <w:numPr>
          <w:ilvl w:val="1"/>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Executive voluntarily terminates his employment with the Company during the Term, and does not become employed by an Unauthorized Competitor or otherwise breach Section 5(b), or (2) becomes employed or otherwise engaged by any oil and gas service company or any company that is a direct competitor of the existing portfolio of Schlumberger New Energy products, for which employment the Executive has sought and received written pre-approval of the CEO prior to acceptance of employment, he shall be entitled to:</w:t>
      </w:r>
    </w:p>
    <w:p>
      <w:pPr>
        <w:spacing w:after="0" w:line="181" w:lineRule="exact"/>
        <w:rPr>
          <w:rFonts w:ascii="Times New Roman" w:cs="Times New Roman" w:eastAsia="Times New Roman" w:hAnsi="Times New Roman"/>
          <w:sz w:val="22"/>
          <w:szCs w:val="22"/>
          <w:color w:val="010000"/>
        </w:rPr>
      </w:pPr>
    </w:p>
    <w:p>
      <w:pPr>
        <w:ind w:left="1740" w:hanging="5"/>
        <w:spacing w:after="0" w:line="258" w:lineRule="auto"/>
        <w:tabs>
          <w:tab w:leader="none" w:pos="2592" w:val="left"/>
        </w:tabs>
        <w:numPr>
          <w:ilvl w:val="2"/>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Sections 3(b) and 3(c), other benefits for which he is eligible in accordance with applicable plans or programs of the Company;</w:t>
      </w:r>
    </w:p>
    <w:p>
      <w:pPr>
        <w:spacing w:after="0" w:line="158" w:lineRule="exact"/>
        <w:rPr>
          <w:rFonts w:ascii="Times New Roman" w:cs="Times New Roman" w:eastAsia="Times New Roman" w:hAnsi="Times New Roman"/>
          <w:sz w:val="22"/>
          <w:szCs w:val="22"/>
          <w:color w:val="010000"/>
        </w:rPr>
      </w:pPr>
    </w:p>
    <w:p>
      <w:pPr>
        <w:ind w:left="1740" w:right="20" w:hanging="5"/>
        <w:spacing w:after="0" w:line="258" w:lineRule="auto"/>
        <w:tabs>
          <w:tab w:leader="none" w:pos="2652" w:val="left"/>
        </w:tabs>
        <w:numPr>
          <w:ilvl w:val="2"/>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exercise any stock options granted under a plan of the Company that vested during the Term (and prior to his termination date) as per the Plan rules.</w:t>
      </w:r>
    </w:p>
    <w:p>
      <w:pPr>
        <w:spacing w:after="0" w:line="154" w:lineRule="exact"/>
        <w:rPr>
          <w:rFonts w:ascii="Times New Roman" w:cs="Times New Roman" w:eastAsia="Times New Roman" w:hAnsi="Times New Roman"/>
          <w:sz w:val="22"/>
          <w:szCs w:val="22"/>
          <w:color w:val="010000"/>
        </w:rPr>
      </w:pPr>
    </w:p>
    <w:p>
      <w:pPr>
        <w:jc w:val="both"/>
        <w:ind w:left="1700" w:hanging="842"/>
        <w:spacing w:after="0" w:line="241" w:lineRule="auto"/>
        <w:tabs>
          <w:tab w:leader="none" w:pos="1700" w:val="left"/>
        </w:tabs>
        <w:numPr>
          <w:ilvl w:val="1"/>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Retirement at the End of the Term. </w:t>
      </w:r>
      <w:r>
        <w:rPr>
          <w:rFonts w:ascii="Times New Roman" w:cs="Times New Roman" w:eastAsia="Times New Roman" w:hAnsi="Times New Roman"/>
          <w:sz w:val="22"/>
          <w:szCs w:val="22"/>
          <w:color w:val="auto"/>
        </w:rPr>
        <w:t>In the event the Executive remains employed until the end of the Term,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parties agree he shall retire as of such date. Executive acknowledges and agrees that he shall not be entitled to any severance or termination indemnity payment of any kind other than as specifically provided above and under the terms of this Agreement.</w:t>
      </w:r>
    </w:p>
    <w:p>
      <w:pPr>
        <w:spacing w:after="0" w:line="175" w:lineRule="exact"/>
        <w:rPr>
          <w:rFonts w:ascii="Times New Roman" w:cs="Times New Roman" w:eastAsia="Times New Roman" w:hAnsi="Times New Roman"/>
          <w:sz w:val="22"/>
          <w:szCs w:val="22"/>
          <w:color w:val="010000"/>
        </w:rPr>
      </w:pPr>
    </w:p>
    <w:p>
      <w:pPr>
        <w:ind w:left="860" w:hanging="852"/>
        <w:spacing w:after="0"/>
        <w:tabs>
          <w:tab w:leader="none" w:pos="860"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Confidentiality, Covenant Not to Compete and Other Restrictive Covenants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010000"/>
        </w:rPr>
      </w:pPr>
    </w:p>
    <w:p>
      <w:pPr>
        <w:jc w:val="both"/>
        <w:ind w:left="1700" w:hanging="842"/>
        <w:spacing w:after="0" w:line="235" w:lineRule="auto"/>
        <w:tabs>
          <w:tab w:leader="none" w:pos="1700" w:val="left"/>
        </w:tabs>
        <w:numPr>
          <w:ilvl w:val="1"/>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Executive acknowledges that the Company has provided and will provide Executive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Confidential Information (as defined below). Executive agrees that in return for this and other consideration provided under this Agreement he will not disclose or make available to any other person or entity, or use for his own personal gain, monetary or otherwise, any Confidential Information, except for such disclosures as required in the performance of his duties hereunder. For purposes of this Agreement, “Confidential Information” means any and all information, data and knowledge that have been created, discovered, developed or otherwise become known to the Company or any of its affiliates or ventures or in which property rights have been assigned or otherwise conveyed to the Company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jc w:val="both"/>
        <w:ind w:left="842"/>
        <w:spacing w:after="0" w:line="235" w:lineRule="auto"/>
        <w:rPr>
          <w:sz w:val="20"/>
          <w:szCs w:val="20"/>
          <w:color w:val="auto"/>
        </w:rPr>
      </w:pPr>
      <w:r>
        <w:rPr>
          <w:rFonts w:ascii="Times New Roman" w:cs="Times New Roman" w:eastAsia="Times New Roman" w:hAnsi="Times New Roman"/>
          <w:sz w:val="22"/>
          <w:szCs w:val="22"/>
          <w:color w:val="auto"/>
        </w:rPr>
        <w:t>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74" w:lineRule="exact"/>
        <w:rPr>
          <w:sz w:val="20"/>
          <w:szCs w:val="20"/>
          <w:color w:val="auto"/>
        </w:rPr>
      </w:pPr>
    </w:p>
    <w:p>
      <w:pPr>
        <w:jc w:val="both"/>
        <w:ind w:left="842" w:hanging="842"/>
        <w:spacing w:after="0" w:line="235" w:lineRule="auto"/>
        <w:tabs>
          <w:tab w:leader="none" w:pos="842"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Restrictive Covenants</w:t>
      </w:r>
      <w:r>
        <w:rPr>
          <w:rFonts w:ascii="Times New Roman" w:cs="Times New Roman" w:eastAsia="Times New Roman" w:hAnsi="Times New Roman"/>
          <w:sz w:val="22"/>
          <w:szCs w:val="22"/>
          <w:color w:val="auto"/>
        </w:rPr>
        <w:t>. Executive acknowledges that the skills, processes and information developed 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are highly proprietary and global in nature and could be utilized directly and to the Company’s detriment (or the detriment of any of the Company’s affiliates or ventures) by several other businesses. Accordingly, (1) in consideration for the Confidential Information previously provided by the Company to Executive, (2) as part of the consideration for the payment and benefits to be paid to Executive hereunder, (3) to protect the Confidential Information of the Company disclosed or entrusted to Executive by the Company or created or developed by Executive for the Company and (4) as an additional incentive for the Company to enter into this Agreement, Executive agrees to be bound by the following restrictive covenants:</w:t>
      </w:r>
    </w:p>
    <w:p>
      <w:pPr>
        <w:spacing w:after="0" w:line="178" w:lineRule="exact"/>
        <w:rPr>
          <w:sz w:val="20"/>
          <w:szCs w:val="20"/>
          <w:color w:val="auto"/>
        </w:rPr>
      </w:pPr>
    </w:p>
    <w:p>
      <w:pPr>
        <w:ind w:left="2462" w:hanging="854"/>
        <w:spacing w:after="0"/>
        <w:tabs>
          <w:tab w:leader="none" w:pos="2462"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Covenant Not to Compete</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left="882" w:firstLine="726"/>
        <w:spacing w:after="0" w:line="234" w:lineRule="auto"/>
        <w:tabs>
          <w:tab w:leader="none" w:pos="198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and for a period of 12 months thereafter (the “</w:t>
      </w:r>
      <w:r>
        <w:rPr>
          <w:rFonts w:ascii="Times New Roman" w:cs="Times New Roman" w:eastAsia="Times New Roman" w:hAnsi="Times New Roman"/>
          <w:sz w:val="22"/>
          <w:szCs w:val="22"/>
          <w:b w:val="1"/>
          <w:bCs w:val="1"/>
          <w:i w:val="1"/>
          <w:iCs w:val="1"/>
          <w:color w:val="auto"/>
        </w:rPr>
        <w:t>Restricted Period</w:t>
      </w:r>
      <w:r>
        <w:rPr>
          <w:rFonts w:ascii="Times New Roman" w:cs="Times New Roman" w:eastAsia="Times New Roman" w:hAnsi="Times New Roman"/>
          <w:sz w:val="22"/>
          <w:szCs w:val="22"/>
          <w:color w:val="auto"/>
        </w:rPr>
        <w:t>”), Executive shall not accept employment with or otherwise render services, directly or indirectly, anywhere in the world, to any Unauthorized Competitor, whether as a director, officer, agent, employee, independent contractor or consultant, become a 10% or greater partner or owner of any Unauthorized Competitor, or take any action inconsistent with the fiduciary relationship of an employee to his employer. In order to protect the Company’s goodwill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or otherwise rendering any services, anywhere in the world with any company or other enterprise except an Unauthorized Competitor.</w:t>
      </w:r>
    </w:p>
    <w:p>
      <w:pPr>
        <w:spacing w:after="0" w:line="179" w:lineRule="exact"/>
        <w:rPr>
          <w:sz w:val="20"/>
          <w:szCs w:val="20"/>
          <w:color w:val="auto"/>
        </w:rPr>
      </w:pPr>
    </w:p>
    <w:p>
      <w:pPr>
        <w:ind w:left="882"/>
        <w:spacing w:after="0"/>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Unauthorized Competitor</w:t>
      </w:r>
      <w:r>
        <w:rPr>
          <w:rFonts w:ascii="Times New Roman" w:cs="Times New Roman" w:eastAsia="Times New Roman" w:hAnsi="Times New Roman"/>
          <w:sz w:val="22"/>
          <w:szCs w:val="22"/>
          <w:color w:val="auto"/>
        </w:rPr>
        <w:t>” means the following entities:</w:t>
      </w:r>
    </w:p>
    <w:p>
      <w:pPr>
        <w:spacing w:after="0" w:line="212" w:lineRule="exact"/>
        <w:rPr>
          <w:sz w:val="20"/>
          <w:szCs w:val="20"/>
          <w:color w:val="auto"/>
        </w:rPr>
      </w:pPr>
    </w:p>
    <w:p>
      <w:pPr>
        <w:ind w:left="1602" w:hanging="725"/>
        <w:spacing w:after="0"/>
        <w:tabs>
          <w:tab w:leader="none" w:pos="160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Halliburton Company;</w:t>
      </w:r>
    </w:p>
    <w:p>
      <w:pPr>
        <w:spacing w:after="0" w:line="206" w:lineRule="exact"/>
        <w:rPr>
          <w:rFonts w:ascii="Times New Roman" w:cs="Times New Roman" w:eastAsia="Times New Roman" w:hAnsi="Times New Roman"/>
          <w:sz w:val="22"/>
          <w:szCs w:val="22"/>
          <w:color w:val="auto"/>
        </w:rPr>
      </w:pPr>
    </w:p>
    <w:p>
      <w:pPr>
        <w:ind w:left="1602" w:hanging="725"/>
        <w:spacing w:after="0"/>
        <w:tabs>
          <w:tab w:leader="none" w:pos="160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Baker Hughes Company;</w:t>
      </w:r>
    </w:p>
    <w:p>
      <w:pPr>
        <w:spacing w:after="0" w:line="206" w:lineRule="exact"/>
        <w:rPr>
          <w:sz w:val="20"/>
          <w:szCs w:val="20"/>
          <w:color w:val="auto"/>
        </w:rPr>
      </w:pPr>
    </w:p>
    <w:p>
      <w:pPr>
        <w:ind w:left="4722"/>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66675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544" w:right="339" w:bottom="1440" w:gutter="0" w:footer="0" w:header="0"/>
        </w:sectPr>
      </w:pPr>
    </w:p>
    <w:bookmarkStart w:id="29" w:name="page30"/>
    <w:bookmarkEnd w:id="29"/>
    <w:p>
      <w:pPr>
        <w:ind w:left="1340" w:hanging="725"/>
        <w:spacing w:after="0"/>
        <w:tabs>
          <w:tab w:leader="none" w:pos="1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Weatherford International Limited plc;</w:t>
      </w:r>
    </w:p>
    <w:p>
      <w:pPr>
        <w:spacing w:after="0" w:line="206" w:lineRule="exact"/>
        <w:rPr>
          <w:rFonts w:ascii="Times New Roman" w:cs="Times New Roman" w:eastAsia="Times New Roman" w:hAnsi="Times New Roman"/>
          <w:sz w:val="22"/>
          <w:szCs w:val="22"/>
          <w:color w:val="auto"/>
        </w:rPr>
      </w:pPr>
    </w:p>
    <w:p>
      <w:pPr>
        <w:ind w:left="1340" w:hanging="725"/>
        <w:spacing w:after="0"/>
        <w:tabs>
          <w:tab w:leader="none" w:pos="1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Aker Solutions ASA;</w:t>
      </w:r>
    </w:p>
    <w:p>
      <w:pPr>
        <w:spacing w:after="0" w:line="206" w:lineRule="exact"/>
        <w:rPr>
          <w:rFonts w:ascii="Times New Roman" w:cs="Times New Roman" w:eastAsia="Times New Roman" w:hAnsi="Times New Roman"/>
          <w:sz w:val="22"/>
          <w:szCs w:val="22"/>
          <w:color w:val="auto"/>
        </w:rPr>
      </w:pPr>
    </w:p>
    <w:p>
      <w:pPr>
        <w:ind w:left="1340" w:hanging="725"/>
        <w:spacing w:after="0"/>
        <w:tabs>
          <w:tab w:leader="none" w:pos="1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TechnipFMC plc;</w:t>
      </w:r>
    </w:p>
    <w:p>
      <w:pPr>
        <w:spacing w:after="0" w:line="206" w:lineRule="exact"/>
        <w:rPr>
          <w:rFonts w:ascii="Times New Roman" w:cs="Times New Roman" w:eastAsia="Times New Roman" w:hAnsi="Times New Roman"/>
          <w:sz w:val="22"/>
          <w:szCs w:val="22"/>
          <w:color w:val="auto"/>
        </w:rPr>
      </w:pPr>
    </w:p>
    <w:p>
      <w:pPr>
        <w:ind w:left="1340" w:hanging="725"/>
        <w:spacing w:after="0"/>
        <w:tabs>
          <w:tab w:leader="none" w:pos="1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National Oilwell Varco, Inc.;</w:t>
      </w:r>
    </w:p>
    <w:p>
      <w:pPr>
        <w:spacing w:after="0" w:line="206" w:lineRule="exact"/>
        <w:rPr>
          <w:rFonts w:ascii="Times New Roman" w:cs="Times New Roman" w:eastAsia="Times New Roman" w:hAnsi="Times New Roman"/>
          <w:sz w:val="22"/>
          <w:szCs w:val="22"/>
          <w:color w:val="auto"/>
        </w:rPr>
      </w:pPr>
    </w:p>
    <w:p>
      <w:pPr>
        <w:ind w:left="1340" w:hanging="725"/>
        <w:spacing w:after="0"/>
        <w:tabs>
          <w:tab w:leader="none" w:pos="1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National Energy Services Reunited Corp;</w:t>
      </w:r>
    </w:p>
    <w:p>
      <w:pPr>
        <w:spacing w:after="0" w:line="206" w:lineRule="exact"/>
        <w:rPr>
          <w:rFonts w:ascii="Times New Roman" w:cs="Times New Roman" w:eastAsia="Times New Roman" w:hAnsi="Times New Roman"/>
          <w:sz w:val="22"/>
          <w:szCs w:val="22"/>
          <w:color w:val="auto"/>
        </w:rPr>
      </w:pPr>
    </w:p>
    <w:p>
      <w:pPr>
        <w:ind w:left="620" w:hanging="5"/>
        <w:spacing w:after="0" w:line="258" w:lineRule="auto"/>
        <w:tabs>
          <w:tab w:leader="none" w:pos="134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engaged in seismic data acquisition, processing, reservoir geosciences, or existing, proprietary related digital services to the oil and natural gas industry; and</w:t>
      </w:r>
    </w:p>
    <w:p>
      <w:pPr>
        <w:spacing w:after="0" w:line="158" w:lineRule="exact"/>
        <w:rPr>
          <w:rFonts w:ascii="Times New Roman" w:cs="Times New Roman" w:eastAsia="Times New Roman" w:hAnsi="Times New Roman"/>
          <w:sz w:val="22"/>
          <w:szCs w:val="22"/>
          <w:color w:val="auto"/>
        </w:rPr>
      </w:pPr>
    </w:p>
    <w:p>
      <w:pPr>
        <w:ind w:left="1340" w:hanging="725"/>
        <w:spacing w:after="0"/>
        <w:tabs>
          <w:tab w:leader="none" w:pos="1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oilfield equipment and services company</w:t>
      </w:r>
    </w:p>
    <w:p>
      <w:pPr>
        <w:spacing w:after="0" w:line="206" w:lineRule="exact"/>
        <w:rPr>
          <w:sz w:val="20"/>
          <w:szCs w:val="20"/>
          <w:color w:val="auto"/>
        </w:rPr>
      </w:pPr>
    </w:p>
    <w:p>
      <w:pPr>
        <w:ind w:left="620"/>
        <w:spacing w:after="0" w:line="258" w:lineRule="auto"/>
        <w:rPr>
          <w:sz w:val="20"/>
          <w:szCs w:val="20"/>
          <w:color w:val="auto"/>
        </w:rPr>
      </w:pPr>
      <w:r>
        <w:rPr>
          <w:rFonts w:ascii="Times New Roman" w:cs="Times New Roman" w:eastAsia="Times New Roman" w:hAnsi="Times New Roman"/>
          <w:sz w:val="22"/>
          <w:szCs w:val="22"/>
          <w:color w:val="auto"/>
        </w:rPr>
        <w:t>and includes any and all of their parents, subsidiaries, affiliates, joint ventures or divisions, as of the date of this Agreement as well as any of their successors or assigns.</w:t>
      </w:r>
    </w:p>
    <w:p>
      <w:pPr>
        <w:spacing w:after="0" w:line="158" w:lineRule="exact"/>
        <w:rPr>
          <w:sz w:val="20"/>
          <w:szCs w:val="20"/>
          <w:color w:val="auto"/>
        </w:rPr>
      </w:pPr>
    </w:p>
    <w:p>
      <w:pPr>
        <w:jc w:val="both"/>
        <w:ind w:left="620" w:firstLine="726"/>
        <w:spacing w:after="0" w:line="233" w:lineRule="auto"/>
        <w:tabs>
          <w:tab w:leader="none" w:pos="228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during the Restricted Period, Executive becomes engaged or employed (in any form described above in Section 2) by an organization or business that is neither an Unauthorized Competitor nor a company otherwise requiring preapproval by the Company’s CEO as contemplated herein, Executive shall give the Company advance notice of his accepting employment in any capacity. Notice of any subsequent employment shall be in writing and must be received by the Vice President, Human Resources of the Company, at 5599 San Felipe, Houston, TX 77056 on behalf of the Company at least fifteen (15) calendar days before the proposed starting date of the employment. Such notice shall comply in all other respects with the requirements set forth in Section 7 below. The request must include the full name and address of the organization with which Executive is seeking employment, the department or area in which Executive proposes to work, the position or job title to be held by Executive, and a sufficient description of the duties Executive expects to perform for such employer for the Company to understand the scope of the employment.</w:t>
      </w:r>
    </w:p>
    <w:p>
      <w:pPr>
        <w:spacing w:after="0" w:line="184" w:lineRule="exact"/>
        <w:rPr>
          <w:rFonts w:ascii="Times New Roman" w:cs="Times New Roman" w:eastAsia="Times New Roman" w:hAnsi="Times New Roman"/>
          <w:sz w:val="22"/>
          <w:szCs w:val="22"/>
          <w:color w:val="auto"/>
        </w:rPr>
      </w:pPr>
    </w:p>
    <w:p>
      <w:pPr>
        <w:jc w:val="both"/>
        <w:ind w:left="620" w:firstLine="726"/>
        <w:spacing w:after="0" w:line="238" w:lineRule="auto"/>
        <w:tabs>
          <w:tab w:leader="none" w:pos="228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organization of business in which Executive is involved (in any form described above) becomes an Unauthorized Competitor during the Restricted Period, or is acquired during the Restricted Period by one of the Unauthorized Competitors, Executive shall provide written notice of the same immediately to the Vice President, Human Resources of the Company, as soon as the information is ready to be made public.</w:t>
      </w:r>
    </w:p>
    <w:p>
      <w:pPr>
        <w:spacing w:after="0" w:line="17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30" w:name="page31"/>
    <w:bookmarkEnd w:id="30"/>
    <w:p>
      <w:pPr>
        <w:jc w:val="both"/>
        <w:ind w:left="620" w:firstLine="726"/>
        <w:spacing w:after="0" w:line="241" w:lineRule="auto"/>
        <w:tabs>
          <w:tab w:leader="none" w:pos="2263"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Nonsolicitation</w:t>
      </w:r>
      <w:r>
        <w:rPr>
          <w:rFonts w:ascii="Times New Roman" w:cs="Times New Roman" w:eastAsia="Times New Roman" w:hAnsi="Times New Roman"/>
          <w:sz w:val="22"/>
          <w:szCs w:val="22"/>
          <w:color w:val="auto"/>
        </w:rPr>
        <w:t>. Executive further agrees that during the Restricted Period, he shall not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directly or indirectly, induce, entice or solicit (or attempt to induce, entice or solicit) any employee of the Company or any of its affiliates or ventures to leave the employment of the Company or any of its affiliates or ventures.</w:t>
      </w:r>
    </w:p>
    <w:p>
      <w:pPr>
        <w:spacing w:after="0" w:line="171" w:lineRule="exact"/>
        <w:rPr>
          <w:rFonts w:ascii="Times New Roman" w:cs="Times New Roman" w:eastAsia="Times New Roman" w:hAnsi="Times New Roman"/>
          <w:sz w:val="22"/>
          <w:szCs w:val="22"/>
          <w:color w:val="010000"/>
        </w:rPr>
      </w:pPr>
    </w:p>
    <w:p>
      <w:pPr>
        <w:jc w:val="both"/>
        <w:ind w:left="620" w:firstLine="726"/>
        <w:spacing w:after="0" w:line="238" w:lineRule="auto"/>
        <w:tabs>
          <w:tab w:leader="none" w:pos="2323"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Nondisparagement</w:t>
      </w:r>
      <w:r>
        <w:rPr>
          <w:rFonts w:ascii="Times New Roman" w:cs="Times New Roman" w:eastAsia="Times New Roman" w:hAnsi="Times New Roman"/>
          <w:sz w:val="22"/>
          <w:szCs w:val="22"/>
          <w:color w:val="auto"/>
        </w:rPr>
        <w:t>. Executive agrees that he shall not, directly or indirectly, whether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writing, orally or electronically, make any negative, derogatory or other comment that could reasonably be expected to be detrimental to the Company or any of its affiliates, their business or operations, or to any of its or their current employees, officers or directors. Nothing in this Agreement shall preclude Executive from making truthful statements that are required by applicable law, regulation, legal process.</w:t>
      </w:r>
    </w:p>
    <w:p>
      <w:pPr>
        <w:spacing w:after="0" w:line="176" w:lineRule="exact"/>
        <w:rPr>
          <w:rFonts w:ascii="Times New Roman" w:cs="Times New Roman" w:eastAsia="Times New Roman" w:hAnsi="Times New Roman"/>
          <w:sz w:val="22"/>
          <w:szCs w:val="22"/>
          <w:color w:val="010000"/>
        </w:rPr>
      </w:pPr>
    </w:p>
    <w:p>
      <w:pPr>
        <w:jc w:val="both"/>
        <w:ind w:left="620" w:firstLine="726"/>
        <w:spacing w:after="0" w:line="246" w:lineRule="auto"/>
        <w:tabs>
          <w:tab w:leader="none" w:pos="2311"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Disclosure of Agreement</w:t>
      </w:r>
      <w:r>
        <w:rPr>
          <w:rFonts w:ascii="Times New Roman" w:cs="Times New Roman" w:eastAsia="Times New Roman" w:hAnsi="Times New Roman"/>
          <w:sz w:val="22"/>
          <w:szCs w:val="22"/>
          <w:color w:val="auto"/>
        </w:rPr>
        <w:t>. Executive agrees to provide this Agreement to any prospective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actual employer of Executive, and the Company may in its discretion provide this Agreement directly to any such prospective or actual employer.</w:t>
      </w:r>
    </w:p>
    <w:p>
      <w:pPr>
        <w:spacing w:after="0" w:line="167" w:lineRule="exact"/>
        <w:rPr>
          <w:rFonts w:ascii="Times New Roman" w:cs="Times New Roman" w:eastAsia="Times New Roman" w:hAnsi="Times New Roman"/>
          <w:sz w:val="22"/>
          <w:szCs w:val="22"/>
          <w:color w:val="010000"/>
        </w:rPr>
      </w:pPr>
    </w:p>
    <w:p>
      <w:pPr>
        <w:jc w:val="both"/>
        <w:ind w:left="620" w:firstLine="726"/>
        <w:spacing w:after="0" w:line="237" w:lineRule="auto"/>
        <w:tabs>
          <w:tab w:leader="none" w:pos="2251"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Protected Disclosures</w:t>
      </w:r>
      <w:r>
        <w:rPr>
          <w:rFonts w:ascii="Times New Roman" w:cs="Times New Roman" w:eastAsia="Times New Roman" w:hAnsi="Times New Roman"/>
          <w:sz w:val="22"/>
          <w:szCs w:val="22"/>
          <w:color w:val="auto"/>
        </w:rPr>
        <w:t>. Notwithstanding the foregoing, nothing in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the confidentiality provisions above, limits Executive’s ability to communicate with the Securities and Exchange Commission (or any other governmental agency) regarding any possible violations of law, to otherwise participate in any investigation or proceeding that may be conducted by a governmental agency (including providing documents or other information without notice to the Company), or to receive any award for information provided to a governmental agency.</w:t>
      </w:r>
    </w:p>
    <w:p>
      <w:pPr>
        <w:spacing w:after="0" w:line="175" w:lineRule="exact"/>
        <w:rPr>
          <w:rFonts w:ascii="Times New Roman" w:cs="Times New Roman" w:eastAsia="Times New Roman" w:hAnsi="Times New Roman"/>
          <w:sz w:val="22"/>
          <w:szCs w:val="22"/>
          <w:color w:val="010000"/>
        </w:rPr>
      </w:pPr>
    </w:p>
    <w:p>
      <w:pPr>
        <w:jc w:val="both"/>
        <w:ind w:left="620" w:firstLine="726"/>
        <w:spacing w:after="0" w:line="235" w:lineRule="auto"/>
        <w:tabs>
          <w:tab w:leader="none" w:pos="2311"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Acknowledgement; Covenants Ancillary to Other Agreements</w:t>
      </w:r>
      <w:r>
        <w:rPr>
          <w:rFonts w:ascii="Times New Roman" w:cs="Times New Roman" w:eastAsia="Times New Roman" w:hAnsi="Times New Roman"/>
          <w:sz w:val="22"/>
          <w:szCs w:val="22"/>
          <w:color w:val="auto"/>
        </w:rPr>
        <w:t>. Executive expressly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recognizes that Executive was a high-level, executive employee who was provided with access to Confidential Information of the Company as part of Executive’s employment. Executive acknowledges that the restrictive covenants contained in Section 5(b), for which he received consideration from the Company as provided in Section 3, are ancillary to otherwise enforceable provisions of this Agreement with respect to the protection of Confidential Information, and that the restrictive covenants contain limitations, as applicable, as to time, geographical area and scope of activity to be restrained that are reasonable, and do not impose a greater restraint than is necessary to protect the good will or other business interests of the Company, such as the Company’s need to protect its Confidential Information.</w:t>
      </w:r>
    </w:p>
    <w:p>
      <w:pPr>
        <w:spacing w:after="0" w:line="173" w:lineRule="exact"/>
        <w:rPr>
          <w:rFonts w:ascii="Times New Roman" w:cs="Times New Roman" w:eastAsia="Times New Roman" w:hAnsi="Times New Roman"/>
          <w:sz w:val="22"/>
          <w:szCs w:val="22"/>
          <w:color w:val="010000"/>
        </w:rPr>
      </w:pPr>
    </w:p>
    <w:p>
      <w:pPr>
        <w:jc w:val="both"/>
        <w:ind w:left="620" w:firstLine="726"/>
        <w:spacing w:after="0" w:line="246" w:lineRule="auto"/>
        <w:tabs>
          <w:tab w:leader="none" w:pos="2371"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Return of Property</w:t>
      </w:r>
      <w:r>
        <w:rPr>
          <w:rFonts w:ascii="Times New Roman" w:cs="Times New Roman" w:eastAsia="Times New Roman" w:hAnsi="Times New Roman"/>
          <w:sz w:val="22"/>
          <w:szCs w:val="22"/>
          <w:color w:val="auto"/>
        </w:rPr>
        <w:t>. Executive agrees that at the time of leaving the Company’s employ,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if not sooner, he will: (A) deliver to the Company all (and will not keep in his possession, recreate or deliver to anyone else, any) Confidential</w:t>
      </w:r>
    </w:p>
    <w:p>
      <w:pPr>
        <w:spacing w:after="0" w:line="17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31" w:name="page32"/>
    <w:bookmarkEnd w:id="31"/>
    <w:p>
      <w:pPr>
        <w:jc w:val="both"/>
        <w:ind w:left="882"/>
        <w:spacing w:after="0" w:line="245" w:lineRule="auto"/>
        <w:rPr>
          <w:sz w:val="20"/>
          <w:szCs w:val="20"/>
          <w:color w:val="auto"/>
        </w:rPr>
      </w:pPr>
      <w:r>
        <w:rPr>
          <w:rFonts w:ascii="Times New Roman" w:cs="Times New Roman" w:eastAsia="Times New Roman" w:hAnsi="Times New Roman"/>
          <w:sz w:val="21"/>
          <w:szCs w:val="21"/>
          <w:color w:val="auto"/>
        </w:rPr>
        <w:t>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 and (B) return to a Company representative all computers and electronic storage devices including thumb drives, back-up devices, etc. that contain Company information. To the extent that Executive owns electronic devices that contain company information (e.g. personal computers, phones or home computers), Executive agrees to allow access to such devices to Company IT personnel to remove the Company information. To the extent Company-owned electronic devices contain Executive personal information, Executive and Company agree to cooperate in the removal or copying of the personal information to a separate device for Executive. Executive agrees to sign an inventory of the devices returned and steps to taken to remove Company information from Executive’s personal computers and devices.</w:t>
      </w:r>
    </w:p>
    <w:p>
      <w:pPr>
        <w:spacing w:after="0" w:line="170" w:lineRule="exact"/>
        <w:rPr>
          <w:sz w:val="20"/>
          <w:szCs w:val="20"/>
          <w:color w:val="auto"/>
        </w:rPr>
      </w:pPr>
    </w:p>
    <w:p>
      <w:pPr>
        <w:jc w:val="both"/>
        <w:ind w:left="882" w:firstLine="726"/>
        <w:spacing w:after="0" w:line="246" w:lineRule="auto"/>
        <w:tabs>
          <w:tab w:leader="none" w:pos="2692" w:val="left"/>
        </w:tabs>
        <w:numPr>
          <w:ilvl w:val="2"/>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Executive further acknowledges that if his employment terminates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end of the Term pursuant to Section 4 of this Agreement, the restrictive covenant provisions of this Agreement will extend throughout the remainder of the Restricted Period.</w:t>
      </w:r>
    </w:p>
    <w:p>
      <w:pPr>
        <w:spacing w:after="0" w:line="167" w:lineRule="exact"/>
        <w:rPr>
          <w:rFonts w:ascii="Times New Roman" w:cs="Times New Roman" w:eastAsia="Times New Roman" w:hAnsi="Times New Roman"/>
          <w:sz w:val="22"/>
          <w:szCs w:val="22"/>
          <w:color w:val="010000"/>
        </w:rPr>
      </w:pPr>
    </w:p>
    <w:p>
      <w:pPr>
        <w:jc w:val="both"/>
        <w:ind w:left="842" w:hanging="842"/>
        <w:spacing w:after="0" w:line="250" w:lineRule="auto"/>
        <w:tabs>
          <w:tab w:leader="none" w:pos="842"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Employment by Affiliates</w:t>
      </w:r>
      <w:r>
        <w:rPr>
          <w:rFonts w:ascii="Times New Roman" w:cs="Times New Roman" w:eastAsia="Times New Roman" w:hAnsi="Times New Roman"/>
          <w:sz w:val="21"/>
          <w:szCs w:val="21"/>
          <w:color w:val="auto"/>
        </w:rPr>
        <w:t>. Notwithstanding any provision of this Agreement to the contrary, for purposes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determining whether Executive has terminated employment hereunder, “employment” means employment as an employee with the Company or any affiliate. For purposes of this Agreement, the term “affiliate” means</w:t>
      </w:r>
    </w:p>
    <w:p>
      <w:pPr>
        <w:spacing w:after="0" w:line="2" w:lineRule="exact"/>
        <w:rPr>
          <w:rFonts w:ascii="Times New Roman" w:cs="Times New Roman" w:eastAsia="Times New Roman" w:hAnsi="Times New Roman"/>
          <w:sz w:val="21"/>
          <w:szCs w:val="21"/>
          <w:color w:val="010000"/>
        </w:rPr>
      </w:pPr>
    </w:p>
    <w:p>
      <w:pPr>
        <w:jc w:val="both"/>
        <w:ind w:left="842" w:firstLine="9"/>
        <w:spacing w:after="0" w:line="233" w:lineRule="auto"/>
        <w:tabs>
          <w:tab w:leader="none" w:pos="115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Schlumberger Limited, a Curaçao company, (ii) any entity in which the equity interests owned or controlled directly or indirectly by Schlumberger Limited represent 40% or more of the voting power of the issued and outstanding equity interest of such entity, and (iii) any other company controlled by, controlling or under common control with the Company within the meaning of Section 414 of the Internal Revenue Code of 1986, as amended (the “Code”).</w:t>
      </w:r>
    </w:p>
    <w:p>
      <w:pPr>
        <w:spacing w:after="0" w:line="175" w:lineRule="exact"/>
        <w:rPr>
          <w:rFonts w:ascii="Times New Roman" w:cs="Times New Roman" w:eastAsia="Times New Roman" w:hAnsi="Times New Roman"/>
          <w:sz w:val="22"/>
          <w:szCs w:val="22"/>
          <w:color w:val="auto"/>
        </w:rPr>
      </w:pPr>
    </w:p>
    <w:p>
      <w:pPr>
        <w:jc w:val="both"/>
        <w:ind w:left="842" w:hanging="842"/>
        <w:spacing w:after="0" w:line="235" w:lineRule="auto"/>
        <w:tabs>
          <w:tab w:leader="none" w:pos="842"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Remedies</w:t>
      </w:r>
      <w:r>
        <w:rPr>
          <w:rFonts w:ascii="Times New Roman" w:cs="Times New Roman" w:eastAsia="Times New Roman" w:hAnsi="Times New Roman"/>
          <w:sz w:val="22"/>
          <w:szCs w:val="22"/>
          <w:color w:val="auto"/>
        </w:rPr>
        <w:t>. Executive acknowledges that in the event of a breach by Executive of any of restrictive covenants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contained in this Section 5, the covenants may be enforced by temporary restraining order, preliminary or temporary injunction and permanent injunction, in addition to any other remedies that may be available by law. In that connection, Executive acknowledges that in the event of any such breach, the Company will suffer irreparable injury for which there is no adequate legal remedy, in part because damages caused by the breach may be difficult to prove with any reasonable degree of certainty. Executive further agrees that in the event that (x) the Company determines that Executive has breached any term of this Section 5 or (y) all or any part of this Section 5 is held or found invalid or unenforceable for any reason whatsoever by a court of competent jurisdiction in an</w:t>
      </w:r>
    </w:p>
    <w:p>
      <w:pPr>
        <w:spacing w:after="0" w:line="178" w:lineRule="exact"/>
        <w:rPr>
          <w:sz w:val="20"/>
          <w:szCs w:val="20"/>
          <w:color w:val="auto"/>
        </w:rPr>
      </w:pPr>
    </w:p>
    <w:p>
      <w:pPr>
        <w:ind w:left="4722"/>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66675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544" w:right="339" w:bottom="1440" w:gutter="0" w:footer="0" w:header="0"/>
        </w:sectPr>
      </w:pPr>
    </w:p>
    <w:bookmarkStart w:id="32" w:name="page33"/>
    <w:bookmarkEnd w:id="32"/>
    <w:p>
      <w:pPr>
        <w:jc w:val="both"/>
        <w:ind w:left="1700"/>
        <w:spacing w:after="0" w:line="235" w:lineRule="auto"/>
        <w:rPr>
          <w:sz w:val="20"/>
          <w:szCs w:val="20"/>
          <w:color w:val="auto"/>
        </w:rPr>
      </w:pPr>
      <w:r>
        <w:rPr>
          <w:rFonts w:ascii="Times New Roman" w:cs="Times New Roman" w:eastAsia="Times New Roman" w:hAnsi="Times New Roman"/>
          <w:sz w:val="22"/>
          <w:szCs w:val="22"/>
          <w:color w:val="auto"/>
        </w:rPr>
        <w:t>action between Executive and the Company, in addition to any other remedies at law or in equity the Company may have available to it, the Company may immediately stop payment or issuance of any future amounts, including shares of Company common stock under otherwise vested equity incentive awards, due pursuant to Section 3, and may in its sole discretion require that Executive repay to the Company, within five business days of receipt of written demand therefor, an amount equal to the payments or benefits received by Executive pursuant to Section 3. The repayment required by the foregoing provision shall be net of any taxes withheld on the original payments to Executive.</w:t>
      </w:r>
    </w:p>
    <w:p>
      <w:pPr>
        <w:spacing w:after="0" w:line="183" w:lineRule="exact"/>
        <w:rPr>
          <w:sz w:val="20"/>
          <w:szCs w:val="20"/>
          <w:color w:val="auto"/>
        </w:rPr>
      </w:pPr>
    </w:p>
    <w:p>
      <w:pPr>
        <w:jc w:val="both"/>
        <w:ind w:firstLine="8"/>
        <w:spacing w:after="0" w:line="244" w:lineRule="auto"/>
        <w:tabs>
          <w:tab w:leader="none" w:pos="810"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and Executive shall each be responsible for their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73" w:lineRule="exact"/>
        <w:rPr>
          <w:rFonts w:ascii="Times New Roman" w:cs="Times New Roman" w:eastAsia="Times New Roman" w:hAnsi="Times New Roman"/>
          <w:sz w:val="22"/>
          <w:szCs w:val="22"/>
          <w:color w:val="010000"/>
        </w:rPr>
      </w:pPr>
    </w:p>
    <w:p>
      <w:pPr>
        <w:jc w:val="both"/>
        <w:ind w:firstLine="8"/>
        <w:spacing w:after="0" w:line="239" w:lineRule="auto"/>
        <w:tabs>
          <w:tab w:leader="none" w:pos="810"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For purposes of this Agreement, all notices and all other communications provided for herein shall be in writing and shall be deemed to have been duly given when personally delivered or when mailed by registered or certified mail, return receipt requested, postage prepaid, and (unless specified otherwise herein for communications to the CEO) addressed as follows:</w:t>
      </w:r>
    </w:p>
    <w:p>
      <w:pPr>
        <w:sectPr>
          <w:pgSz w:w="11900" w:h="16838" w:orient="portrait"/>
          <w:cols w:equalWidth="0" w:num="1">
            <w:col w:w="11240"/>
          </w:cols>
          <w:pgMar w:left="320" w:top="544" w:right="339" w:bottom="1440" w:gutter="0" w:footer="0" w:header="0"/>
        </w:sectPr>
      </w:pPr>
    </w:p>
    <w:p>
      <w:pPr>
        <w:spacing w:after="0" w:line="18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Schlumberger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5599 San Felipe, 17th Floor</w:t>
      </w:r>
    </w:p>
    <w:p>
      <w:pPr>
        <w:spacing w:after="0" w:line="230" w:lineRule="auto"/>
        <w:rPr>
          <w:sz w:val="20"/>
          <w:szCs w:val="20"/>
          <w:color w:val="auto"/>
        </w:rPr>
      </w:pPr>
      <w:r>
        <w:rPr>
          <w:rFonts w:ascii="Times New Roman" w:cs="Times New Roman" w:eastAsia="Times New Roman" w:hAnsi="Times New Roman"/>
          <w:sz w:val="22"/>
          <w:szCs w:val="22"/>
          <w:color w:val="auto"/>
        </w:rPr>
        <w:t>Houston, TX 77056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Vice President, Human Resources</w:t>
      </w:r>
    </w:p>
    <w:p>
      <w:pPr>
        <w:spacing w:after="0" w:line="200" w:lineRule="exact"/>
        <w:rPr>
          <w:sz w:val="20"/>
          <w:szCs w:val="20"/>
          <w:color w:val="auto"/>
        </w:rPr>
      </w:pPr>
    </w:p>
    <w:p>
      <w:pPr>
        <w:sectPr>
          <w:pgSz w:w="11900" w:h="16838" w:orient="portrait"/>
          <w:cols w:equalWidth="0" w:num="2">
            <w:col w:w="3300" w:space="720"/>
            <w:col w:w="7220"/>
          </w:cols>
          <w:pgMar w:left="320" w:top="544" w:right="339" w:bottom="1440" w:gutter="0" w:footer="0" w:header="0"/>
          <w:type w:val="continuous"/>
        </w:sectPr>
      </w:pPr>
    </w:p>
    <w:p>
      <w:pPr>
        <w:spacing w:after="0" w:line="210"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21"/>
          <w:szCs w:val="21"/>
          <w:color w:val="auto"/>
        </w:rPr>
        <w:t>If to Executive: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Ashok Belani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[REDACTED]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[REDACTED]</w:t>
      </w:r>
    </w:p>
    <w:p>
      <w:pPr>
        <w:spacing w:after="0" w:line="194" w:lineRule="exact"/>
        <w:rPr>
          <w:sz w:val="20"/>
          <w:szCs w:val="20"/>
          <w:color w:val="auto"/>
        </w:rPr>
      </w:pPr>
    </w:p>
    <w:p>
      <w:pPr>
        <w:sectPr>
          <w:pgSz w:w="11900" w:h="16838" w:orient="portrait"/>
          <w:cols w:equalWidth="0" w:num="2">
            <w:col w:w="3300" w:space="720"/>
            <w:col w:w="7220"/>
          </w:cols>
          <w:pgMar w:left="320" w:top="544" w:right="339" w:bottom="1440" w:gutter="0" w:footer="0" w:header="0"/>
          <w:type w:val="continuous"/>
        </w:sectPr>
      </w:pPr>
    </w:p>
    <w:p>
      <w:pPr>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may furnish to the other in writing in accordance herewith, except that notices of changes of address shall be effective only upon receipt.</w:t>
      </w:r>
    </w:p>
    <w:p>
      <w:pPr>
        <w:spacing w:after="0" w:line="158" w:lineRule="exact"/>
        <w:rPr>
          <w:sz w:val="20"/>
          <w:szCs w:val="20"/>
          <w:color w:val="auto"/>
        </w:rPr>
      </w:pPr>
    </w:p>
    <w:p>
      <w:pPr>
        <w:jc w:val="both"/>
        <w:ind w:firstLine="8"/>
        <w:spacing w:after="0" w:line="235" w:lineRule="auto"/>
        <w:tabs>
          <w:tab w:leader="none" w:pos="810"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Applicable Law; Venue</w:t>
      </w:r>
      <w:r>
        <w:rPr>
          <w:rFonts w:ascii="Times New Roman" w:cs="Times New Roman" w:eastAsia="Times New Roman" w:hAnsi="Times New Roman"/>
          <w:sz w:val="22"/>
          <w:szCs w:val="22"/>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 Any suit, action or other legal proceeding arising out of this Agreement shall be brought in the United States District Court for the Southern District of Texas, Houston Division, or, if such court does not have jurisdiction or will not accept jurisdiction, in any court of general jurisdiction in Harris County, Texas. Each of Executive and the Company consents to the jurisdiction of any such court in any such suit, action, or proceeding and waives any objection that it may have to the laying of venue of any such suit, action, or proceeding in any such court.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33" w:name="page34"/>
    <w:bookmarkEnd w:id="33"/>
    <w:p>
      <w:pPr>
        <w:jc w:val="both"/>
        <w:ind w:firstLine="8"/>
        <w:spacing w:after="0" w:line="244" w:lineRule="auto"/>
        <w:tabs>
          <w:tab w:leader="none" w:pos="810"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173" w:lineRule="exact"/>
        <w:rPr>
          <w:rFonts w:ascii="Times New Roman" w:cs="Times New Roman" w:eastAsia="Times New Roman" w:hAnsi="Times New Roman"/>
          <w:sz w:val="22"/>
          <w:szCs w:val="22"/>
          <w:color w:val="010000"/>
        </w:rPr>
      </w:pPr>
    </w:p>
    <w:p>
      <w:pPr>
        <w:ind w:firstLine="8"/>
        <w:spacing w:after="0" w:line="258" w:lineRule="auto"/>
        <w:tabs>
          <w:tab w:leader="none" w:pos="918"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The Company may withhold from any benefits payable under this Agreement all federal, state, city or other taxes as may be required pursuant to any law or governmental regulation or ruling.</w:t>
      </w:r>
    </w:p>
    <w:p>
      <w:pPr>
        <w:spacing w:after="0" w:line="158" w:lineRule="exact"/>
        <w:rPr>
          <w:rFonts w:ascii="Times New Roman" w:cs="Times New Roman" w:eastAsia="Times New Roman" w:hAnsi="Times New Roman"/>
          <w:sz w:val="22"/>
          <w:szCs w:val="22"/>
          <w:color w:val="010000"/>
        </w:rPr>
      </w:pPr>
    </w:p>
    <w:p>
      <w:pPr>
        <w:jc w:val="both"/>
        <w:ind w:firstLine="8"/>
        <w:spacing w:after="0" w:line="236" w:lineRule="auto"/>
        <w:tabs>
          <w:tab w:leader="none" w:pos="910"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Assignment; Successors</w:t>
      </w:r>
      <w:r>
        <w:rPr>
          <w:rFonts w:ascii="Times New Roman" w:cs="Times New Roman" w:eastAsia="Times New Roman" w:hAnsi="Times New Roman"/>
          <w:sz w:val="22"/>
          <w:szCs w:val="22"/>
          <w:color w:val="auto"/>
        </w:rPr>
        <w:t>. Executive’s right to receive payments or benefits hereunder shall not be assignable or transferable, whether by pledge, creation, or a security interest or otherwise, whether voluntary, involuntary, by operation of law or otherwise, other than, as provided in Section 4(a),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Agreement shall be binding upon and inure to the benefit of the Company, its successors and assigns (including, without limitation, any entity into or with which the Company may merge or consolidate).</w:t>
      </w:r>
    </w:p>
    <w:p>
      <w:pPr>
        <w:spacing w:after="0" w:line="158" w:lineRule="exact"/>
        <w:rPr>
          <w:sz w:val="20"/>
          <w:szCs w:val="20"/>
          <w:color w:val="auto"/>
        </w:rPr>
      </w:pPr>
    </w:p>
    <w:p>
      <w:pPr>
        <w:jc w:val="both"/>
        <w:ind w:firstLine="8"/>
        <w:spacing w:after="0" w:line="236" w:lineRule="auto"/>
        <w:tabs>
          <w:tab w:leader="none" w:pos="918"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 of Prior Agreements</w:t>
      </w:r>
      <w:r>
        <w:rPr>
          <w:rFonts w:ascii="Times New Roman" w:cs="Times New Roman" w:eastAsia="Times New Roman" w:hAnsi="Times New Roman"/>
          <w:sz w:val="22"/>
          <w:szCs w:val="22"/>
          <w:color w:val="auto"/>
        </w:rPr>
        <w:t>. This Agreement, together with Exhibit A attached hereto, contains the entire understanding between the parties hereto and supersedes any prior employment, non-competition or severance or other agreement between the Company or any predecessor of the Company and Executive. Each party to this Agreement agrees that (a) no other party to this Agreement (including its agents and representatives) has made any representation, warranty, covenant or agreement to or with such party relating to the subject matter hereof, and (b) such party has not relied upon any representation, warranty, covenant or agreement relating to the subject matter hereof.</w:t>
      </w:r>
    </w:p>
    <w:p>
      <w:pPr>
        <w:spacing w:after="0" w:line="181" w:lineRule="exact"/>
        <w:rPr>
          <w:rFonts w:ascii="Times New Roman" w:cs="Times New Roman" w:eastAsia="Times New Roman" w:hAnsi="Times New Roman"/>
          <w:sz w:val="22"/>
          <w:szCs w:val="22"/>
          <w:color w:val="010000"/>
        </w:rPr>
      </w:pPr>
    </w:p>
    <w:p>
      <w:pPr>
        <w:jc w:val="both"/>
        <w:ind w:firstLine="8"/>
        <w:spacing w:after="0" w:line="235" w:lineRule="auto"/>
        <w:tabs>
          <w:tab w:leader="none" w:pos="918"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In consideration for the compensation and other benefits provided pursuant to this Agreement, Executive has executed a “Waiver and Release” in the form attached hereto as Exhibit A. Executive acknowledges that he was presented the terms of this Agreement and the Waiver and Release on January 3, 2021 and was given at least 21 days to review. The Company’s obligations under this Agreement are expressly conditioned on Executive’s execution and delivery of the Waiver and Release within the time period set forth therein, as well as Executive’s non-revocation of the Waiver and Release by the time provided therein. Executive’s failure to timely execute and deliver such Waiver and Release, or Executive’s revocation of the Waiver and Release within the seven-day period provided in the Waiver and Release, will void the Company’s obligations hereunder.</w:t>
      </w:r>
    </w:p>
    <w:p>
      <w:pPr>
        <w:spacing w:after="0" w:line="178" w:lineRule="exact"/>
        <w:rPr>
          <w:rFonts w:ascii="Times New Roman" w:cs="Times New Roman" w:eastAsia="Times New Roman" w:hAnsi="Times New Roman"/>
          <w:sz w:val="22"/>
          <w:szCs w:val="22"/>
          <w:color w:val="010000"/>
        </w:rPr>
      </w:pPr>
    </w:p>
    <w:p>
      <w:pPr>
        <w:jc w:val="both"/>
        <w:ind w:firstLine="8"/>
        <w:spacing w:after="0" w:line="244" w:lineRule="auto"/>
        <w:tabs>
          <w:tab w:leader="none" w:pos="918"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Each payment under this Agreement, including each payment in a series of installment payments, is intended to be a separate payment for purposes of Treas. Reg. § 1.409A-2(b), and is intended to be: (i) exempt from Section 409A of the Code, the regulations and other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jc w:val="both"/>
        <w:spacing w:after="0" w:line="233" w:lineRule="auto"/>
        <w:rPr>
          <w:sz w:val="20"/>
          <w:szCs w:val="20"/>
          <w:color w:val="auto"/>
        </w:rPr>
      </w:pPr>
      <w:r>
        <w:rPr>
          <w:rFonts w:ascii="Times New Roman" w:cs="Times New Roman" w:eastAsia="Times New Roman" w:hAnsi="Times New Roman"/>
          <w:sz w:val="22"/>
          <w:szCs w:val="22"/>
          <w:color w:val="auto"/>
        </w:rPr>
        <w:t>binding guidance promulgated thereunder (“Section 409A”), including, but not limited to, by compliance with the short-term deferral exemption as specified in Treas. Reg. § 1.409A-1(b)(4) and the involuntary separation pay exception within the meaning of Treas. Reg. § 1.409A-1(b)(9)(iii), or (ii) in compliance with Section 409A, including, but not limited to, being paid pursuant to a fixed schedule or specified date pursuant to Treas. Reg. § 1.409A-3(a) and the provisions of this Agreement will be administered, interpreted and construed accordingly. Notwithstanding the foregoing provisions of this Agreement, if the payment of any severance compensation or severance benefits under Section 3 would be subject to additional taxes and interest under Section 409A because the timing of such payment is not delayed as provided in Section 409A(a)(2)(B)(i) of the Code, and Executive constitutes a specified employee within the meaning of Section 409A(a)(2)(B)(i) of the Code, then any such payments that Executive would otherwise be entitled to during the first six months following Executive’s separation from service within the meaning of Section 409A(a)(2)(A)(i) of the Code shall be accumulated and paid on the date that is six months after Executive’s separation from service (or if such payment date does not fall on a business day of the Company, the next following business day of the Company), or such earlier date upon which such amount can be paid under Section 409A without being subject to such additional taxes and interest.</w:t>
      </w:r>
    </w:p>
    <w:p>
      <w:pPr>
        <w:spacing w:after="0" w:line="182" w:lineRule="exact"/>
        <w:rPr>
          <w:sz w:val="20"/>
          <w:szCs w:val="20"/>
          <w:color w:val="auto"/>
        </w:rPr>
      </w:pPr>
    </w:p>
    <w:p>
      <w:pPr>
        <w:jc w:val="both"/>
        <w:ind w:firstLine="8"/>
        <w:spacing w:after="0" w:line="244" w:lineRule="auto"/>
        <w:tabs>
          <w:tab w:leader="none" w:pos="918"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failure by either party hereto at any time to give notice of any breach by the other party of, or to require compliance with, any condition or provision of this Agreement shall be deemed a waiver of similar or dissimilar provisions or conditions at the same or at any prior or subsequent time.</w:t>
      </w:r>
    </w:p>
    <w:p>
      <w:pPr>
        <w:spacing w:after="0" w:line="173" w:lineRule="exact"/>
        <w:rPr>
          <w:rFonts w:ascii="Times New Roman" w:cs="Times New Roman" w:eastAsia="Times New Roman" w:hAnsi="Times New Roman"/>
          <w:sz w:val="22"/>
          <w:szCs w:val="22"/>
          <w:color w:val="010000"/>
        </w:rPr>
      </w:pPr>
    </w:p>
    <w:p>
      <w:pPr>
        <w:jc w:val="both"/>
        <w:ind w:firstLine="8"/>
        <w:spacing w:after="0" w:line="239" w:lineRule="auto"/>
        <w:tabs>
          <w:tab w:leader="none" w:pos="918"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 Delivery of an executed counterpart of a signature page of this Agreement by fax copy or scan/email or other electronic transmission (e.g., PDF) shall be effective as delivery of a manually-executed counterpart of this Agreement.</w:t>
      </w:r>
    </w:p>
    <w:p>
      <w:pPr>
        <w:spacing w:after="0" w:line="180" w:lineRule="exact"/>
        <w:rPr>
          <w:rFonts w:ascii="Times New Roman" w:cs="Times New Roman" w:eastAsia="Times New Roman" w:hAnsi="Times New Roman"/>
          <w:sz w:val="22"/>
          <w:szCs w:val="22"/>
          <w:color w:val="010000"/>
        </w:rPr>
      </w:pPr>
    </w:p>
    <w:p>
      <w:pPr>
        <w:ind w:left="920" w:hanging="912"/>
        <w:spacing w:after="0"/>
        <w:tabs>
          <w:tab w:leader="none" w:pos="920"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Section headings have been inserted for purposes of convenience and shall not be used for interpretive</w:t>
      </w:r>
    </w:p>
    <w:p>
      <w:pPr>
        <w:spacing w:after="0" w:line="25"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purposes.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on the dates set forth below their respective signatures, but effective as of the date and year first above written.</w:t>
      </w:r>
    </w:p>
    <w:p>
      <w:pPr>
        <w:spacing w:after="0" w:line="1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SCHLUMBERGER</w:t>
      </w:r>
    </w:p>
    <w:p>
      <w:pPr>
        <w:spacing w:after="0" w:line="1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LIMITED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By: /s/ Gavin Rennick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10795</wp:posOffset>
            </wp:positionV>
            <wp:extent cx="12941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22"/>
          <w:szCs w:val="22"/>
          <w:color w:val="auto"/>
        </w:rPr>
        <w:t>Name:Gavin Rennick</w:t>
      </w:r>
    </w:p>
    <w:p>
      <w:pPr>
        <w:ind w:left="4440"/>
        <w:spacing w:after="0"/>
        <w:tabs>
          <w:tab w:leader="none" w:pos="5600" w:val="left"/>
        </w:tabs>
        <w:rPr>
          <w:sz w:val="20"/>
          <w:szCs w:val="20"/>
          <w:color w:val="auto"/>
        </w:rPr>
      </w:pPr>
      <w:r>
        <w:rPr>
          <w:rFonts w:ascii="Times New Roman" w:cs="Times New Roman" w:eastAsia="Times New Roman" w:hAnsi="Times New Roman"/>
          <w:sz w:val="22"/>
          <w:szCs w:val="22"/>
          <w:color w:val="auto"/>
        </w:rPr>
        <w:t>Title: Vice</w:t>
      </w:r>
      <w:r>
        <w:rPr>
          <w:sz w:val="20"/>
          <w:szCs w:val="20"/>
          <w:color w:val="auto"/>
        </w:rPr>
        <w:tab/>
      </w:r>
      <w:r>
        <w:rPr>
          <w:rFonts w:ascii="Times New Roman" w:cs="Times New Roman" w:eastAsia="Times New Roman" w:hAnsi="Times New Roman"/>
          <w:sz w:val="21"/>
          <w:szCs w:val="21"/>
          <w:color w:val="auto"/>
        </w:rPr>
        <w:t>President,</w:t>
      </w:r>
    </w:p>
    <w:p>
      <w:pPr>
        <w:ind w:left="5020"/>
        <w:spacing w:after="0" w:line="231" w:lineRule="auto"/>
        <w:rPr>
          <w:sz w:val="20"/>
          <w:szCs w:val="20"/>
          <w:color w:val="auto"/>
        </w:rPr>
      </w:pPr>
      <w:r>
        <w:rPr>
          <w:rFonts w:ascii="Times New Roman" w:cs="Times New Roman" w:eastAsia="Times New Roman" w:hAnsi="Times New Roman"/>
          <w:sz w:val="22"/>
          <w:szCs w:val="22"/>
          <w:color w:val="auto"/>
        </w:rPr>
        <w:t>Human</w:t>
      </w:r>
    </w:p>
    <w:p>
      <w:pPr>
        <w:ind w:left="5020"/>
        <w:spacing w:after="0" w:line="230" w:lineRule="auto"/>
        <w:rPr>
          <w:sz w:val="20"/>
          <w:szCs w:val="20"/>
          <w:color w:val="auto"/>
        </w:rPr>
      </w:pPr>
      <w:r>
        <w:rPr>
          <w:rFonts w:ascii="Times New Roman" w:cs="Times New Roman" w:eastAsia="Times New Roman" w:hAnsi="Times New Roman"/>
          <w:sz w:val="22"/>
          <w:szCs w:val="22"/>
          <w:color w:val="auto"/>
        </w:rPr>
        <w:t>Resources</w:t>
      </w:r>
    </w:p>
    <w:p>
      <w:pPr>
        <w:ind w:left="4440"/>
        <w:spacing w:after="0"/>
        <w:tabs>
          <w:tab w:leader="none" w:pos="6200" w:val="left"/>
        </w:tabs>
        <w:rPr>
          <w:sz w:val="20"/>
          <w:szCs w:val="20"/>
          <w:color w:val="auto"/>
        </w:rPr>
      </w:pPr>
      <w:r>
        <w:rPr>
          <w:rFonts w:ascii="Times New Roman" w:cs="Times New Roman" w:eastAsia="Times New Roman" w:hAnsi="Times New Roman"/>
          <w:sz w:val="22"/>
          <w:szCs w:val="22"/>
          <w:color w:val="auto"/>
        </w:rPr>
        <w:t>Date: February</w:t>
      </w:r>
      <w:r>
        <w:rPr>
          <w:sz w:val="20"/>
          <w:szCs w:val="20"/>
          <w:color w:val="auto"/>
        </w:rPr>
        <w:tab/>
      </w:r>
      <w:r>
        <w:rPr>
          <w:rFonts w:ascii="Times New Roman" w:cs="Times New Roman" w:eastAsia="Times New Roman" w:hAnsi="Times New Roman"/>
          <w:sz w:val="19"/>
          <w:szCs w:val="19"/>
          <w:color w:val="auto"/>
        </w:rPr>
        <w:t>21,</w:t>
      </w:r>
    </w:p>
    <w:p>
      <w:pPr>
        <w:ind w:left="5020"/>
        <w:spacing w:after="0"/>
        <w:rPr>
          <w:sz w:val="20"/>
          <w:szCs w:val="20"/>
          <w:color w:val="auto"/>
        </w:rPr>
      </w:pPr>
      <w:r>
        <w:rPr>
          <w:rFonts w:ascii="Times New Roman" w:cs="Times New Roman" w:eastAsia="Times New Roman" w:hAnsi="Times New Roman"/>
          <w:sz w:val="22"/>
          <w:szCs w:val="22"/>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/s/ Ashok Belani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10795</wp:posOffset>
            </wp:positionV>
            <wp:extent cx="12941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22"/>
          <w:szCs w:val="22"/>
          <w:color w:val="auto"/>
        </w:rPr>
        <w:t>Name:Ashok Belani</w:t>
      </w:r>
    </w:p>
    <w:p>
      <w:pPr>
        <w:ind w:left="4440"/>
        <w:spacing w:after="0"/>
        <w:tabs>
          <w:tab w:leader="none" w:pos="6200" w:val="left"/>
        </w:tabs>
        <w:rPr>
          <w:sz w:val="20"/>
          <w:szCs w:val="20"/>
          <w:color w:val="auto"/>
        </w:rPr>
      </w:pPr>
      <w:r>
        <w:rPr>
          <w:rFonts w:ascii="Times New Roman" w:cs="Times New Roman" w:eastAsia="Times New Roman" w:hAnsi="Times New Roman"/>
          <w:sz w:val="22"/>
          <w:szCs w:val="22"/>
          <w:color w:val="auto"/>
        </w:rPr>
        <w:t>Date: February</w:t>
      </w:r>
      <w:r>
        <w:rPr>
          <w:sz w:val="20"/>
          <w:szCs w:val="20"/>
          <w:color w:val="auto"/>
        </w:rPr>
        <w:tab/>
      </w:r>
      <w:r>
        <w:rPr>
          <w:rFonts w:ascii="Times New Roman" w:cs="Times New Roman" w:eastAsia="Times New Roman" w:hAnsi="Times New Roman"/>
          <w:sz w:val="19"/>
          <w:szCs w:val="19"/>
          <w:color w:val="auto"/>
        </w:rPr>
        <w:t>21,</w:t>
      </w:r>
    </w:p>
    <w:p>
      <w:pPr>
        <w:spacing w:after="0" w:line="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SCHLUMBERGER LIMITED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WAIVER AND RELEASE</w:t>
      </w:r>
    </w:p>
    <w:p>
      <w:pPr>
        <w:spacing w:after="0" w:line="202" w:lineRule="exact"/>
        <w:rPr>
          <w:sz w:val="20"/>
          <w:szCs w:val="20"/>
          <w:color w:val="auto"/>
        </w:rPr>
      </w:pPr>
    </w:p>
    <w:p>
      <w:pPr>
        <w:ind w:left="1300" w:hanging="860"/>
        <w:spacing w:after="0"/>
        <w:tabs>
          <w:tab w:leader="none" w:pos="130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Schlumberger Limited (the “Company”) has offered to pay or confer to me, as applicable, certain remuneration and benefits (collectively, the “Consideration”) pursuant to, and subject to the limitations set forth in, my Employment Agreement with Schlumberger Limited effective as of April 1, 2022 (the “Agreement”), which is in addition to any remuneration or benefits to which I am already entitled.</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have read this Waiver and Release and the Agreement (which, together, are referred to herein as the “Agreement Materials”) and the Agreement is incorporated herein by reference. The payment and delivery, as applicable, of the Consideration is voluntary on the part of the Company and is not required by any legal obligation other than the Agreement. I choose to accept this offer.</w:t>
      </w:r>
    </w:p>
    <w:p>
      <w:pPr>
        <w:spacing w:after="0" w:line="176" w:lineRule="exact"/>
        <w:rPr>
          <w:sz w:val="20"/>
          <w:szCs w:val="20"/>
          <w:color w:val="auto"/>
        </w:rPr>
      </w:pPr>
    </w:p>
    <w:p>
      <w:pPr>
        <w:ind w:left="1300" w:hanging="860"/>
        <w:spacing w:after="0"/>
        <w:tabs>
          <w:tab w:leader="none" w:pos="13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Consideration was offered to me in exchange for my agreement, among other things, to waive all of my claims against and release the Company and its predecessors, successors and assigns, all of the affiliates (including parents and subsidiaries) of the and the Company’s and Affiliates’ directors and officers, employees and agents, employee benefit plans and the fiduciaries and agents of such plans (collectively, the “Corporate Group”) from any and all claims, demands, actions, liabilities and damages arising out of or relating in any way to my employment with or separation from the Company or the Affiliates; provided, however, that this Waiver and Release shall not apply to any claim or cause of action to enforce or interpret any provision contained in the Agreement.</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 understand that signing this Waiver and Release is an important legal act. I acknowledge that the Company has advised me in writing to consult an attorney before signing this Waiver and Release. I understand that, in order to be eligible for the Consideration, I must sign and return this Waiver and Release by 5:00 p.m. on March 31, 2022 to: Gavin Rennick, Vice President, Human Resources, Schlumberger Limited, 5599 San Felipe, 17th Floor, Houston, TX 77056. I acknowledge that I have been given at least 21 days to consider whether to sign the Agreement and whether to execute this Waiver and Release.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exchange for the payment and, as applicable, the delivery to me of the Consideration, which is in addition to any remuneration or benefits to which I am already entitled, I, among other things:</w:t>
      </w:r>
    </w:p>
    <w:p>
      <w:pPr>
        <w:spacing w:after="0" w:line="158" w:lineRule="exact"/>
        <w:rPr>
          <w:sz w:val="20"/>
          <w:szCs w:val="20"/>
          <w:color w:val="auto"/>
        </w:rPr>
      </w:pPr>
    </w:p>
    <w:p>
      <w:pPr>
        <w:jc w:val="both"/>
        <w:ind w:left="880" w:hanging="8"/>
        <w:spacing w:after="0" w:line="244" w:lineRule="auto"/>
        <w:tabs>
          <w:tab w:leader="none" w:pos="118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never to institute, maintain or prosecute, or induce or assist in the instigation, commencement, maintenance or prosecution of any action, suit, proceeding or administrative charge in any forum regarding or relating in any way to my employment with or separation from the Company or the Affiliates, and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jc w:val="both"/>
        <w:ind w:left="880" w:hanging="8"/>
        <w:spacing w:after="0" w:line="238" w:lineRule="auto"/>
        <w:tabs>
          <w:tab w:leader="none" w:pos="121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knowingly and voluntarily waive all claims and release the Corporate Group from any and all claims, demands, actions, liabilities, and damages, whether known or unknown, arising out of or relating in any way to my employment with or separation from the Company or the Affiliates, except to the extent that my rights are vested under the terms of employee benefit plans sponsored by the Company or the Affiliates and except with respect to such rights or claims as may arise after the date this Waiver and Release is executed.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Waiver and Release includes, but is not limited to, claims and causes of action under:</w:t>
      </w:r>
    </w:p>
    <w:p>
      <w:pPr>
        <w:spacing w:after="0" w:line="206" w:lineRule="exact"/>
        <w:rPr>
          <w:sz w:val="20"/>
          <w:szCs w:val="20"/>
          <w:color w:val="auto"/>
        </w:rPr>
      </w:pPr>
    </w:p>
    <w:p>
      <w:pPr>
        <w:ind w:left="880" w:hanging="440"/>
        <w:spacing w:after="0"/>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VII of the Civil Rights Act of 1964, as amended (“Title VII”);</w:t>
      </w:r>
    </w:p>
    <w:p>
      <w:pPr>
        <w:spacing w:after="0" w:line="206" w:lineRule="exact"/>
        <w:rPr>
          <w:rFonts w:ascii="Times New Roman" w:cs="Times New Roman" w:eastAsia="Times New Roman" w:hAnsi="Times New Roman"/>
          <w:sz w:val="22"/>
          <w:szCs w:val="22"/>
          <w:color w:val="auto"/>
        </w:rPr>
      </w:pPr>
    </w:p>
    <w:p>
      <w:pPr>
        <w:ind w:left="880" w:hanging="440"/>
        <w:spacing w:after="0" w:line="258" w:lineRule="auto"/>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 Discrimination in Employment Act of 1967, as amended, including the Older Workers Benefit Protection Act of 1990 (“ADEA”);</w:t>
      </w:r>
    </w:p>
    <w:p>
      <w:pPr>
        <w:spacing w:after="0" w:line="144"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Civil Rights Act of 1866, as amended; the Civil Rights Act of 1991;</w:t>
      </w:r>
    </w:p>
    <w:p>
      <w:pPr>
        <w:spacing w:after="0" w:line="206"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Americans with Disabilities Act of 1990 (“ADA”);</w:t>
      </w:r>
    </w:p>
    <w:p>
      <w:pPr>
        <w:spacing w:after="0" w:line="206"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Energy Reorganization Act, as amended, 42 U.S.C. § 5851;</w:t>
      </w:r>
    </w:p>
    <w:p>
      <w:pPr>
        <w:spacing w:after="0" w:line="206"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Workers Adjustment and Retraining Notification Act of 1988;</w:t>
      </w:r>
    </w:p>
    <w:p>
      <w:pPr>
        <w:spacing w:after="0" w:line="206"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Retirement Income Security Act of 1974, as amended;</w:t>
      </w:r>
    </w:p>
    <w:p>
      <w:pPr>
        <w:spacing w:after="0" w:line="206"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Family and Medical Leave Act of 1993;</w:t>
      </w:r>
    </w:p>
    <w:p>
      <w:pPr>
        <w:spacing w:after="0" w:line="206"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Occupational Safety and Health Act (“OSHA”);</w:t>
      </w:r>
    </w:p>
    <w:p>
      <w:pPr>
        <w:spacing w:after="0" w:line="206"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in connection with workers’ compensation; and/or</w:t>
      </w:r>
    </w:p>
    <w:p>
      <w:pPr>
        <w:spacing w:after="0" w:line="206" w:lineRule="exact"/>
        <w:rPr>
          <w:rFonts w:ascii="Times New Roman" w:cs="Times New Roman" w:eastAsia="Times New Roman" w:hAnsi="Times New Roman"/>
          <w:sz w:val="22"/>
          <w:szCs w:val="22"/>
          <w:color w:val="auto"/>
        </w:rPr>
      </w:pPr>
    </w:p>
    <w:p>
      <w:pPr>
        <w:ind w:left="880" w:right="20" w:hanging="440"/>
        <w:spacing w:after="0" w:line="258" w:lineRule="auto"/>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tort, defamation, slander, wrongful termination or any other state or federal regulatory, statutory or common law.</w:t>
      </w:r>
    </w:p>
    <w:p>
      <w:pPr>
        <w:spacing w:after="0" w:line="357" w:lineRule="exact"/>
        <w:rPr>
          <w:sz w:val="20"/>
          <w:szCs w:val="20"/>
          <w:color w:val="auto"/>
        </w:rPr>
      </w:pPr>
    </w:p>
    <w:p>
      <w:pPr>
        <w:ind w:left="1300" w:hanging="860"/>
        <w:spacing w:after="0"/>
        <w:tabs>
          <w:tab w:leader="none" w:pos="130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Completeness and Validity of Agreement Materials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expressly represent that no promise or agreement which is not expressed in the Agreement Materials has been made to me in executing this Waiver and Release, and that I am relying on my own judgment in executing this Waiver and Release, and that I am not relying on any statement or representation of the Company, any of the Affiliates or any other member of the Corporate Group or any of their agents.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22"/>
          <w:szCs w:val="22"/>
          <w:color w:val="auto"/>
        </w:rPr>
        <w:t>I agree that this Waiver and Release is valid, fair, adequate and reasonable, is with my full knowledge and consent, was not procured through fraud, duress or mistake and has not had the effect of misleading, misinforming or failing to inform me.</w:t>
      </w:r>
    </w:p>
    <w:p>
      <w:pPr>
        <w:spacing w:after="0" w:line="154"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Limitation of Waiver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above, nothing in this Waiver and Release is intended to:</w:t>
      </w:r>
    </w:p>
    <w:p>
      <w:pPr>
        <w:spacing w:after="0" w:line="206" w:lineRule="exact"/>
        <w:rPr>
          <w:sz w:val="20"/>
          <w:szCs w:val="20"/>
          <w:color w:val="auto"/>
        </w:rPr>
      </w:pPr>
    </w:p>
    <w:p>
      <w:pPr>
        <w:jc w:val="both"/>
        <w:ind w:left="1840" w:firstLine="4"/>
        <w:spacing w:after="0" w:line="239" w:lineRule="auto"/>
        <w:tabs>
          <w:tab w:leader="none" w:pos="2692"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release or affect in any way any board resolution or by-law of the Company or other agreement between me and the Company which may provide for indemnity and/or director and officer insurance coverage relating to any potential claim against me arising out of my role as an officer and employee of the Company,</w:t>
      </w:r>
    </w:p>
    <w:p>
      <w:pPr>
        <w:spacing w:after="0" w:line="180" w:lineRule="exact"/>
        <w:rPr>
          <w:rFonts w:ascii="Times New Roman" w:cs="Times New Roman" w:eastAsia="Times New Roman" w:hAnsi="Times New Roman"/>
          <w:sz w:val="22"/>
          <w:szCs w:val="22"/>
          <w:color w:val="010000"/>
        </w:rPr>
      </w:pPr>
    </w:p>
    <w:p>
      <w:pPr>
        <w:ind w:left="2760" w:hanging="916"/>
        <w:spacing w:after="0"/>
        <w:tabs>
          <w:tab w:leader="none" w:pos="2760"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release or affect in any way any claims arising under the Agreement;</w:t>
      </w:r>
    </w:p>
    <w:p>
      <w:pPr>
        <w:spacing w:after="0" w:line="206" w:lineRule="exact"/>
        <w:rPr>
          <w:rFonts w:ascii="Times New Roman" w:cs="Times New Roman" w:eastAsia="Times New Roman" w:hAnsi="Times New Roman"/>
          <w:sz w:val="22"/>
          <w:szCs w:val="22"/>
          <w:color w:val="010000"/>
        </w:rPr>
      </w:pPr>
    </w:p>
    <w:p>
      <w:pPr>
        <w:jc w:val="both"/>
        <w:ind w:left="1840" w:firstLine="4"/>
        <w:spacing w:after="0" w:line="244" w:lineRule="auto"/>
        <w:tabs>
          <w:tab w:leader="none" w:pos="2812"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prevent me from filing a complaint with, providing information to, or testifying or otherwise assisting in any investigation or proceeding brought by any state, federal or local regulatory or law enforcement agency or legislative body, or</w:t>
      </w:r>
    </w:p>
    <w:p>
      <w:pPr>
        <w:spacing w:after="0" w:line="173" w:lineRule="exact"/>
        <w:rPr>
          <w:rFonts w:ascii="Times New Roman" w:cs="Times New Roman" w:eastAsia="Times New Roman" w:hAnsi="Times New Roman"/>
          <w:sz w:val="22"/>
          <w:szCs w:val="22"/>
          <w:color w:val="010000"/>
        </w:rPr>
      </w:pPr>
    </w:p>
    <w:p>
      <w:pPr>
        <w:ind w:left="1840" w:firstLine="4"/>
        <w:spacing w:after="0" w:line="258" w:lineRule="auto"/>
        <w:tabs>
          <w:tab w:leader="none" w:pos="2800"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prevent me from filing any claims that are not permitted to be waived or released under applicable law.</w:t>
      </w:r>
    </w:p>
    <w:p>
      <w:pPr>
        <w:spacing w:after="0" w:line="154" w:lineRule="exact"/>
        <w:rPr>
          <w:rFonts w:ascii="Times New Roman" w:cs="Times New Roman" w:eastAsia="Times New Roman" w:hAnsi="Times New Roman"/>
          <w:sz w:val="22"/>
          <w:szCs w:val="22"/>
          <w:color w:val="010000"/>
        </w:rPr>
      </w:pPr>
    </w:p>
    <w:p>
      <w:pPr>
        <w:ind w:left="1300" w:hanging="860"/>
        <w:spacing w:after="0"/>
        <w:tabs>
          <w:tab w:leader="none" w:pos="13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Forbearance of Suit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further agree and covenant that I will not seek or accept any personal, equitable or monetary relief from the Corporate Group in any action, suit, proceeding or administrative charge filed on my behalf by any person, organization or other entity against the Corporate Group.</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Notwithstanding the foregoing, I understand and the Company agrees, that nothing in the Agreement or this Waiver and Release prohibits me from reporting to any governmental authority information concerning possible violations of law or regulation, making other disclosures that are protected under the whistleblower provisions of federal law or regulation or receiving an award for information provided to any government agency (collectively the “Protected Disclosures”). This Agreement and the Waiver and Release do not limit my right to receive an award for information provided to any governmental agencies.</w:t>
      </w:r>
    </w:p>
    <w:p>
      <w:pPr>
        <w:spacing w:after="0" w:line="164"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Permitted Release of Confidential Information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Pursuant to the Defend Trade Secrets Act of 2016, I understand that I will not be held criminally or civilly liable under any federal or state trade secret law for the disclosure of any secret or Confidential Information that: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ind w:left="1120" w:hanging="248"/>
        <w:spacing w:after="0"/>
        <w:tabs>
          <w:tab w:leader="none" w:pos="11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w:t>
      </w:r>
    </w:p>
    <w:p>
      <w:pPr>
        <w:spacing w:after="0" w:line="206" w:lineRule="exact"/>
        <w:rPr>
          <w:rFonts w:ascii="Times New Roman" w:cs="Times New Roman" w:eastAsia="Times New Roman" w:hAnsi="Times New Roman"/>
          <w:sz w:val="22"/>
          <w:szCs w:val="22"/>
          <w:color w:val="auto"/>
        </w:rPr>
      </w:pPr>
    </w:p>
    <w:p>
      <w:pPr>
        <w:ind w:left="2100" w:hanging="365"/>
        <w:spacing w:after="0"/>
        <w:tabs>
          <w:tab w:leader="none" w:pos="210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confidence to a federal, state or local government official, either directly or indirectly, or to an attorney</w:t>
      </w:r>
    </w:p>
    <w:p>
      <w:pPr>
        <w:spacing w:after="0" w:line="25" w:lineRule="exact"/>
        <w:rPr>
          <w:rFonts w:ascii="Times New Roman" w:cs="Times New Roman" w:eastAsia="Times New Roman" w:hAnsi="Times New Roman"/>
          <w:sz w:val="21"/>
          <w:szCs w:val="21"/>
          <w:color w:val="auto"/>
        </w:rPr>
      </w:pPr>
    </w:p>
    <w:p>
      <w:pPr>
        <w:ind w:left="17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1"/>
          <w:szCs w:val="21"/>
          <w:color w:val="auto"/>
        </w:rPr>
      </w:pPr>
    </w:p>
    <w:p>
      <w:pPr>
        <w:ind w:left="2080" w:hanging="345"/>
        <w:spacing w:after="0"/>
        <w:tabs>
          <w:tab w:leader="none" w:pos="208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the purpose of reporting or investigating a suspected violation of law or</w:t>
      </w:r>
    </w:p>
    <w:p>
      <w:pPr>
        <w:spacing w:after="0" w:line="206" w:lineRule="exact"/>
        <w:rPr>
          <w:rFonts w:ascii="Times New Roman" w:cs="Times New Roman" w:eastAsia="Times New Roman" w:hAnsi="Times New Roman"/>
          <w:sz w:val="22"/>
          <w:szCs w:val="22"/>
          <w:color w:val="auto"/>
        </w:rPr>
      </w:pPr>
    </w:p>
    <w:p>
      <w:pPr>
        <w:ind w:left="1180" w:hanging="308"/>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a complaint or other document filed in a lawsuit or other proceeding, if such filing is made under seal.</w:t>
      </w:r>
    </w:p>
    <w:p>
      <w:pPr>
        <w:spacing w:after="0" w:line="202"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Non-admission of Wrongdoing; Employment Relationship</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acknowledge that payment and, as applicable, the delivery of the Consideration to me by the Company is not an admission by the Company or any other member of the Corporate Group that they engaged in any wrongful or unlawful act or that the Company or any member of the Corporate Group violated any federal or state law or regulation.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Except as provided in the Agreement Materials, I acknowledge that neither the Company nor any other member of the Corporate Group has promised me continued employment or represented to me that I will be rehired in the future. I acknowledge that the Company and I contemplate an unequivocal, complete and final dissolution of my employment relationship following the Term (as defined in the Agreement) or if my employment is terminated sooner pursuant to Section 4 of the Agreement, upon such termination. I acknowledge that this Waiver and Release does not create any right on my part to be rehired by the Company or the Affiliates and I hereby waive any right to future employment by the Company or any other member of the Corporate Group.</w:t>
      </w:r>
    </w:p>
    <w:p>
      <w:pPr>
        <w:spacing w:after="0" w:line="167"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2"/>
          <w:szCs w:val="22"/>
          <w:b w:val="1"/>
          <w:bCs w:val="1"/>
          <w:color w:val="auto"/>
        </w:rPr>
        <w:t>Non-Disparagement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Subject to the provisions above regarding Protected Disclosures, both the Company and I agree to refrain from any criticisms or disparaging comments about each other or in any way relating to my employment or separation and the Company and I specifically acknowledge that our willingness to enter into this Waiver and Release is in anticipation of our fidelity to this commitment. The above is not intended to restrict me from seeking or engaging in other employment (subject to my noncompetition covenant contained in the Agreement) and, in that connection, from:</w:t>
      </w:r>
    </w:p>
    <w:p>
      <w:pPr>
        <w:spacing w:after="0" w:line="177" w:lineRule="exact"/>
        <w:rPr>
          <w:sz w:val="20"/>
          <w:szCs w:val="20"/>
          <w:color w:val="auto"/>
        </w:rPr>
      </w:pPr>
    </w:p>
    <w:p>
      <w:pPr>
        <w:ind w:left="880" w:hanging="8"/>
        <w:spacing w:after="0" w:line="258" w:lineRule="auto"/>
        <w:tabs>
          <w:tab w:leader="none" w:pos="11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to prospective employers the restrictive covenants in the Agreement to which I am bound (including as to non-competition, non-solicitation and non-disparagement) or</w:t>
      </w:r>
    </w:p>
    <w:p>
      <w:pPr>
        <w:spacing w:after="0" w:line="158" w:lineRule="exact"/>
        <w:rPr>
          <w:rFonts w:ascii="Times New Roman" w:cs="Times New Roman" w:eastAsia="Times New Roman" w:hAnsi="Times New Roman"/>
          <w:sz w:val="22"/>
          <w:szCs w:val="22"/>
          <w:color w:val="auto"/>
        </w:rPr>
      </w:pPr>
    </w:p>
    <w:p>
      <w:pPr>
        <w:jc w:val="both"/>
        <w:ind w:left="880" w:hanging="8"/>
        <w:spacing w:after="0" w:line="244" w:lineRule="auto"/>
        <w:tabs>
          <w:tab w:leader="none" w:pos="121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confidential disclosure to potential employers of such facts or opinions as I may elect to convey, nor is it intended to restrict the Company from conducting such confidential internal communications as may be necessary to manage this resignation in a businesslike way.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ind w:left="4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color w:val="auto"/>
        </w:rPr>
        <w:t>Enforceability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w:t>
      </w:r>
    </w:p>
    <w:p>
      <w:pPr>
        <w:spacing w:after="0" w:line="169" w:lineRule="exact"/>
        <w:rPr>
          <w:sz w:val="20"/>
          <w:szCs w:val="20"/>
          <w:color w:val="auto"/>
        </w:rPr>
      </w:pPr>
    </w:p>
    <w:p>
      <w:pPr>
        <w:ind w:left="1300" w:hanging="860"/>
        <w:spacing w:after="0"/>
        <w:tabs>
          <w:tab w:leader="none" w:pos="130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Completeness and Revocation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acknowledge that this Waiver and Release and the other Agreement Materials set forth the entire understanding and agreement between me and the Company or any other member of the Corporate Group concerning the subject matter of this Waiver and Release and supersede any prior or contemporaneous oral and written agreements or representations, if any, between me and the Company or any other member of the Corporate Group.</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 understand that for a period of 7 calendar days following the date that I sign this Waiver and Release, I may revoke my acceptance of the offer, provided that my written statement of revocation is received on or before that seventh day by the Vice President, Human Resources, of Schlumberger Limited – Houston, in which case the Waiver and Release will not become effective. In the event I revoke my acceptance of this offer, the Company shall have no obligation to pay, or otherwise deliver to me, any part of the Consideration. I understand that failure to revoke my acceptance of the offer within seven (7) calendar days from the date I sign this Waiver and Release will result in this Waiver and Release being permanent and irrevocable.</w:t>
      </w:r>
    </w:p>
    <w:p>
      <w:pPr>
        <w:spacing w:after="0" w:line="177"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2"/>
          <w:szCs w:val="22"/>
          <w:b w:val="1"/>
          <w:bCs w:val="1"/>
          <w:color w:val="auto"/>
        </w:rPr>
        <w:t>Summary</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any other member of the Corporate Group which occur after the date of the execution of this Waiver and Release.</w:t>
      </w:r>
    </w:p>
    <w:p>
      <w:pPr>
        <w:sectPr>
          <w:pgSz w:w="11900" w:h="16838" w:orient="portrait"/>
          <w:cols w:equalWidth="0" w:num="1">
            <w:col w:w="11240"/>
          </w:cols>
          <w:pgMar w:left="320" w:top="540"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Ashok Belani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518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Ashok Belani</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518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Executive’s Signature Date: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Gavin Rennick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077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Gavin Rennick</w:t>
      </w:r>
    </w:p>
    <w:p>
      <w:pPr>
        <w:spacing w:after="0"/>
        <w:rPr>
          <w:sz w:val="20"/>
          <w:szCs w:val="20"/>
          <w:color w:val="auto"/>
        </w:rPr>
      </w:pPr>
      <w:r>
        <w:rPr>
          <w:rFonts w:ascii="Times New Roman" w:cs="Times New Roman" w:eastAsia="Times New Roman" w:hAnsi="Times New Roman"/>
          <w:sz w:val="22"/>
          <w:szCs w:val="22"/>
          <w:color w:val="auto"/>
        </w:rPr>
        <w:t>Company Representative</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0772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Signature Date:</w:t>
      </w:r>
    </w:p>
    <w:p>
      <w:pPr>
        <w:spacing w:after="0" w:line="200" w:lineRule="exact"/>
        <w:rPr>
          <w:sz w:val="20"/>
          <w:szCs w:val="20"/>
          <w:color w:val="auto"/>
        </w:rPr>
      </w:pPr>
    </w:p>
    <w:p>
      <w:pPr>
        <w:sectPr>
          <w:pgSz w:w="11900" w:h="16838" w:orient="portrait"/>
          <w:cols w:equalWidth="0" w:num="2">
            <w:col w:w="5680" w:space="720"/>
            <w:col w:w="4840"/>
          </w:cols>
          <w:pgMar w:left="320" w:top="540"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540" w:right="33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NON-COMPETITION AND NON-SOLICITATION AGREEMENT</w:t>
      </w:r>
    </w:p>
    <w:p>
      <w:pPr>
        <w:spacing w:after="0" w:line="39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THIS EMPLOYMENT, NON-COMPETITION AND NON-SOLICITATION AGREEMENT (as may be amended,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effective as of May 1, 2022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between SCHLUMBERGER LIMITED, a Curaçao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(the “Company”), and Hinda Gharbi, an individual residing in London, United Kingdom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8"/>
        <w:spacing w:after="0" w:line="253" w:lineRule="exact"/>
        <w:tabs>
          <w:tab w:leader="none" w:pos="810"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Employment of Executive</w:t>
      </w:r>
      <w:r>
        <w:rPr>
          <w:rFonts w:ascii="Times New Roman" w:cs="Times New Roman" w:eastAsia="Times New Roman" w:hAnsi="Times New Roman"/>
          <w:sz w:val="22"/>
          <w:szCs w:val="22"/>
          <w:color w:val="auto"/>
        </w:rPr>
        <w:t>. In consideration of the mutual covenants and agreements herein contained, including Executive’s execution of a release of claims as provided in as Exhibit A to this Agreement, the Company and Executive enter into an agreement retaining Executive’s services as described herein, securing Executive’s non-competition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solicitation covenants, establishing certain incentive, tenure and performance criteria related to such employment, and otherwise fixing Executive’s benefits and compensation, all subject to the terms and conditions of this Agreement.</w:t>
      </w:r>
    </w:p>
    <w:p>
      <w:pPr>
        <w:spacing w:after="0" w:line="179" w:lineRule="exact"/>
        <w:rPr>
          <w:rFonts w:ascii="Times New Roman" w:cs="Times New Roman" w:eastAsia="Times New Roman" w:hAnsi="Times New Roman"/>
          <w:sz w:val="22"/>
          <w:szCs w:val="22"/>
          <w:color w:val="010000"/>
        </w:rPr>
      </w:pPr>
    </w:p>
    <w:p>
      <w:pPr>
        <w:jc w:val="both"/>
        <w:ind w:firstLine="8"/>
        <w:spacing w:after="0" w:line="234" w:lineRule="auto"/>
        <w:tabs>
          <w:tab w:leader="none" w:pos="810"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and Extent of Services</w:t>
      </w:r>
      <w:r>
        <w:rPr>
          <w:rFonts w:ascii="Times New Roman" w:cs="Times New Roman" w:eastAsia="Times New Roman" w:hAnsi="Times New Roman"/>
          <w:sz w:val="22"/>
          <w:szCs w:val="22"/>
          <w:color w:val="auto"/>
        </w:rPr>
        <w:t>. The term will commence on the Effective Date and will continue until the close of business on April 30, 2025 (the “Term”). During the Term, Executive will be employed by the Company and will have the title of Advisor, reporting to the Company’s Chief Executive Officer, and shall be available to provide services when required. This Agreement does not constitute a guarantee of continued employment but instead provides for certain obligations of, and rights and benefits for, Executive during the Term and in the event her employment with the Company terminates under the circumstances described herein. Effective as of the Effective Date, Executive hereby resigns from all positions, offices or directorships at the Company and its affiliates, other than the position of Advisor as contemplated above. At the expiration of the Term, or if Executive’s employment is terminated sooner pursuant to Section 4, effective as of such termination, Executive’s employment with the Company and all of its subsidiaries shall terminate.</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Nothing herein will prohibit Executive, during the Term, from being engaged as a consultant or employee to organizations or businesses or to be appointed to their boards of directors, except those identified as Unauthorized Competitors (as defined in Section 5).</w:t>
      </w:r>
    </w:p>
    <w:p>
      <w:pPr>
        <w:spacing w:after="0" w:line="173" w:lineRule="exact"/>
        <w:rPr>
          <w:sz w:val="20"/>
          <w:szCs w:val="20"/>
          <w:color w:val="auto"/>
        </w:rPr>
      </w:pPr>
    </w:p>
    <w:p>
      <w:pPr>
        <w:ind w:left="820" w:hanging="812"/>
        <w:spacing w:after="0"/>
        <w:tabs>
          <w:tab w:leader="none" w:pos="8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and Payment and Benefits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1700" w:hanging="842"/>
        <w:spacing w:after="0" w:line="262" w:lineRule="auto"/>
        <w:tabs>
          <w:tab w:leader="none" w:pos="1700" w:val="left"/>
        </w:tabs>
        <w:numPr>
          <w:ilvl w:val="1"/>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Base Salary. </w:t>
      </w:r>
      <w:r>
        <w:rPr>
          <w:rFonts w:ascii="Times New Roman" w:cs="Times New Roman" w:eastAsia="Times New Roman" w:hAnsi="Times New Roman"/>
          <w:sz w:val="22"/>
          <w:szCs w:val="22"/>
          <w:color w:val="auto"/>
        </w:rPr>
        <w:t>During the Term, Executive will not be entitled to payment of base salary or any perquisite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allowance.</w:t>
      </w:r>
    </w:p>
    <w:p>
      <w:pPr>
        <w:spacing w:after="0" w:line="149" w:lineRule="exact"/>
        <w:rPr>
          <w:rFonts w:ascii="Times New Roman" w:cs="Times New Roman" w:eastAsia="Times New Roman" w:hAnsi="Times New Roman"/>
          <w:sz w:val="22"/>
          <w:szCs w:val="22"/>
          <w:color w:val="010000"/>
        </w:rPr>
      </w:pPr>
    </w:p>
    <w:p>
      <w:pPr>
        <w:jc w:val="both"/>
        <w:ind w:left="1700" w:hanging="842"/>
        <w:spacing w:after="0" w:line="241" w:lineRule="auto"/>
        <w:tabs>
          <w:tab w:leader="none" w:pos="1700" w:val="left"/>
        </w:tabs>
        <w:numPr>
          <w:ilvl w:val="1"/>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Pension and Profit Sharing. </w:t>
      </w:r>
      <w:r>
        <w:rPr>
          <w:rFonts w:ascii="Times New Roman" w:cs="Times New Roman" w:eastAsia="Times New Roman" w:hAnsi="Times New Roman"/>
          <w:sz w:val="22"/>
          <w:szCs w:val="22"/>
          <w:color w:val="auto"/>
        </w:rPr>
        <w:t>During the Term, or if Executive’s employment is terminated sooner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4, until such termination, Executive will receive additional benefits under the Company’s qualified and non-qualified pension and profit-sharing plans. Payments under the Company’s pension and profit-sharing plans will be made in a manner described in Exhibit B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ind w:left="842" w:right="20"/>
        <w:spacing w:after="0" w:line="259" w:lineRule="auto"/>
        <w:rPr>
          <w:sz w:val="20"/>
          <w:szCs w:val="20"/>
          <w:color w:val="auto"/>
        </w:rPr>
      </w:pPr>
      <w:r>
        <w:rPr>
          <w:rFonts w:ascii="Times New Roman" w:cs="Times New Roman" w:eastAsia="Times New Roman" w:hAnsi="Times New Roman"/>
          <w:sz w:val="22"/>
          <w:szCs w:val="22"/>
          <w:color w:val="auto"/>
        </w:rPr>
        <w:t>Agreement and in accordance with the terms of the relevant plan upon separation from service with the Company.</w:t>
      </w:r>
    </w:p>
    <w:p>
      <w:pPr>
        <w:spacing w:after="0" w:line="153" w:lineRule="exact"/>
        <w:rPr>
          <w:sz w:val="20"/>
          <w:szCs w:val="20"/>
          <w:color w:val="auto"/>
        </w:rPr>
      </w:pPr>
    </w:p>
    <w:p>
      <w:pPr>
        <w:ind w:left="842" w:hanging="842"/>
        <w:spacing w:after="0"/>
        <w:tabs>
          <w:tab w:leader="none" w:pos="842"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Incentive Plans.</w:t>
      </w:r>
    </w:p>
    <w:p>
      <w:pPr>
        <w:spacing w:after="0" w:line="210" w:lineRule="exact"/>
        <w:rPr>
          <w:rFonts w:ascii="Times New Roman" w:cs="Times New Roman" w:eastAsia="Times New Roman" w:hAnsi="Times New Roman"/>
          <w:sz w:val="22"/>
          <w:szCs w:val="22"/>
          <w:color w:val="010000"/>
        </w:rPr>
      </w:pPr>
    </w:p>
    <w:p>
      <w:pPr>
        <w:jc w:val="both"/>
        <w:ind w:left="1722" w:hanging="858"/>
        <w:spacing w:after="0" w:line="233" w:lineRule="auto"/>
        <w:tabs>
          <w:tab w:leader="none" w:pos="1722" w:val="left"/>
        </w:tabs>
        <w:numPr>
          <w:ilvl w:val="1"/>
          <w:numId w:val="61"/>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Executive received a long-term incentive (“LTI”) grant in January 2022 (the “January 2022 LTI Grant”) fixing the target amount of shares Executive will be entitled to receive over a three-year vesting schedule, with the exception of RSUs associated with the January 2022 LTI Grant, which will be forfeited as a result of this Agreement. Unless Executive’s employment is terminated during the Term pursuant to Section 4, Executive will continue to vest in the January 2022 LTI Grant (except the 2022 RSUs) until termination of employment at the end of the Term only at the value identified as “100% of Target” and provided for in the award agreements governing the January 2022 LTI Grant. For the avoidance of doubt, Executive will not receive adjustments to the 2022 LTI shares based on performance criteria and the Parties agree that this provision takes precedence over any conflicting terms in the January 2022 LTI Grant plan documents. Following the award, Executive will not receive any other new grants of LTI awards.</w:t>
      </w:r>
    </w:p>
    <w:p>
      <w:pPr>
        <w:spacing w:after="0" w:line="187" w:lineRule="exact"/>
        <w:rPr>
          <w:rFonts w:ascii="Times New Roman" w:cs="Times New Roman" w:eastAsia="Times New Roman" w:hAnsi="Times New Roman"/>
          <w:sz w:val="22"/>
          <w:szCs w:val="22"/>
          <w:i w:val="1"/>
          <w:iCs w:val="1"/>
          <w:color w:val="010000"/>
        </w:rPr>
      </w:pPr>
    </w:p>
    <w:p>
      <w:pPr>
        <w:jc w:val="both"/>
        <w:ind w:left="1722" w:hanging="858"/>
        <w:spacing w:after="0" w:line="238" w:lineRule="auto"/>
        <w:tabs>
          <w:tab w:leader="none" w:pos="1722" w:val="left"/>
        </w:tabs>
        <w:numPr>
          <w:ilvl w:val="1"/>
          <w:numId w:val="61"/>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During the Term or if Executive’s employment is terminated earlier pursuant to Section 4, until such termination, Executive will also continue to vest in any and all other LTI awards previously granted to Executive under the Company’s stock incentive plans (each, a “Plan,” and collectively, the “Plans”) in accordance with, and subject to the terms of those Plans and any applicable agreements.</w:t>
      </w:r>
    </w:p>
    <w:p>
      <w:pPr>
        <w:spacing w:after="0" w:line="176" w:lineRule="exact"/>
        <w:rPr>
          <w:rFonts w:ascii="Times New Roman" w:cs="Times New Roman" w:eastAsia="Times New Roman" w:hAnsi="Times New Roman"/>
          <w:sz w:val="22"/>
          <w:szCs w:val="22"/>
          <w:i w:val="1"/>
          <w:iCs w:val="1"/>
          <w:color w:val="010000"/>
        </w:rPr>
      </w:pPr>
    </w:p>
    <w:p>
      <w:pPr>
        <w:jc w:val="both"/>
        <w:ind w:left="1722" w:hanging="858"/>
        <w:spacing w:after="0" w:line="247" w:lineRule="auto"/>
        <w:tabs>
          <w:tab w:leader="none" w:pos="1722" w:val="left"/>
        </w:tabs>
        <w:numPr>
          <w:ilvl w:val="1"/>
          <w:numId w:val="61"/>
        </w:numPr>
        <w:rPr>
          <w:rFonts w:ascii="Times New Roman" w:cs="Times New Roman" w:eastAsia="Times New Roman" w:hAnsi="Times New Roman"/>
          <w:sz w:val="21"/>
          <w:szCs w:val="21"/>
          <w:i w:val="1"/>
          <w:iCs w:val="1"/>
          <w:color w:val="010000"/>
        </w:rPr>
      </w:pPr>
      <w:r>
        <w:rPr>
          <w:rFonts w:ascii="Times New Roman" w:cs="Times New Roman" w:eastAsia="Times New Roman" w:hAnsi="Times New Roman"/>
          <w:sz w:val="21"/>
          <w:szCs w:val="21"/>
          <w:color w:val="auto"/>
        </w:rPr>
        <w:t>Except for termination of Executive’s employment for Cause pursuant to Section 4(c) (including, for the avoidance of doubt, termination due to breach of the covenant not to compete), the Compensation Committee has determined that Executive shall, pursuant to the terms of Executive’s stock option, RSU and PSU award agreements, be deemed to have terminated her employment with the Company at the end of the Term (or if Executive’s employment is terminated sooner pursuant to Section 4 (other than Section 4(c)), then upon such termination) due to “Special Retirement”, entitling Executive to exercise any options and/or continue to vest in any LTI grants in a manner consistent with the treatment of Special Retirement status under the applicable award agreements.</w:t>
      </w:r>
    </w:p>
    <w:p>
      <w:pPr>
        <w:spacing w:after="0" w:line="171" w:lineRule="exact"/>
        <w:rPr>
          <w:rFonts w:ascii="Times New Roman" w:cs="Times New Roman" w:eastAsia="Times New Roman" w:hAnsi="Times New Roman"/>
          <w:sz w:val="21"/>
          <w:szCs w:val="21"/>
          <w:i w:val="1"/>
          <w:iCs w:val="1"/>
          <w:color w:val="010000"/>
        </w:rPr>
      </w:pPr>
    </w:p>
    <w:p>
      <w:pPr>
        <w:jc w:val="both"/>
        <w:ind w:left="1722" w:right="20" w:hanging="858"/>
        <w:spacing w:after="0" w:line="261" w:lineRule="auto"/>
        <w:tabs>
          <w:tab w:leader="none" w:pos="1722" w:val="left"/>
        </w:tabs>
        <w:numPr>
          <w:ilvl w:val="1"/>
          <w:numId w:val="61"/>
        </w:numPr>
        <w:rPr>
          <w:rFonts w:ascii="Times New Roman" w:cs="Times New Roman" w:eastAsia="Times New Roman" w:hAnsi="Times New Roman"/>
          <w:sz w:val="21"/>
          <w:szCs w:val="21"/>
          <w:i w:val="1"/>
          <w:iCs w:val="1"/>
          <w:color w:val="010000"/>
        </w:rPr>
      </w:pPr>
      <w:r>
        <w:rPr>
          <w:rFonts w:ascii="Times New Roman" w:cs="Times New Roman" w:eastAsia="Times New Roman" w:hAnsi="Times New Roman"/>
          <w:sz w:val="21"/>
          <w:szCs w:val="21"/>
          <w:color w:val="auto"/>
        </w:rPr>
        <w:t>Company will pay Executive a cash incentive bonus, less lawful deductions, based on achievement of personal and financial performance targets for 2022, prorated based on the number of months that have elapsed in 2022 prior to the Effective Date. Payment will be calculated based on</w:t>
      </w:r>
    </w:p>
    <w:p>
      <w:pPr>
        <w:spacing w:after="0" w:line="373" w:lineRule="exact"/>
        <w:rPr>
          <w:sz w:val="20"/>
          <w:szCs w:val="20"/>
          <w:color w:val="auto"/>
        </w:rPr>
      </w:pPr>
    </w:p>
    <w:p>
      <w:pPr>
        <w:ind w:left="4722"/>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66675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112" w:right="339" w:bottom="1440" w:gutter="0" w:footer="0" w:header="0"/>
        </w:sectPr>
      </w:pPr>
    </w:p>
    <w:bookmarkStart w:id="43" w:name="page44"/>
    <w:bookmarkEnd w:id="43"/>
    <w:p>
      <w:pPr>
        <w:jc w:val="both"/>
        <w:ind w:left="2580"/>
        <w:spacing w:after="0"/>
        <w:rPr>
          <w:sz w:val="20"/>
          <w:szCs w:val="20"/>
          <w:color w:val="auto"/>
        </w:rPr>
      </w:pPr>
      <w:r>
        <w:rPr>
          <w:rFonts w:ascii="Times New Roman" w:cs="Times New Roman" w:eastAsia="Times New Roman" w:hAnsi="Times New Roman"/>
          <w:sz w:val="22"/>
          <w:szCs w:val="22"/>
          <w:color w:val="auto"/>
        </w:rPr>
        <w:t>achievement of 100% of Executive’s target annual cash incentive payout opportunity. Company will make such payment to Executive on the next regularly scheduled payroll run that is after the latter of (A) the eighth (8th) day after the Company’s receipt of a fully-executed Waiver &amp; Release or (B) the Effective Date.</w:t>
      </w:r>
    </w:p>
    <w:p>
      <w:pPr>
        <w:spacing w:after="0" w:line="177" w:lineRule="exact"/>
        <w:rPr>
          <w:sz w:val="20"/>
          <w:szCs w:val="20"/>
          <w:color w:val="auto"/>
        </w:rPr>
      </w:pPr>
    </w:p>
    <w:p>
      <w:pPr>
        <w:jc w:val="both"/>
        <w:ind w:left="2580" w:hanging="858"/>
        <w:spacing w:after="0" w:line="244" w:lineRule="auto"/>
        <w:tabs>
          <w:tab w:leader="none" w:pos="2580" w:val="left"/>
        </w:tabs>
        <w:numPr>
          <w:ilvl w:val="2"/>
          <w:numId w:val="62"/>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From and after the Effective Date, Executive will not be eligible to participate in, or receive any, annual incentive or bonus program or payout of any kind, other than as described in Section 3(c(iii) above.</w:t>
      </w:r>
    </w:p>
    <w:p>
      <w:pPr>
        <w:spacing w:after="0" w:line="169" w:lineRule="exact"/>
        <w:rPr>
          <w:rFonts w:ascii="Times New Roman" w:cs="Times New Roman" w:eastAsia="Times New Roman" w:hAnsi="Times New Roman"/>
          <w:sz w:val="22"/>
          <w:szCs w:val="22"/>
          <w:i w:val="1"/>
          <w:iCs w:val="1"/>
          <w:color w:val="010000"/>
        </w:rPr>
      </w:pPr>
    </w:p>
    <w:p>
      <w:pPr>
        <w:jc w:val="both"/>
        <w:ind w:left="1700" w:hanging="842"/>
        <w:spacing w:after="0" w:line="241" w:lineRule="auto"/>
        <w:tabs>
          <w:tab w:leader="none" w:pos="1700"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Vacation</w:t>
      </w:r>
      <w:r>
        <w:rPr>
          <w:rFonts w:ascii="Times New Roman" w:cs="Times New Roman" w:eastAsia="Times New Roman" w:hAnsi="Times New Roman"/>
          <w:sz w:val="22"/>
          <w:szCs w:val="22"/>
          <w:color w:val="auto"/>
        </w:rPr>
        <w:t>. As soon as administratively practicable following the Effective Date, the Company shall pay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a cash amount representing her accrued and unused vacation accumulated as of the date immediately prior to the Effective Date. During the Term, Executive will not be eligible to accrue vacation pay.</w:t>
      </w:r>
    </w:p>
    <w:p>
      <w:pPr>
        <w:spacing w:after="0" w:line="171" w:lineRule="exact"/>
        <w:rPr>
          <w:rFonts w:ascii="Times New Roman" w:cs="Times New Roman" w:eastAsia="Times New Roman" w:hAnsi="Times New Roman"/>
          <w:sz w:val="22"/>
          <w:szCs w:val="22"/>
          <w:color w:val="010000"/>
        </w:rPr>
      </w:pPr>
    </w:p>
    <w:p>
      <w:pPr>
        <w:jc w:val="both"/>
        <w:ind w:left="1700" w:hanging="842"/>
        <w:spacing w:after="0" w:line="237" w:lineRule="auto"/>
        <w:tabs>
          <w:tab w:leader="none" w:pos="1700"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Expense Reimbursement</w:t>
      </w:r>
      <w:r>
        <w:rPr>
          <w:rFonts w:ascii="Times New Roman" w:cs="Times New Roman" w:eastAsia="Times New Roman" w:hAnsi="Times New Roman"/>
          <w:sz w:val="22"/>
          <w:szCs w:val="22"/>
          <w:color w:val="auto"/>
        </w:rPr>
        <w:t>. The Company shall reimburse Executive for actual and reasonable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expenses incurred in the normal course of performing her duties hereunder, following delivery of supporting documentation therefor. Executive shall submit all invoices for such incurred costs to the Company no later than 30 days prior to the end of the taxable year following the taxable year in which they were incurred. The Company shall reimburse Executive for any undisputed costs within 30 days of receipt of such invoices and supporting documentation as requested.</w:t>
      </w:r>
    </w:p>
    <w:p>
      <w:pPr>
        <w:spacing w:after="0" w:line="175" w:lineRule="exact"/>
        <w:rPr>
          <w:rFonts w:ascii="Times New Roman" w:cs="Times New Roman" w:eastAsia="Times New Roman" w:hAnsi="Times New Roman"/>
          <w:sz w:val="22"/>
          <w:szCs w:val="22"/>
          <w:color w:val="010000"/>
        </w:rPr>
      </w:pPr>
    </w:p>
    <w:p>
      <w:pPr>
        <w:jc w:val="both"/>
        <w:ind w:left="1700" w:hanging="842"/>
        <w:spacing w:after="0" w:line="237" w:lineRule="auto"/>
        <w:tabs>
          <w:tab w:leader="none" w:pos="1700"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No Other Compensation or Benefits</w:t>
      </w:r>
      <w:r>
        <w:rPr>
          <w:rFonts w:ascii="Times New Roman" w:cs="Times New Roman" w:eastAsia="Times New Roman" w:hAnsi="Times New Roman"/>
          <w:sz w:val="22"/>
          <w:szCs w:val="22"/>
          <w:color w:val="auto"/>
        </w:rPr>
        <w:t>. Executive acknowledges and agrees that, except as expressly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she will not be entitled to participate in any employee benefit plan or arrangement, or to receive any other compensation associated or in connection with her employment during the Term. The Company will not, by reason of this Section 3, be obligated to institute, maintain or refrain from changing, amending or discontinuing, any incentive compensation, employee benefit or stock incentive program or plan, so long as such actions are similarly applicable to covered employees generally.</w:t>
      </w:r>
    </w:p>
    <w:p>
      <w:pPr>
        <w:spacing w:after="0" w:line="179" w:lineRule="exact"/>
        <w:rPr>
          <w:rFonts w:ascii="Times New Roman" w:cs="Times New Roman" w:eastAsia="Times New Roman" w:hAnsi="Times New Roman"/>
          <w:sz w:val="22"/>
          <w:szCs w:val="22"/>
          <w:color w:val="010000"/>
        </w:rPr>
      </w:pPr>
    </w:p>
    <w:p>
      <w:pPr>
        <w:jc w:val="both"/>
        <w:ind w:firstLine="8"/>
        <w:spacing w:after="0" w:line="253" w:lineRule="auto"/>
        <w:tabs>
          <w:tab w:leader="none" w:pos="810"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Executive’s employment with Employer will be considered “at will” and be terminated (i) upon Executive’s death; (ii) upon Executive’s Disability (as defined in Section 4(b)); (iii) for Cause (as defined in Section 4(c));</w:t>
      </w:r>
    </w:p>
    <w:p>
      <w:pPr>
        <w:spacing w:after="0" w:line="1" w:lineRule="exact"/>
        <w:rPr>
          <w:sz w:val="20"/>
          <w:szCs w:val="20"/>
          <w:color w:val="auto"/>
        </w:rPr>
      </w:pPr>
    </w:p>
    <w:p>
      <w:pPr>
        <w:jc w:val="both"/>
        <w:ind w:firstLine="8"/>
        <w:spacing w:after="0" w:line="235" w:lineRule="auto"/>
        <w:tabs>
          <w:tab w:leader="none" w:pos="47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mutual agreement, as set forth in Section 4(d); or (v) upon Executive’s retirement (as described in Section 4(e)). Should Executive’s employment terminate prior to the end of the Term, the following provisions of this Section 4 will govern the rights of Executive under this Agreement:</w:t>
      </w:r>
    </w:p>
    <w:p>
      <w:pPr>
        <w:spacing w:after="0" w:line="173" w:lineRule="exact"/>
        <w:rPr>
          <w:rFonts w:ascii="Times New Roman" w:cs="Times New Roman" w:eastAsia="Times New Roman" w:hAnsi="Times New Roman"/>
          <w:sz w:val="22"/>
          <w:szCs w:val="22"/>
          <w:color w:val="auto"/>
        </w:rPr>
      </w:pPr>
    </w:p>
    <w:p>
      <w:pPr>
        <w:jc w:val="both"/>
        <w:ind w:left="1700" w:hanging="842"/>
        <w:spacing w:after="0" w:line="246" w:lineRule="auto"/>
        <w:tabs>
          <w:tab w:leader="none" w:pos="1700"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Termination Due to Death</w:t>
      </w:r>
      <w:r>
        <w:rPr>
          <w:rFonts w:ascii="Times New Roman" w:cs="Times New Roman" w:eastAsia="Times New Roman" w:hAnsi="Times New Roman"/>
          <w:sz w:val="22"/>
          <w:szCs w:val="22"/>
          <w:color w:val="auto"/>
        </w:rPr>
        <w:t>. In the event Executive’s employment terminates during the Term as a result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death, Executive’s beneficiary or beneficiaries shall receive any benefits accrued but unpaid as of her death, plus any amounts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ind w:left="842"/>
        <w:spacing w:after="0"/>
        <w:rPr>
          <w:sz w:val="20"/>
          <w:szCs w:val="20"/>
          <w:color w:val="auto"/>
        </w:rPr>
      </w:pPr>
      <w:r>
        <w:rPr>
          <w:rFonts w:ascii="Times New Roman" w:cs="Times New Roman" w:eastAsia="Times New Roman" w:hAnsi="Times New Roman"/>
          <w:sz w:val="22"/>
          <w:szCs w:val="22"/>
          <w:color w:val="auto"/>
        </w:rPr>
        <w:t>payable on account of Executive’s death, pursuant to any other plan or program of the Company.</w:t>
      </w:r>
    </w:p>
    <w:p>
      <w:pPr>
        <w:spacing w:after="0" w:line="203" w:lineRule="exact"/>
        <w:rPr>
          <w:sz w:val="20"/>
          <w:szCs w:val="20"/>
          <w:color w:val="auto"/>
        </w:rPr>
      </w:pPr>
    </w:p>
    <w:p>
      <w:pPr>
        <w:jc w:val="both"/>
        <w:ind w:left="842" w:hanging="842"/>
        <w:spacing w:after="0" w:line="235" w:lineRule="auto"/>
        <w:tabs>
          <w:tab w:leader="none" w:pos="842"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Termination Due to Disability</w:t>
      </w:r>
      <w:r>
        <w:rPr>
          <w:rFonts w:ascii="Times New Roman" w:cs="Times New Roman" w:eastAsia="Times New Roman" w:hAnsi="Times New Roman"/>
          <w:sz w:val="22"/>
          <w:szCs w:val="22"/>
          <w:color w:val="auto"/>
        </w:rPr>
        <w:t>. Executive’s employment during the Term will terminate upon Executive’s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Disability, which for purposes of this Agreement means that Executive is unable to perform the normal duties of her job due to an illness or injury (as determined pursuant to the terms of the Company’s long-term disability plan covering Executives), Executive shall receive any benefits accrued but unpaid as of the date of her termination due to Disability, plus any amounts payable on account of Executive’s Disability, pursuant to any other plan or program of the Company. For the avoidance of doubt, the Executive will continue to be entitled to the benefits accrued as contemplated in Section 3(c) and in the relevant plan documents subsequent to a termination due to Disability.</w:t>
      </w:r>
    </w:p>
    <w:p>
      <w:pPr>
        <w:spacing w:after="0" w:line="178" w:lineRule="exact"/>
        <w:rPr>
          <w:rFonts w:ascii="Times New Roman" w:cs="Times New Roman" w:eastAsia="Times New Roman" w:hAnsi="Times New Roman"/>
          <w:sz w:val="22"/>
          <w:szCs w:val="22"/>
          <w:color w:val="010000"/>
        </w:rPr>
      </w:pPr>
    </w:p>
    <w:p>
      <w:pPr>
        <w:jc w:val="both"/>
        <w:ind w:left="842" w:hanging="842"/>
        <w:spacing w:after="0" w:line="236" w:lineRule="auto"/>
        <w:tabs>
          <w:tab w:leader="none" w:pos="842"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Termination by the Company for Cause</w:t>
      </w:r>
      <w:r>
        <w:rPr>
          <w:rFonts w:ascii="Times New Roman" w:cs="Times New Roman" w:eastAsia="Times New Roman" w:hAnsi="Times New Roman"/>
          <w:sz w:val="22"/>
          <w:szCs w:val="22"/>
          <w:color w:val="auto"/>
        </w:rPr>
        <w:t>. In the event the Company terminates Executive’s employment during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Term for Cause, as defined below, she shall, subject to Section 5(d), be entitled to any other amounts earned, accrued or owing as of the date of termination of employment under the applicable employee benefit plans or programs of the Company. “Cause” means Executive’s dishonesty relating to her employment with the Company, conviction of a felony with resulting harm to the Company, willful or grossly negligent unauthorized disclosure of Confidential Information of the Company, or breach of any of Executive’s obligations and restrictive covenants set forth in Section 5.</w:t>
      </w:r>
    </w:p>
    <w:p>
      <w:pPr>
        <w:spacing w:after="0" w:line="175" w:lineRule="exact"/>
        <w:rPr>
          <w:rFonts w:ascii="Times New Roman" w:cs="Times New Roman" w:eastAsia="Times New Roman" w:hAnsi="Times New Roman"/>
          <w:sz w:val="22"/>
          <w:szCs w:val="22"/>
          <w:color w:val="010000"/>
        </w:rPr>
      </w:pPr>
    </w:p>
    <w:p>
      <w:pPr>
        <w:jc w:val="both"/>
        <w:ind w:left="842" w:hanging="842"/>
        <w:spacing w:after="0" w:line="238" w:lineRule="auto"/>
        <w:tabs>
          <w:tab w:leader="none" w:pos="842"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Voluntary Termination and Termination Due to Mutual Agreement</w:t>
      </w:r>
      <w:r>
        <w:rPr>
          <w:rFonts w:ascii="Times New Roman" w:cs="Times New Roman" w:eastAsia="Times New Roman" w:hAnsi="Times New Roman"/>
          <w:sz w:val="22"/>
          <w:szCs w:val="22"/>
          <w:color w:val="auto"/>
        </w:rPr>
        <w:t>. Upon 15 days’ prior written notice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(unless otherwise waived by the Company in writing), Executive may voluntarily terminate her employment with the Company. A voluntary termination pursuant to this Section 4(d) shall not include a termination under Section 4(a), 4(b) or 4(c) above, and shall not be deemed a breach of this Agreement by Executive except if Executive is otherwise in breach of Section 5(b).</w:t>
      </w:r>
    </w:p>
    <w:p>
      <w:pPr>
        <w:spacing w:after="0" w:line="180" w:lineRule="exact"/>
        <w:rPr>
          <w:rFonts w:ascii="Times New Roman" w:cs="Times New Roman" w:eastAsia="Times New Roman" w:hAnsi="Times New Roman"/>
          <w:sz w:val="22"/>
          <w:szCs w:val="22"/>
          <w:color w:val="010000"/>
        </w:rPr>
      </w:pPr>
    </w:p>
    <w:p>
      <w:pPr>
        <w:jc w:val="both"/>
        <w:ind w:left="842" w:hanging="842"/>
        <w:spacing w:after="0" w:line="244" w:lineRule="auto"/>
        <w:tabs>
          <w:tab w:leader="none" w:pos="842"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Executive voluntarily terminates her employment with the Company during the Term or retires at the end of the Term, and does not become employed by an Unauthorized Competitor or otherwise breach Section 5(b), she shall be entitled to:</w:t>
      </w:r>
    </w:p>
    <w:p>
      <w:pPr>
        <w:spacing w:after="0" w:line="173" w:lineRule="exact"/>
        <w:rPr>
          <w:rFonts w:ascii="Times New Roman" w:cs="Times New Roman" w:eastAsia="Times New Roman" w:hAnsi="Times New Roman"/>
          <w:sz w:val="22"/>
          <w:szCs w:val="22"/>
          <w:color w:val="010000"/>
        </w:rPr>
      </w:pPr>
    </w:p>
    <w:p>
      <w:pPr>
        <w:ind w:left="882" w:right="20" w:hanging="5"/>
        <w:spacing w:after="0" w:line="258" w:lineRule="auto"/>
        <w:tabs>
          <w:tab w:leader="none" w:pos="1733" w:val="left"/>
        </w:tabs>
        <w:numPr>
          <w:ilvl w:val="1"/>
          <w:numId w:val="66"/>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The benefits contemplated in Section 3 and any other benefits for which she is eligible in accordance with applicable plans or programs of the Company; and</w:t>
      </w:r>
    </w:p>
    <w:p>
      <w:pPr>
        <w:spacing w:after="0" w:line="158" w:lineRule="exact"/>
        <w:rPr>
          <w:rFonts w:ascii="Times New Roman" w:cs="Times New Roman" w:eastAsia="Times New Roman" w:hAnsi="Times New Roman"/>
          <w:sz w:val="22"/>
          <w:szCs w:val="22"/>
          <w:i w:val="1"/>
          <w:iCs w:val="1"/>
          <w:color w:val="010000"/>
        </w:rPr>
      </w:pPr>
    </w:p>
    <w:p>
      <w:pPr>
        <w:ind w:left="882" w:right="20" w:hanging="5"/>
        <w:spacing w:after="0" w:line="258" w:lineRule="auto"/>
        <w:tabs>
          <w:tab w:leader="none" w:pos="1793" w:val="left"/>
        </w:tabs>
        <w:numPr>
          <w:ilvl w:val="1"/>
          <w:numId w:val="66"/>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exercise any stock options granted under a plan of the Company that vested during the Term (and prior to her termination date) as per the Plan rules.</w:t>
      </w:r>
    </w:p>
    <w:p>
      <w:pPr>
        <w:spacing w:after="0" w:line="154" w:lineRule="exact"/>
        <w:rPr>
          <w:rFonts w:ascii="Times New Roman" w:cs="Times New Roman" w:eastAsia="Times New Roman" w:hAnsi="Times New Roman"/>
          <w:sz w:val="22"/>
          <w:szCs w:val="22"/>
          <w:i w:val="1"/>
          <w:iCs w:val="1"/>
          <w:color w:val="010000"/>
        </w:rPr>
      </w:pPr>
    </w:p>
    <w:p>
      <w:pPr>
        <w:ind w:left="842" w:hanging="842"/>
        <w:spacing w:after="0" w:line="262" w:lineRule="auto"/>
        <w:tabs>
          <w:tab w:leader="none" w:pos="842"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Retirement at the End of the Term. </w:t>
      </w:r>
      <w:r>
        <w:rPr>
          <w:rFonts w:ascii="Times New Roman" w:cs="Times New Roman" w:eastAsia="Times New Roman" w:hAnsi="Times New Roman"/>
          <w:sz w:val="22"/>
          <w:szCs w:val="22"/>
          <w:color w:val="auto"/>
        </w:rPr>
        <w:t>In the event the Executive remains employed until the end of the Term,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parties agree she shall retire as of such date. Executive</w:t>
      </w:r>
    </w:p>
    <w:p>
      <w:pPr>
        <w:spacing w:after="0" w:line="370" w:lineRule="exact"/>
        <w:rPr>
          <w:sz w:val="20"/>
          <w:szCs w:val="20"/>
          <w:color w:val="auto"/>
        </w:rPr>
      </w:pPr>
    </w:p>
    <w:p>
      <w:pPr>
        <w:ind w:left="472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66675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112" w:right="339" w:bottom="1440" w:gutter="0" w:footer="0" w:header="0"/>
        </w:sectPr>
      </w:pPr>
    </w:p>
    <w:bookmarkStart w:id="45" w:name="page46"/>
    <w:bookmarkEnd w:id="45"/>
    <w:p>
      <w:pPr>
        <w:ind w:left="1700"/>
        <w:spacing w:after="0" w:line="259" w:lineRule="auto"/>
        <w:rPr>
          <w:sz w:val="20"/>
          <w:szCs w:val="20"/>
          <w:color w:val="auto"/>
        </w:rPr>
      </w:pPr>
      <w:r>
        <w:rPr>
          <w:rFonts w:ascii="Times New Roman" w:cs="Times New Roman" w:eastAsia="Times New Roman" w:hAnsi="Times New Roman"/>
          <w:sz w:val="22"/>
          <w:szCs w:val="22"/>
          <w:color w:val="auto"/>
        </w:rPr>
        <w:t>acknowledges and agrees that she shall not be entitled to any severance or termination indemnity payment of any kind other than as specifically provided above and under the terms of this Agreement.</w:t>
      </w:r>
    </w:p>
    <w:p>
      <w:pPr>
        <w:spacing w:after="0" w:line="157" w:lineRule="exact"/>
        <w:rPr>
          <w:sz w:val="20"/>
          <w:szCs w:val="20"/>
          <w:color w:val="auto"/>
        </w:rPr>
      </w:pPr>
    </w:p>
    <w:p>
      <w:pPr>
        <w:ind w:left="860" w:hanging="852"/>
        <w:spacing w:after="0"/>
        <w:tabs>
          <w:tab w:leader="none" w:pos="860"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Confidentiality, Covenant Not to Compete and Other Restrictive Covenants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010000"/>
        </w:rPr>
      </w:pPr>
    </w:p>
    <w:p>
      <w:pPr>
        <w:jc w:val="both"/>
        <w:ind w:left="1700" w:hanging="842"/>
        <w:spacing w:after="0" w:line="244" w:lineRule="auto"/>
        <w:tabs>
          <w:tab w:leader="none" w:pos="1700" w:val="left"/>
        </w:tabs>
        <w:numPr>
          <w:ilvl w:val="1"/>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Confidentiality</w:t>
      </w:r>
      <w:r>
        <w:rPr>
          <w:rFonts w:ascii="Times New Roman" w:cs="Times New Roman" w:eastAsia="Times New Roman" w:hAnsi="Times New Roman"/>
          <w:sz w:val="21"/>
          <w:szCs w:val="21"/>
          <w:color w:val="auto"/>
        </w:rPr>
        <w:t>. Executive acknowledges that the Company has provided and will provide Executive with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Confidential Information (as defined below). Executive agrees that in return for this and other consideration provided under this Agreement she will not disclose or make available to any other person or entity, or use for her own personal gain, monetary or otherwise, any Confidential Information, except for such disclosures as required in the performance of her duties hereunder. For purposes of this Agreement, “Confidential Information” means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78" w:lineRule="exact"/>
        <w:rPr>
          <w:rFonts w:ascii="Times New Roman" w:cs="Times New Roman" w:eastAsia="Times New Roman" w:hAnsi="Times New Roman"/>
          <w:sz w:val="21"/>
          <w:szCs w:val="21"/>
          <w:color w:val="010000"/>
        </w:rPr>
      </w:pPr>
    </w:p>
    <w:p>
      <w:pPr>
        <w:jc w:val="both"/>
        <w:ind w:left="1700" w:hanging="842"/>
        <w:spacing w:after="0" w:line="235" w:lineRule="auto"/>
        <w:tabs>
          <w:tab w:leader="none" w:pos="1700"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Restrictive Covenants</w:t>
      </w:r>
      <w:r>
        <w:rPr>
          <w:rFonts w:ascii="Times New Roman" w:cs="Times New Roman" w:eastAsia="Times New Roman" w:hAnsi="Times New Roman"/>
          <w:sz w:val="22"/>
          <w:szCs w:val="22"/>
          <w:color w:val="auto"/>
        </w:rPr>
        <w:t>. Executive acknowledges that the skills, processes and information developed 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are highly proprietary and global in nature and could be utilized directly and to the Company’s detriment (or the detriment of any of the Company’s affiliates or ventures) by several other businesses. Accordingly, (1) in consideration for the Confidential Information previously provided by the Company to Executive, (2) as part of the consideration for the payment and benefits to be paid to Executive hereunder, (3) to protect the Confidential Information of the Company disclosed or entrusted to Executive by the Company or created or developed by Executive for the Company and (4) as an additional incentive for the Company to enter into this Agreement, Executive agrees to be bound by the following restrictive covenants:</w:t>
      </w:r>
    </w:p>
    <w:p>
      <w:pPr>
        <w:spacing w:after="0" w:line="178" w:lineRule="exact"/>
        <w:rPr>
          <w:rFonts w:ascii="Times New Roman" w:cs="Times New Roman" w:eastAsia="Times New Roman" w:hAnsi="Times New Roman"/>
          <w:sz w:val="22"/>
          <w:szCs w:val="22"/>
          <w:color w:val="010000"/>
        </w:rPr>
      </w:pPr>
    </w:p>
    <w:p>
      <w:pPr>
        <w:ind w:left="3320" w:hanging="854"/>
        <w:spacing w:after="0"/>
        <w:tabs>
          <w:tab w:leader="none" w:pos="3320" w:val="left"/>
        </w:tabs>
        <w:numPr>
          <w:ilvl w:val="2"/>
          <w:numId w:val="67"/>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Covenant Not to Compete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740" w:firstLine="726"/>
        <w:spacing w:after="0" w:line="244" w:lineRule="auto"/>
        <w:tabs>
          <w:tab w:leader="none" w:pos="341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not accept employment with or otherwise render services, directly or indirectly, anywhere in the world, to any Unauthorized Competitor, whether as a director, officer, agent, employee,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both"/>
        <w:ind w:left="620"/>
        <w:spacing w:after="0" w:line="234" w:lineRule="auto"/>
        <w:rPr>
          <w:sz w:val="20"/>
          <w:szCs w:val="20"/>
          <w:color w:val="auto"/>
        </w:rPr>
      </w:pPr>
      <w:r>
        <w:rPr>
          <w:rFonts w:ascii="Times New Roman" w:cs="Times New Roman" w:eastAsia="Times New Roman" w:hAnsi="Times New Roman"/>
          <w:sz w:val="22"/>
          <w:szCs w:val="22"/>
          <w:color w:val="auto"/>
        </w:rPr>
        <w:t>independent contractor or consultant, become a 10% or greater partner or owner of any Unauthorized Competitor, or take any action inconsistent with any fiduciary relationship that Executive may continue to owe the Company. In order to protect the Company’s goodwill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or otherwise rendering any services, anywhere in the world with any company or other enterprise except an Unauthorized Competitor; provided, however, that before Executive may accept employment or otherwise become engaged with any oilfield services company that is not an Unauthorized Competitor, Executive must have received written preapproval from the Company’s CEO.</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Unauthorized Competitor</w:t>
      </w:r>
      <w:r>
        <w:rPr>
          <w:rFonts w:ascii="Times New Roman" w:cs="Times New Roman" w:eastAsia="Times New Roman" w:hAnsi="Times New Roman"/>
          <w:sz w:val="22"/>
          <w:szCs w:val="22"/>
          <w:color w:val="auto"/>
        </w:rPr>
        <w:t>” means the following entities:</w:t>
      </w:r>
    </w:p>
    <w:p>
      <w:pPr>
        <w:spacing w:after="0" w:line="212" w:lineRule="exact"/>
        <w:rPr>
          <w:sz w:val="20"/>
          <w:szCs w:val="20"/>
          <w:color w:val="auto"/>
        </w:rPr>
      </w:pPr>
    </w:p>
    <w:p>
      <w:pPr>
        <w:ind w:left="2340" w:hanging="860"/>
        <w:spacing w:after="0"/>
        <w:tabs>
          <w:tab w:leader="none" w:pos="234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Halliburton Company;</w:t>
      </w:r>
    </w:p>
    <w:p>
      <w:pPr>
        <w:spacing w:after="0" w:line="14" w:lineRule="exact"/>
        <w:rPr>
          <w:rFonts w:ascii="Times New Roman" w:cs="Times New Roman" w:eastAsia="Times New Roman" w:hAnsi="Times New Roman"/>
          <w:sz w:val="22"/>
          <w:szCs w:val="22"/>
          <w:color w:val="010000"/>
        </w:rPr>
      </w:pPr>
    </w:p>
    <w:p>
      <w:pPr>
        <w:ind w:left="2340" w:hanging="860"/>
        <w:spacing w:after="0" w:line="230" w:lineRule="auto"/>
        <w:tabs>
          <w:tab w:leader="none" w:pos="234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Baker Hughes Company;</w:t>
      </w:r>
    </w:p>
    <w:p>
      <w:pPr>
        <w:ind w:left="2340" w:hanging="860"/>
        <w:spacing w:after="0" w:line="230" w:lineRule="auto"/>
        <w:tabs>
          <w:tab w:leader="none" w:pos="234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Weatherford International Limited plc;</w:t>
      </w:r>
    </w:p>
    <w:p>
      <w:pPr>
        <w:ind w:left="2340" w:hanging="860"/>
        <w:spacing w:after="0" w:line="230" w:lineRule="auto"/>
        <w:tabs>
          <w:tab w:leader="none" w:pos="234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Aker Solutions ASA;</w:t>
      </w:r>
    </w:p>
    <w:p>
      <w:pPr>
        <w:ind w:left="2340" w:hanging="860"/>
        <w:spacing w:after="0" w:line="230" w:lineRule="auto"/>
        <w:tabs>
          <w:tab w:leader="none" w:pos="234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TechnipFMC plc;</w:t>
      </w:r>
    </w:p>
    <w:p>
      <w:pPr>
        <w:ind w:left="2340" w:hanging="860"/>
        <w:spacing w:after="0" w:line="230" w:lineRule="auto"/>
        <w:tabs>
          <w:tab w:leader="none" w:pos="234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National Oilwell Varco, Inc.;</w:t>
      </w:r>
    </w:p>
    <w:p>
      <w:pPr>
        <w:ind w:left="2340" w:hanging="860"/>
        <w:spacing w:after="0" w:line="230" w:lineRule="auto"/>
        <w:tabs>
          <w:tab w:leader="none" w:pos="234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National Energy Services Reunited Corp.;</w:t>
      </w:r>
    </w:p>
    <w:p>
      <w:pPr>
        <w:ind w:left="2340" w:right="20" w:hanging="860"/>
        <w:spacing w:after="0" w:line="230" w:lineRule="auto"/>
        <w:tabs>
          <w:tab w:leader="none" w:pos="234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entity engaged in seismic data acquisition, processing or reservoir geosciences to the oil and gas industry; and</w:t>
      </w:r>
    </w:p>
    <w:p>
      <w:pPr>
        <w:spacing w:after="0" w:line="1" w:lineRule="exact"/>
        <w:rPr>
          <w:rFonts w:ascii="Times New Roman" w:cs="Times New Roman" w:eastAsia="Times New Roman" w:hAnsi="Times New Roman"/>
          <w:sz w:val="22"/>
          <w:szCs w:val="22"/>
          <w:color w:val="010000"/>
        </w:rPr>
      </w:pPr>
    </w:p>
    <w:p>
      <w:pPr>
        <w:ind w:left="2340" w:hanging="860"/>
        <w:spacing w:after="0" w:line="237" w:lineRule="auto"/>
        <w:tabs>
          <w:tab w:leader="none" w:pos="234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entity providing digital technologies or services to the oil and gas industry in competition with existing Schlumberger products or services</w:t>
      </w:r>
    </w:p>
    <w:p>
      <w:pPr>
        <w:spacing w:after="0" w:line="394" w:lineRule="exact"/>
        <w:rPr>
          <w:sz w:val="20"/>
          <w:szCs w:val="20"/>
          <w:color w:val="auto"/>
        </w:rPr>
      </w:pPr>
    </w:p>
    <w:p>
      <w:pPr>
        <w:jc w:val="both"/>
        <w:ind w:left="620"/>
        <w:spacing w:after="0" w:line="239" w:lineRule="auto"/>
        <w:rPr>
          <w:sz w:val="20"/>
          <w:szCs w:val="20"/>
          <w:color w:val="auto"/>
        </w:rPr>
      </w:pPr>
      <w:r>
        <w:rPr>
          <w:rFonts w:ascii="Times New Roman" w:cs="Times New Roman" w:eastAsia="Times New Roman" w:hAnsi="Times New Roman"/>
          <w:sz w:val="22"/>
          <w:szCs w:val="22"/>
          <w:color w:val="auto"/>
        </w:rPr>
        <w:t>and includes any and all of their parents, subsidiaries, affiliates, joint ventures or divisions, as of the date of this Agreement as well as any of their successors or assigns. For the avoidance of doubt, the Parties agree that the entity listed on Exhibit C is not currently an Unauthorized Competitor and Executive’s employment with this entity during the Term will not violate this Section 5(b)(i)(A).</w:t>
      </w:r>
    </w:p>
    <w:p>
      <w:pPr>
        <w:spacing w:after="0" w:line="180" w:lineRule="exact"/>
        <w:rPr>
          <w:sz w:val="20"/>
          <w:szCs w:val="20"/>
          <w:color w:val="auto"/>
        </w:rPr>
      </w:pPr>
    </w:p>
    <w:p>
      <w:pPr>
        <w:jc w:val="both"/>
        <w:ind w:left="620" w:firstLine="726"/>
        <w:spacing w:after="0" w:line="236" w:lineRule="auto"/>
        <w:tabs>
          <w:tab w:leader="none" w:pos="228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during the Term, Executive becomes engaged or employed (in any form described above in Section 2) by an organization or business that is neither an Unauthorized Competitor nor a company otherwise requiring preapproval by the Company’s CEO as contemplated herein, Executive shall give the Company advance notice of her accepting employment in any capacity. Notice of any subsequent employment shall be in writing and must be received by the Vice President, Human Resources of the Company, at 5599 San Felipe, Houston, TX</w:t>
      </w:r>
    </w:p>
    <w:p>
      <w:pPr>
        <w:spacing w:after="0" w:line="1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7" w:name="page48"/>
    <w:bookmarkEnd w:id="47"/>
    <w:p>
      <w:pPr>
        <w:jc w:val="both"/>
        <w:ind w:left="620"/>
        <w:spacing w:after="0" w:line="236" w:lineRule="auto"/>
        <w:rPr>
          <w:sz w:val="20"/>
          <w:szCs w:val="20"/>
          <w:color w:val="auto"/>
        </w:rPr>
      </w:pPr>
      <w:r>
        <w:rPr>
          <w:rFonts w:ascii="Times New Roman" w:cs="Times New Roman" w:eastAsia="Times New Roman" w:hAnsi="Times New Roman"/>
          <w:sz w:val="22"/>
          <w:szCs w:val="22"/>
          <w:color w:val="auto"/>
        </w:rPr>
        <w:t>77056 on behalf of the Company at least fifteen (15) calendar days before the proposed starting date of the employment. Such notice shall comply in all other respects with the requirements set forth in Section 7 below. The request must include the full name and address of the organization with which Executive is seeking employment, the department or area in which Executive proposes to work, the position or job title to be held by Executive, and a sufficient description of the duties Executive expects to perform for such employer for the Company to understand the scope of the employment.</w:t>
      </w:r>
    </w:p>
    <w:p>
      <w:pPr>
        <w:spacing w:after="0" w:line="182" w:lineRule="exact"/>
        <w:rPr>
          <w:sz w:val="20"/>
          <w:szCs w:val="20"/>
          <w:color w:val="auto"/>
        </w:rPr>
      </w:pPr>
    </w:p>
    <w:p>
      <w:pPr>
        <w:jc w:val="both"/>
        <w:ind w:left="620" w:firstLine="726"/>
        <w:spacing w:after="0" w:line="255" w:lineRule="auto"/>
        <w:tabs>
          <w:tab w:leader="none" w:pos="228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organization of business in which Executive is involved (in any form described above) becomes an Unauthorized Competitor during the Term, or is acquired during the Term by one of the Unauthorized Competitors, Executive shall provide written notice of the same immediately to the Vice President, Human Resources of the Company, as soon as the information is ready to be made public.</w:t>
      </w:r>
    </w:p>
    <w:p>
      <w:pPr>
        <w:spacing w:after="0" w:line="158" w:lineRule="exact"/>
        <w:rPr>
          <w:sz w:val="20"/>
          <w:szCs w:val="20"/>
          <w:color w:val="auto"/>
        </w:rPr>
      </w:pPr>
    </w:p>
    <w:p>
      <w:pPr>
        <w:jc w:val="both"/>
        <w:ind w:left="620" w:firstLine="726"/>
        <w:spacing w:after="0" w:line="241" w:lineRule="auto"/>
        <w:tabs>
          <w:tab w:leader="none" w:pos="2263" w:val="left"/>
        </w:tabs>
        <w:numPr>
          <w:ilvl w:val="0"/>
          <w:numId w:val="72"/>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Nonsolicitation</w:t>
      </w:r>
      <w:r>
        <w:rPr>
          <w:rFonts w:ascii="Times New Roman" w:cs="Times New Roman" w:eastAsia="Times New Roman" w:hAnsi="Times New Roman"/>
          <w:sz w:val="22"/>
          <w:szCs w:val="22"/>
          <w:color w:val="auto"/>
        </w:rPr>
        <w:t>. Executive further agrees that during the Term, she shall not at any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directly or indirectly, induce, entice or solicit (or attempt to induce, entice or solicit) any employee of the Company or any of its affiliates or ventures to leave the employment of the Company or any of its affiliates or ventures.</w:t>
      </w:r>
    </w:p>
    <w:p>
      <w:pPr>
        <w:spacing w:after="0" w:line="171" w:lineRule="exact"/>
        <w:rPr>
          <w:rFonts w:ascii="Times New Roman" w:cs="Times New Roman" w:eastAsia="Times New Roman" w:hAnsi="Times New Roman"/>
          <w:sz w:val="22"/>
          <w:szCs w:val="22"/>
          <w:i w:val="1"/>
          <w:iCs w:val="1"/>
          <w:color w:val="010000"/>
        </w:rPr>
      </w:pPr>
    </w:p>
    <w:p>
      <w:pPr>
        <w:jc w:val="both"/>
        <w:ind w:left="620" w:firstLine="726"/>
        <w:spacing w:after="0" w:line="238" w:lineRule="auto"/>
        <w:tabs>
          <w:tab w:leader="none" w:pos="2323" w:val="left"/>
        </w:tabs>
        <w:numPr>
          <w:ilvl w:val="0"/>
          <w:numId w:val="72"/>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Nondisparagement</w:t>
      </w:r>
      <w:r>
        <w:rPr>
          <w:rFonts w:ascii="Times New Roman" w:cs="Times New Roman" w:eastAsia="Times New Roman" w:hAnsi="Times New Roman"/>
          <w:sz w:val="22"/>
          <w:szCs w:val="22"/>
          <w:color w:val="auto"/>
        </w:rPr>
        <w:t>. Executive agrees that she shall not, directly or indirectly, whether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writing, orally or electronically, make any negative, derogatory or other comment that could reasonably be expected to be detrimental to the Company or any of its affiliates, their business or operations, or to any of its or their current employees, officers or directors. Nothing in this Agreement shall preclude Executive from making truthful statements that are required by applicable law, regulation, legal process.</w:t>
      </w:r>
    </w:p>
    <w:p>
      <w:pPr>
        <w:spacing w:after="0" w:line="176" w:lineRule="exact"/>
        <w:rPr>
          <w:rFonts w:ascii="Times New Roman" w:cs="Times New Roman" w:eastAsia="Times New Roman" w:hAnsi="Times New Roman"/>
          <w:sz w:val="22"/>
          <w:szCs w:val="22"/>
          <w:i w:val="1"/>
          <w:iCs w:val="1"/>
          <w:color w:val="010000"/>
        </w:rPr>
      </w:pPr>
    </w:p>
    <w:p>
      <w:pPr>
        <w:jc w:val="both"/>
        <w:ind w:left="620" w:firstLine="726"/>
        <w:spacing w:after="0" w:line="246" w:lineRule="auto"/>
        <w:tabs>
          <w:tab w:leader="none" w:pos="2299" w:val="left"/>
        </w:tabs>
        <w:numPr>
          <w:ilvl w:val="0"/>
          <w:numId w:val="72"/>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Disclosure of Agreement</w:t>
      </w:r>
      <w:r>
        <w:rPr>
          <w:rFonts w:ascii="Times New Roman" w:cs="Times New Roman" w:eastAsia="Times New Roman" w:hAnsi="Times New Roman"/>
          <w:sz w:val="22"/>
          <w:szCs w:val="22"/>
          <w:color w:val="auto"/>
        </w:rPr>
        <w:t>. Executive agrees to provide this Agreement to any prospective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actual employer of Executive, and the Company may in its discretion provide this Agreement directly to any such prospective or actual employer.</w:t>
      </w:r>
    </w:p>
    <w:p>
      <w:pPr>
        <w:spacing w:after="0" w:line="167" w:lineRule="exact"/>
        <w:rPr>
          <w:rFonts w:ascii="Times New Roman" w:cs="Times New Roman" w:eastAsia="Times New Roman" w:hAnsi="Times New Roman"/>
          <w:sz w:val="22"/>
          <w:szCs w:val="22"/>
          <w:i w:val="1"/>
          <w:iCs w:val="1"/>
          <w:color w:val="010000"/>
        </w:rPr>
      </w:pPr>
    </w:p>
    <w:p>
      <w:pPr>
        <w:jc w:val="both"/>
        <w:ind w:left="620" w:firstLine="726"/>
        <w:spacing w:after="0" w:line="237" w:lineRule="auto"/>
        <w:tabs>
          <w:tab w:leader="none" w:pos="2238" w:val="left"/>
        </w:tabs>
        <w:numPr>
          <w:ilvl w:val="0"/>
          <w:numId w:val="72"/>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Protected Disclosures</w:t>
      </w:r>
      <w:r>
        <w:rPr>
          <w:rFonts w:ascii="Times New Roman" w:cs="Times New Roman" w:eastAsia="Times New Roman" w:hAnsi="Times New Roman"/>
          <w:sz w:val="22"/>
          <w:szCs w:val="22"/>
          <w:color w:val="auto"/>
        </w:rPr>
        <w:t>. Notwithstanding the foregoing, nothing in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the confidentiality provisions above, limits Executive’s ability to communicate with the Securities and Exchange Commission (or any other governmental agency) regarding any possible violations of law, to otherwise participate in any investigation or proceeding that may be conducted by a governmental agency (including providing documents or other information without notice to the Company), or to receive any award for information provided to a governmental agency.</w:t>
      </w:r>
    </w:p>
    <w:p>
      <w:pPr>
        <w:spacing w:after="0" w:line="17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8" w:name="page49"/>
    <w:bookmarkEnd w:id="48"/>
    <w:p>
      <w:pPr>
        <w:jc w:val="both"/>
        <w:ind w:left="882" w:firstLine="726"/>
        <w:spacing w:after="0" w:line="234" w:lineRule="auto"/>
        <w:tabs>
          <w:tab w:leader="none" w:pos="2560" w:val="left"/>
        </w:tabs>
        <w:numPr>
          <w:ilvl w:val="2"/>
          <w:numId w:val="73"/>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Acknowledgement; Covenants Ancillary to Other Agreements</w:t>
      </w:r>
      <w:r>
        <w:rPr>
          <w:rFonts w:ascii="Times New Roman" w:cs="Times New Roman" w:eastAsia="Times New Roman" w:hAnsi="Times New Roman"/>
          <w:sz w:val="22"/>
          <w:szCs w:val="22"/>
          <w:color w:val="auto"/>
        </w:rPr>
        <w:t>. Executive expressly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recognizes that Executive was a high-level, executive employee who was provided with access to Confidential Information of the Company as part of Executive’s employment. Executive acknowledges that the restrictive covenants contained in Section 5(b), for which she received consideration from the Company as provided in Section 3, are ancillary to otherwise enforceable provisions of this Agreement with respect to the protection of Confidential Information, and that the restrictive covenants contain limitations, as applicable, as to time, geographical area and scope of activity to be restrained that are reasonable, and do not impose a greater restraint than is necessary to protect the good will or other business interests of the Company, such as the Company’s need to protect its Confidential Information.</w:t>
      </w:r>
    </w:p>
    <w:p>
      <w:pPr>
        <w:spacing w:after="0" w:line="181" w:lineRule="exact"/>
        <w:rPr>
          <w:rFonts w:ascii="Times New Roman" w:cs="Times New Roman" w:eastAsia="Times New Roman" w:hAnsi="Times New Roman"/>
          <w:sz w:val="22"/>
          <w:szCs w:val="22"/>
          <w:i w:val="1"/>
          <w:iCs w:val="1"/>
          <w:color w:val="010000"/>
        </w:rPr>
      </w:pPr>
    </w:p>
    <w:p>
      <w:pPr>
        <w:jc w:val="both"/>
        <w:ind w:left="882" w:firstLine="726"/>
        <w:spacing w:after="0" w:line="233" w:lineRule="auto"/>
        <w:tabs>
          <w:tab w:leader="none" w:pos="2620" w:val="left"/>
        </w:tabs>
        <w:numPr>
          <w:ilvl w:val="2"/>
          <w:numId w:val="73"/>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Return of Property</w:t>
      </w:r>
      <w:r>
        <w:rPr>
          <w:rFonts w:ascii="Times New Roman" w:cs="Times New Roman" w:eastAsia="Times New Roman" w:hAnsi="Times New Roman"/>
          <w:sz w:val="22"/>
          <w:szCs w:val="22"/>
          <w:color w:val="auto"/>
        </w:rPr>
        <w:t>. Executive agrees that at the time of leaving the Company’s employ,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if not sooner, she will: (A) deliver to the Company all (and will not keep in her possession, recreate or deliver to anyone else, any)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 and (B) return to a Company representative all computers and electronic storage devices including thumb drives, back-up devices, etc. that contain Company information. To the extent that Executive owns electronic devices that contain company information (e.g. personal computers, phones or home computers), Executive agrees to allow access to such devices to Company IT personnel to remove the Company information. To the extent Company-owned electronic devices contain Executive personal information, Executive and Company agree to cooperate in the removal or copying of the personal information to a separate device for Executive. Executive agrees to sign an inventory of the devices returned and steps to taken to remove Company information from Executive’s personal computers and devices.</w:t>
      </w:r>
    </w:p>
    <w:p>
      <w:pPr>
        <w:spacing w:after="0" w:line="177" w:lineRule="exact"/>
        <w:rPr>
          <w:rFonts w:ascii="Times New Roman" w:cs="Times New Roman" w:eastAsia="Times New Roman" w:hAnsi="Times New Roman"/>
          <w:sz w:val="22"/>
          <w:szCs w:val="22"/>
          <w:i w:val="1"/>
          <w:iCs w:val="1"/>
          <w:color w:val="010000"/>
        </w:rPr>
      </w:pPr>
    </w:p>
    <w:p>
      <w:pPr>
        <w:jc w:val="both"/>
        <w:ind w:left="882" w:firstLine="726"/>
        <w:spacing w:after="0" w:line="246" w:lineRule="auto"/>
        <w:tabs>
          <w:tab w:leader="none" w:pos="2680" w:val="left"/>
        </w:tabs>
        <w:numPr>
          <w:ilvl w:val="2"/>
          <w:numId w:val="73"/>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Executive further acknowledges that if her employment terminates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end of the Term pursuant to Section 4 of this Agreement, the restrictive covenant provisions of this Agreement will extend throughout the remainder of the Term.</w:t>
      </w:r>
    </w:p>
    <w:p>
      <w:pPr>
        <w:spacing w:after="0" w:line="167" w:lineRule="exact"/>
        <w:rPr>
          <w:rFonts w:ascii="Times New Roman" w:cs="Times New Roman" w:eastAsia="Times New Roman" w:hAnsi="Times New Roman"/>
          <w:sz w:val="22"/>
          <w:szCs w:val="22"/>
          <w:i w:val="1"/>
          <w:iCs w:val="1"/>
          <w:color w:val="010000"/>
        </w:rPr>
      </w:pPr>
    </w:p>
    <w:p>
      <w:pPr>
        <w:jc w:val="both"/>
        <w:ind w:left="842" w:hanging="842"/>
        <w:spacing w:after="0" w:line="250" w:lineRule="auto"/>
        <w:tabs>
          <w:tab w:leader="none" w:pos="842" w:val="left"/>
        </w:tabs>
        <w:numPr>
          <w:ilvl w:val="0"/>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Employment by Affiliates</w:t>
      </w:r>
      <w:r>
        <w:rPr>
          <w:rFonts w:ascii="Times New Roman" w:cs="Times New Roman" w:eastAsia="Times New Roman" w:hAnsi="Times New Roman"/>
          <w:sz w:val="21"/>
          <w:szCs w:val="21"/>
          <w:color w:val="auto"/>
        </w:rPr>
        <w:t>. Notwithstanding any provision of this Agreement to the contrary, for purposes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determining whether Executive has terminated employment hereunder, “employment” means employment as an employee with the Company or any affiliate. For purposes of this Agreement, the term “affiliate” means</w:t>
      </w:r>
    </w:p>
    <w:p>
      <w:pPr>
        <w:spacing w:after="0" w:line="2" w:lineRule="exact"/>
        <w:rPr>
          <w:rFonts w:ascii="Times New Roman" w:cs="Times New Roman" w:eastAsia="Times New Roman" w:hAnsi="Times New Roman"/>
          <w:sz w:val="21"/>
          <w:szCs w:val="21"/>
          <w:color w:val="010000"/>
        </w:rPr>
      </w:pPr>
    </w:p>
    <w:p>
      <w:pPr>
        <w:ind w:left="842" w:firstLine="9"/>
        <w:spacing w:after="0" w:line="237" w:lineRule="auto"/>
        <w:tabs>
          <w:tab w:leader="none" w:pos="115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Schlumberger Limited, a Curaçao company, (ii) any entity in which the equity interests owned or controlled directly or indirectly by Schlumberger Limited</w:t>
      </w:r>
    </w:p>
    <w:p>
      <w:pPr>
        <w:spacing w:after="0" w:line="394" w:lineRule="exact"/>
        <w:rPr>
          <w:sz w:val="20"/>
          <w:szCs w:val="20"/>
          <w:color w:val="auto"/>
        </w:rPr>
      </w:pPr>
    </w:p>
    <w:p>
      <w:pPr>
        <w:ind w:left="4722"/>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66675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110" w:right="339" w:bottom="1440" w:gutter="0" w:footer="0" w:header="0"/>
        </w:sectPr>
      </w:pPr>
    </w:p>
    <w:bookmarkStart w:id="49" w:name="page50"/>
    <w:bookmarkEnd w:id="49"/>
    <w:p>
      <w:pPr>
        <w:ind w:left="1700"/>
        <w:spacing w:after="0"/>
        <w:rPr>
          <w:sz w:val="20"/>
          <w:szCs w:val="20"/>
          <w:color w:val="auto"/>
        </w:rPr>
      </w:pPr>
      <w:r>
        <w:rPr>
          <w:rFonts w:ascii="Times New Roman" w:cs="Times New Roman" w:eastAsia="Times New Roman" w:hAnsi="Times New Roman"/>
          <w:sz w:val="22"/>
          <w:szCs w:val="22"/>
          <w:color w:val="auto"/>
        </w:rPr>
        <w:t>represent 40% or more of the voting power of the issued and outstanding equity interest of such entity, and</w:t>
      </w:r>
    </w:p>
    <w:p>
      <w:pPr>
        <w:spacing w:after="0" w:line="15" w:lineRule="exact"/>
        <w:rPr>
          <w:sz w:val="20"/>
          <w:szCs w:val="20"/>
          <w:color w:val="auto"/>
        </w:rPr>
      </w:pPr>
    </w:p>
    <w:p>
      <w:pPr>
        <w:ind w:left="1700" w:right="20" w:firstLine="9"/>
        <w:spacing w:after="0" w:line="237" w:lineRule="auto"/>
        <w:tabs>
          <w:tab w:leader="none" w:pos="2105"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company controlled by, controlling or under common control with the Company within the meaning of Section 414 of the Internal Revenue Code of 1986, as amended (the “Code”).</w:t>
      </w:r>
    </w:p>
    <w:p>
      <w:pPr>
        <w:spacing w:after="0" w:line="174" w:lineRule="exact"/>
        <w:rPr>
          <w:rFonts w:ascii="Times New Roman" w:cs="Times New Roman" w:eastAsia="Times New Roman" w:hAnsi="Times New Roman"/>
          <w:sz w:val="22"/>
          <w:szCs w:val="22"/>
          <w:color w:val="auto"/>
        </w:rPr>
      </w:pPr>
    </w:p>
    <w:p>
      <w:pPr>
        <w:jc w:val="both"/>
        <w:ind w:left="1700" w:right="20" w:hanging="842"/>
        <w:spacing w:after="0" w:line="244" w:lineRule="auto"/>
        <w:tabs>
          <w:tab w:leader="none" w:pos="1700" w:val="left"/>
        </w:tabs>
        <w:numPr>
          <w:ilvl w:val="1"/>
          <w:numId w:val="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Remedies</w:t>
      </w:r>
      <w:r>
        <w:rPr>
          <w:rFonts w:ascii="Times New Roman" w:cs="Times New Roman" w:eastAsia="Times New Roman" w:hAnsi="Times New Roman"/>
          <w:sz w:val="21"/>
          <w:szCs w:val="21"/>
          <w:color w:val="auto"/>
        </w:rPr>
        <w:t>. Executive acknowledges that in the event of a breach by Executive of any of restrictive covenants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contained in this Section 5, the covenants may be enforced by temporary restraining order, preliminary or temporary injunction and permanent injunction, in addition to any other remedies that may be available by law. In that connection, Executive acknowledges that in the event of any such breach, the Company will suffer irreparable injury for which there is no adequate legal remedy, in part because damages caused by the breach may be difficult to prove with any reasonable degree of certainty. Executive further agrees that in the event that (x) the Company determines that Executive has breached any term of this Section 5 or (y) all or any part of this Section 5 is held or found invalid or unenforceable for any reason whatsoever by a court of competent jurisdiction in an action between Executive and the Company, in addition to any other remedies at law or in equity the Company may have available to it, the Company may immediately stop payment or issuance of any future amounts, including shares of Company common stock under otherwise vested equity incentive awards, due pursuant to Section 3, and may in its sole discretion require that Executive repay to the Company, within five business days of receipt of written demand therefor, an amount equal to the payments or benefits received by Executive pursuant to Section 3. The repayment required by the foregoing provision shall be net of any taxes withheld on the original payments to Executive.</w:t>
      </w:r>
    </w:p>
    <w:p>
      <w:pPr>
        <w:spacing w:after="0" w:line="182" w:lineRule="exact"/>
        <w:rPr>
          <w:rFonts w:ascii="Times New Roman" w:cs="Times New Roman" w:eastAsia="Times New Roman" w:hAnsi="Times New Roman"/>
          <w:sz w:val="21"/>
          <w:szCs w:val="21"/>
          <w:color w:val="010000"/>
        </w:rPr>
      </w:pPr>
    </w:p>
    <w:p>
      <w:pPr>
        <w:jc w:val="both"/>
        <w:ind w:right="20" w:firstLine="8"/>
        <w:spacing w:after="0" w:line="244" w:lineRule="auto"/>
        <w:tabs>
          <w:tab w:leader="none" w:pos="810"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and Executive shall each be responsible for their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73" w:lineRule="exact"/>
        <w:rPr>
          <w:rFonts w:ascii="Times New Roman" w:cs="Times New Roman" w:eastAsia="Times New Roman" w:hAnsi="Times New Roman"/>
          <w:sz w:val="22"/>
          <w:szCs w:val="22"/>
          <w:color w:val="010000"/>
        </w:rPr>
      </w:pPr>
    </w:p>
    <w:p>
      <w:pPr>
        <w:jc w:val="both"/>
        <w:ind w:right="20" w:firstLine="8"/>
        <w:spacing w:after="0" w:line="239" w:lineRule="auto"/>
        <w:tabs>
          <w:tab w:leader="none" w:pos="810"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For purposes of this Agreement, all notices and all other communications provided for herein shall be in writing and shall be deemed to have been duly given when personally delivered or when mailed by registered or certified mail, return receipt requested, postage prepaid, and (unless specified otherwise herein for communications to the CEO) addressed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40" w:type="dxa"/>
            <w:vAlign w:val="bottom"/>
          </w:tcPr>
          <w:p>
            <w:pPr>
              <w:ind w:left="1700"/>
              <w:spacing w:after="0"/>
              <w:rPr>
                <w:sz w:val="20"/>
                <w:szCs w:val="20"/>
                <w:color w:val="auto"/>
              </w:rPr>
            </w:pPr>
            <w:r>
              <w:rPr>
                <w:rFonts w:ascii="Times New Roman" w:cs="Times New Roman" w:eastAsia="Times New Roman" w:hAnsi="Times New Roman"/>
                <w:sz w:val="22"/>
                <w:szCs w:val="22"/>
                <w:color w:val="auto"/>
              </w:rPr>
              <w:t>If to the Company:</w:t>
            </w:r>
          </w:p>
        </w:tc>
        <w:tc>
          <w:tcPr>
            <w:tcW w:w="702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Schlumberger Limited</w:t>
            </w:r>
          </w:p>
        </w:tc>
      </w:tr>
      <w:tr>
        <w:trPr>
          <w:trHeight w:val="243"/>
        </w:trPr>
        <w:tc>
          <w:tcPr>
            <w:tcW w:w="4240" w:type="dxa"/>
            <w:vAlign w:val="bottom"/>
          </w:tcPr>
          <w:p>
            <w:pPr>
              <w:spacing w:after="0"/>
              <w:rPr>
                <w:sz w:val="21"/>
                <w:szCs w:val="21"/>
                <w:color w:val="auto"/>
              </w:rPr>
            </w:pPr>
          </w:p>
        </w:tc>
        <w:tc>
          <w:tcPr>
            <w:tcW w:w="702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5599 San Felipe, 17th Floor</w:t>
            </w:r>
          </w:p>
        </w:tc>
      </w:tr>
      <w:tr>
        <w:trPr>
          <w:trHeight w:val="243"/>
        </w:trPr>
        <w:tc>
          <w:tcPr>
            <w:tcW w:w="4240" w:type="dxa"/>
            <w:vAlign w:val="bottom"/>
          </w:tcPr>
          <w:p>
            <w:pPr>
              <w:spacing w:after="0"/>
              <w:rPr>
                <w:sz w:val="21"/>
                <w:szCs w:val="21"/>
                <w:color w:val="auto"/>
              </w:rPr>
            </w:pPr>
          </w:p>
        </w:tc>
        <w:tc>
          <w:tcPr>
            <w:tcW w:w="702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Houston, TX 77056</w:t>
            </w:r>
          </w:p>
        </w:tc>
      </w:tr>
      <w:tr>
        <w:trPr>
          <w:trHeight w:val="282"/>
        </w:trPr>
        <w:tc>
          <w:tcPr>
            <w:tcW w:w="4240" w:type="dxa"/>
            <w:vAlign w:val="bottom"/>
          </w:tcPr>
          <w:p>
            <w:pPr>
              <w:spacing w:after="0"/>
              <w:rPr>
                <w:sz w:val="24"/>
                <w:szCs w:val="24"/>
                <w:color w:val="auto"/>
              </w:rPr>
            </w:pPr>
          </w:p>
        </w:tc>
        <w:tc>
          <w:tcPr>
            <w:tcW w:w="702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ATTENTION: Vice President, Human Resources</w:t>
            </w:r>
          </w:p>
        </w:tc>
      </w:tr>
      <w:tr>
        <w:trPr>
          <w:trHeight w:val="459"/>
        </w:trPr>
        <w:tc>
          <w:tcPr>
            <w:tcW w:w="4240" w:type="dxa"/>
            <w:vAlign w:val="bottom"/>
          </w:tcPr>
          <w:p>
            <w:pPr>
              <w:spacing w:after="0"/>
              <w:rPr>
                <w:sz w:val="24"/>
                <w:szCs w:val="24"/>
                <w:color w:val="auto"/>
              </w:rPr>
            </w:pPr>
          </w:p>
        </w:tc>
        <w:tc>
          <w:tcPr>
            <w:tcW w:w="70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w:t>
            </w:r>
          </w:p>
        </w:tc>
      </w:tr>
      <w:tr>
        <w:trPr>
          <w:trHeight w:val="103"/>
        </w:trPr>
        <w:tc>
          <w:tcPr>
            <w:tcW w:w="4240" w:type="dxa"/>
            <w:vAlign w:val="bottom"/>
            <w:tcBorders>
              <w:bottom w:val="single" w:sz="8" w:color="9A9A9A"/>
            </w:tcBorders>
          </w:tcPr>
          <w:p>
            <w:pPr>
              <w:spacing w:after="0"/>
              <w:rPr>
                <w:sz w:val="8"/>
                <w:szCs w:val="8"/>
                <w:color w:val="auto"/>
              </w:rPr>
            </w:pPr>
          </w:p>
        </w:tc>
        <w:tc>
          <w:tcPr>
            <w:tcW w:w="7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0" w:name="page51"/>
    <w:bookmarkEnd w:id="50"/>
    <w:p>
      <w:pPr>
        <w:ind w:left="1700"/>
        <w:spacing w:after="0"/>
        <w:rPr>
          <w:sz w:val="20"/>
          <w:szCs w:val="20"/>
          <w:color w:val="auto"/>
        </w:rPr>
      </w:pPr>
      <w:r>
        <w:rPr>
          <w:rFonts w:ascii="Times New Roman" w:cs="Times New Roman" w:eastAsia="Times New Roman" w:hAnsi="Times New Roman"/>
          <w:sz w:val="21"/>
          <w:szCs w:val="21"/>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Hinda Gharbi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[REDACTED]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[REDACTED]</w:t>
      </w:r>
    </w:p>
    <w:p>
      <w:pPr>
        <w:spacing w:after="0" w:line="194" w:lineRule="exact"/>
        <w:rPr>
          <w:sz w:val="20"/>
          <w:szCs w:val="20"/>
          <w:color w:val="auto"/>
        </w:rPr>
      </w:pPr>
    </w:p>
    <w:p>
      <w:pPr>
        <w:sectPr>
          <w:pgSz w:w="11900" w:h="16838" w:orient="portrait"/>
          <w:cols w:equalWidth="0" w:num="2">
            <w:col w:w="4420" w:space="720"/>
            <w:col w:w="6100"/>
          </w:cols>
          <w:pgMar w:left="320" w:top="328" w:right="339" w:bottom="1440" w:gutter="0" w:footer="0" w:header="0"/>
        </w:sectPr>
      </w:pPr>
    </w:p>
    <w:p>
      <w:pPr>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may furnish to the other in writing in accordance herewith, except that notices of changes of address shall be effective only upon receipt.</w:t>
      </w:r>
    </w:p>
    <w:p>
      <w:pPr>
        <w:spacing w:after="0" w:line="158" w:lineRule="exact"/>
        <w:rPr>
          <w:sz w:val="20"/>
          <w:szCs w:val="20"/>
          <w:color w:val="auto"/>
        </w:rPr>
      </w:pPr>
    </w:p>
    <w:p>
      <w:pPr>
        <w:jc w:val="both"/>
        <w:ind w:firstLine="8"/>
        <w:spacing w:after="0" w:line="235" w:lineRule="auto"/>
        <w:tabs>
          <w:tab w:leader="none" w:pos="810"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Applicable Law; Venue</w:t>
      </w:r>
      <w:r>
        <w:rPr>
          <w:rFonts w:ascii="Times New Roman" w:cs="Times New Roman" w:eastAsia="Times New Roman" w:hAnsi="Times New Roman"/>
          <w:sz w:val="22"/>
          <w:szCs w:val="22"/>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 Any suit, action or other legal proceeding arising out of this Agreement shall be brought in the United States District Court for the Southern District of Texas, Houston Division, or, if such court does not have jurisdiction or will not accept jurisdiction, in any court of general jurisdiction in Harris County, Texas. Each of Executive and the Company consents to the jurisdiction of any such court in any such suit, action, or proceeding and waives any objection that it may have to the laying of venue of any such suit, action, or proceeding in any such court.</w:t>
      </w:r>
    </w:p>
    <w:p>
      <w:pPr>
        <w:spacing w:after="0" w:line="183" w:lineRule="exact"/>
        <w:rPr>
          <w:rFonts w:ascii="Times New Roman" w:cs="Times New Roman" w:eastAsia="Times New Roman" w:hAnsi="Times New Roman"/>
          <w:sz w:val="22"/>
          <w:szCs w:val="22"/>
          <w:color w:val="010000"/>
        </w:rPr>
      </w:pPr>
    </w:p>
    <w:p>
      <w:pPr>
        <w:jc w:val="both"/>
        <w:ind w:firstLine="8"/>
        <w:spacing w:after="0" w:line="244" w:lineRule="auto"/>
        <w:tabs>
          <w:tab w:leader="none" w:pos="810"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173" w:lineRule="exact"/>
        <w:rPr>
          <w:rFonts w:ascii="Times New Roman" w:cs="Times New Roman" w:eastAsia="Times New Roman" w:hAnsi="Times New Roman"/>
          <w:sz w:val="22"/>
          <w:szCs w:val="22"/>
          <w:color w:val="010000"/>
        </w:rPr>
      </w:pPr>
    </w:p>
    <w:p>
      <w:pPr>
        <w:ind w:firstLine="8"/>
        <w:spacing w:after="0" w:line="258" w:lineRule="auto"/>
        <w:tabs>
          <w:tab w:leader="none" w:pos="918"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The Company may withhold from any benefits payable under this Agreement all federal, state, city or other taxes as may be required pursuant to any law or governmental regulation or ruling.</w:t>
      </w:r>
    </w:p>
    <w:p>
      <w:pPr>
        <w:spacing w:after="0" w:line="158" w:lineRule="exact"/>
        <w:rPr>
          <w:rFonts w:ascii="Times New Roman" w:cs="Times New Roman" w:eastAsia="Times New Roman" w:hAnsi="Times New Roman"/>
          <w:sz w:val="22"/>
          <w:szCs w:val="22"/>
          <w:color w:val="010000"/>
        </w:rPr>
      </w:pPr>
    </w:p>
    <w:p>
      <w:pPr>
        <w:jc w:val="both"/>
        <w:ind w:firstLine="8"/>
        <w:spacing w:after="0" w:line="236" w:lineRule="auto"/>
        <w:tabs>
          <w:tab w:leader="none" w:pos="910"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Assignment; Successors</w:t>
      </w:r>
      <w:r>
        <w:rPr>
          <w:rFonts w:ascii="Times New Roman" w:cs="Times New Roman" w:eastAsia="Times New Roman" w:hAnsi="Times New Roman"/>
          <w:sz w:val="22"/>
          <w:szCs w:val="22"/>
          <w:color w:val="auto"/>
        </w:rPr>
        <w:t>. Executive’s right to receive payments or benefits hereunder shall not be assignable or transferable, whether by pledge, creation, or a security interest or otherwise, whether voluntary, involuntary, by operation of law or otherwise, other than, as provided in Section 4(a),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Agreement shall be binding upon and inure to the benefit of the Company, its successors and assigns (including, without limitation, any entity into or with which the Company may merge or consolidate).</w:t>
      </w:r>
    </w:p>
    <w:p>
      <w:pPr>
        <w:spacing w:after="0" w:line="158" w:lineRule="exact"/>
        <w:rPr>
          <w:sz w:val="20"/>
          <w:szCs w:val="20"/>
          <w:color w:val="auto"/>
        </w:rPr>
      </w:pPr>
    </w:p>
    <w:p>
      <w:pPr>
        <w:jc w:val="both"/>
        <w:ind w:firstLine="8"/>
        <w:spacing w:after="0" w:line="239" w:lineRule="auto"/>
        <w:tabs>
          <w:tab w:leader="none" w:pos="918"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 of Prior Agreements</w:t>
      </w:r>
      <w:r>
        <w:rPr>
          <w:rFonts w:ascii="Times New Roman" w:cs="Times New Roman" w:eastAsia="Times New Roman" w:hAnsi="Times New Roman"/>
          <w:sz w:val="22"/>
          <w:szCs w:val="22"/>
          <w:color w:val="auto"/>
        </w:rPr>
        <w:t>. This Agreement, together with Exhibit A attached hereto, contains the entire understanding between the parties hereto and supersedes any prior employment, non-competition or severance or other agreement between the Company or any predecessor of the Company and Executive. Each party to this Agreement agrees that (a) no other party to this Agreement (including its agents and representatives) has made any representation, warranty,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51" w:name="page52"/>
    <w:bookmarkEnd w:id="51"/>
    <w:p>
      <w:pPr>
        <w:spacing w:after="0" w:line="259" w:lineRule="auto"/>
        <w:rPr>
          <w:sz w:val="20"/>
          <w:szCs w:val="20"/>
          <w:color w:val="auto"/>
        </w:rPr>
      </w:pPr>
      <w:r>
        <w:rPr>
          <w:rFonts w:ascii="Times New Roman" w:cs="Times New Roman" w:eastAsia="Times New Roman" w:hAnsi="Times New Roman"/>
          <w:sz w:val="22"/>
          <w:szCs w:val="22"/>
          <w:color w:val="auto"/>
        </w:rPr>
        <w:t>covenant or agreement to or with such party relating to the subject matter hereof, and (b) such party has not relied upon any representation, warranty, covenant or agreement relating to the subject matter hereof.</w:t>
      </w:r>
    </w:p>
    <w:p>
      <w:pPr>
        <w:spacing w:after="0" w:line="157" w:lineRule="exact"/>
        <w:rPr>
          <w:sz w:val="20"/>
          <w:szCs w:val="20"/>
          <w:color w:val="auto"/>
        </w:rPr>
      </w:pPr>
    </w:p>
    <w:p>
      <w:pPr>
        <w:jc w:val="both"/>
        <w:ind w:firstLine="8"/>
        <w:spacing w:after="0" w:line="235" w:lineRule="auto"/>
        <w:tabs>
          <w:tab w:leader="none" w:pos="918"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In consideration for the compensation and other benefits provided pursuant to this Agreement, Executive has executed a “Waiver and Release” in the form attached hereto as Exhibit A. Executive acknowledges that she was given copies of this Agreement and the Waiver and Release on January 28, 2022 and was given at least 21 days to consider whether to sign the Agreement and the Waiver and Release. The Company’s obligations under this Agreement are expressly conditioned on Executive’s execution and delivery of the Waiver and Release within the time period set forth therein, as well as Executive’s non-revocation of the Waiver and Release by the time provided therein. Executive’s failure to timely execute and deliver such Waiver and Release, or Executive’s revocation of the Waiver and Release within the seven-day period provided in the Waiver and Release, will void the Company’s obligations hereunder.</w:t>
      </w:r>
    </w:p>
    <w:p>
      <w:pPr>
        <w:spacing w:after="0" w:line="178" w:lineRule="exact"/>
        <w:rPr>
          <w:rFonts w:ascii="Times New Roman" w:cs="Times New Roman" w:eastAsia="Times New Roman" w:hAnsi="Times New Roman"/>
          <w:sz w:val="22"/>
          <w:szCs w:val="22"/>
          <w:color w:val="010000"/>
        </w:rPr>
      </w:pPr>
    </w:p>
    <w:p>
      <w:pPr>
        <w:jc w:val="both"/>
        <w:ind w:firstLine="8"/>
        <w:spacing w:after="0" w:line="244" w:lineRule="auto"/>
        <w:tabs>
          <w:tab w:leader="none" w:pos="918" w:val="left"/>
        </w:tabs>
        <w:numPr>
          <w:ilvl w:val="0"/>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Each payment under this Agreement, including each payment in a series of installment payments, is intended to be a separate payment for purposes of Treas. Reg. § 1.409A-2(b), and is intended to be: (i) exempt from Section 409A of the Code, the regulations and other binding guidance promulgated thereunder (“Section 409A”), including, but not limited to, by compliance with the short-term deferral exemption as specified in Treas. Reg. § 1.409A-1(b)(4) and the involuntary separation pay exception within the meaning of Treas. Reg. § 1.409A-1(b)(9)(iii), or (ii) in compliance with Section 409A, including, but not limited to, being paid pursuant to a fixed schedule or specified date pursuant to Treas. Reg. § 1.409A-3(a) and the provisions of this Agreement will be administered, interpreted and construed accordingly. Notwithstanding the foregoing provisions of this Agreement, if the payment of any severance compensation or severance benefits under Section 3 would be subject to additional taxes and interest under Section 409A because the timing of such payment is not delayed as provided in Section 409A(a)(2)(B)(i) of the Code, and Executive constitutes a specified employee within the meaning of Section 409A(a)(2) (B)(i) of the Code, then any such payments that Executive would otherwise be entitled to during the first six months following Executive’s separation from service within the meaning of Section 409A(a)(2)(A)(i) of the Code shall be accumulated and paid on the date that is six months after Executive’s separation from service (or if such payment date does not fall on a business day of the Company, the next following business day of the Company), or such earlier date upon which such amount can be paid under Section 409A without being subject to such additional taxes and interest.</w:t>
      </w:r>
    </w:p>
    <w:p>
      <w:pPr>
        <w:spacing w:after="0" w:line="178" w:lineRule="exact"/>
        <w:rPr>
          <w:rFonts w:ascii="Times New Roman" w:cs="Times New Roman" w:eastAsia="Times New Roman" w:hAnsi="Times New Roman"/>
          <w:sz w:val="21"/>
          <w:szCs w:val="21"/>
          <w:color w:val="010000"/>
        </w:rPr>
      </w:pPr>
    </w:p>
    <w:p>
      <w:pPr>
        <w:jc w:val="both"/>
        <w:ind w:firstLine="8"/>
        <w:spacing w:after="0" w:line="244" w:lineRule="auto"/>
        <w:tabs>
          <w:tab w:leader="none" w:pos="918"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failure by either party hereto at any time to give notice of any breach by the other party of, or to require compliance with, any condition or provision of this Agreement shall be deemed a waiver of similar or dissimilar provisions or conditions at the same or at any prior or subsequent time.</w:t>
      </w:r>
    </w:p>
    <w:p>
      <w:pPr>
        <w:spacing w:after="0" w:line="173" w:lineRule="exact"/>
        <w:rPr>
          <w:rFonts w:ascii="Times New Roman" w:cs="Times New Roman" w:eastAsia="Times New Roman" w:hAnsi="Times New Roman"/>
          <w:sz w:val="22"/>
          <w:szCs w:val="22"/>
          <w:color w:val="010000"/>
        </w:rPr>
      </w:pPr>
    </w:p>
    <w:p>
      <w:pPr>
        <w:jc w:val="both"/>
        <w:ind w:firstLine="8"/>
        <w:spacing w:after="0" w:line="244" w:lineRule="auto"/>
        <w:tabs>
          <w:tab w:leader="none" w:pos="918"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 Delivery of an executed counterpart of a signature page of this Agreement by fax</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line="259" w:lineRule="auto"/>
        <w:rPr>
          <w:sz w:val="20"/>
          <w:szCs w:val="20"/>
          <w:color w:val="auto"/>
        </w:rPr>
      </w:pPr>
      <w:r>
        <w:rPr>
          <w:rFonts w:ascii="Times New Roman" w:cs="Times New Roman" w:eastAsia="Times New Roman" w:hAnsi="Times New Roman"/>
          <w:sz w:val="22"/>
          <w:szCs w:val="22"/>
          <w:color w:val="auto"/>
        </w:rPr>
        <w:t>copy or scan/email or other electronic transmission (e.g., PDF) shall be effective as delivery of a manually-executed counterpart of this Agreement.</w:t>
      </w:r>
    </w:p>
    <w:p>
      <w:pPr>
        <w:spacing w:after="0" w:line="157" w:lineRule="exact"/>
        <w:rPr>
          <w:sz w:val="20"/>
          <w:szCs w:val="20"/>
          <w:color w:val="auto"/>
        </w:rPr>
      </w:pPr>
    </w:p>
    <w:p>
      <w:pPr>
        <w:ind w:left="920" w:hanging="912"/>
        <w:spacing w:after="0"/>
        <w:tabs>
          <w:tab w:leader="none" w:pos="920" w:val="left"/>
        </w:tabs>
        <w:numPr>
          <w:ilvl w:val="0"/>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Section headings have been inserted for purposes of convenience and shall not be used for interpretive</w:t>
      </w:r>
    </w:p>
    <w:p>
      <w:pPr>
        <w:spacing w:after="0" w:line="25"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purposes.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ind w:right="20"/>
        <w:spacing w:after="0" w:line="259"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on the dates set forth below their respective signatures, but effective as of the date and year first above written.</w:t>
      </w:r>
    </w:p>
    <w:p>
      <w:pPr>
        <w:spacing w:after="0" w:line="37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SCHLUMBERGER LIMITED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Gavin Rennick</w:t>
      </w:r>
    </w:p>
    <w:p>
      <w:pPr>
        <w:spacing w:after="0" w:line="17" w:lineRule="exact"/>
        <w:rPr>
          <w:sz w:val="20"/>
          <w:szCs w:val="20"/>
          <w:color w:val="auto"/>
        </w:rPr>
      </w:pPr>
    </w:p>
    <w:tbl>
      <w:tblPr>
        <w:tblLayout w:type="fixed"/>
        <w:tblInd w:w="4460" w:type="dxa"/>
        <w:tblCellMar>
          <w:top w:w="0" w:type="dxa"/>
          <w:left w:w="0" w:type="dxa"/>
          <w:bottom w:w="0" w:type="dxa"/>
          <w:right w:w="0" w:type="dxa"/>
        </w:tblCellMar>
      </w:tblPr>
      <w:tr>
        <w:trPr>
          <w:trHeight w:val="209"/>
        </w:trPr>
        <w:tc>
          <w:tcPr>
            <w:tcW w:w="7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6060" w:type="dxa"/>
            <w:vAlign w:val="bottom"/>
            <w:tcBorders>
              <w:top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Gavin Rennick</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60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Vice President, Human Resources</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February 22,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/s/ Hinda Gharbi</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60" w:type="dxa"/>
            <w:vAlign w:val="bottom"/>
          </w:tcPr>
          <w:p>
            <w:pPr>
              <w:spacing w:after="0"/>
              <w:rPr>
                <w:sz w:val="18"/>
                <w:szCs w:val="18"/>
                <w:color w:val="auto"/>
              </w:rPr>
            </w:pPr>
          </w:p>
        </w:tc>
        <w:tc>
          <w:tcPr>
            <w:tcW w:w="7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6060" w:type="dxa"/>
            <w:vAlign w:val="bottom"/>
            <w:tcBorders>
              <w:top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Hinda Gharbi</w:t>
            </w:r>
          </w:p>
        </w:tc>
        <w:tc>
          <w:tcPr>
            <w:tcW w:w="20" w:type="dxa"/>
            <w:vAlign w:val="bottom"/>
          </w:tcPr>
          <w:p>
            <w:pPr>
              <w:spacing w:after="0"/>
              <w:rPr>
                <w:sz w:val="18"/>
                <w:szCs w:val="18"/>
                <w:color w:val="auto"/>
              </w:rPr>
            </w:pPr>
          </w:p>
        </w:tc>
      </w:tr>
      <w:tr>
        <w:trPr>
          <w:trHeight w:val="282"/>
        </w:trPr>
        <w:tc>
          <w:tcPr>
            <w:tcW w:w="44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February 22, 2022</w:t>
            </w:r>
          </w:p>
        </w:tc>
        <w:tc>
          <w:tcPr>
            <w:tcW w:w="20" w:type="dxa"/>
            <w:vAlign w:val="bottom"/>
          </w:tcPr>
          <w:p>
            <w:pPr>
              <w:spacing w:after="0"/>
              <w:rPr>
                <w:sz w:val="24"/>
                <w:szCs w:val="24"/>
                <w:color w:val="auto"/>
              </w:rPr>
            </w:pPr>
          </w:p>
        </w:tc>
      </w:tr>
      <w:tr>
        <w:trPr>
          <w:trHeight w:val="918"/>
        </w:trPr>
        <w:tc>
          <w:tcPr>
            <w:tcW w:w="4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60" w:type="dxa"/>
            <w:vAlign w:val="bottom"/>
          </w:tcPr>
          <w:p>
            <w:pPr>
              <w:jc w:val="right"/>
              <w:ind w:right="5392"/>
              <w:spacing w:after="0"/>
              <w:rPr>
                <w:sz w:val="20"/>
                <w:szCs w:val="20"/>
                <w:color w:val="auto"/>
              </w:rPr>
            </w:pPr>
            <w:r>
              <w:rPr>
                <w:rFonts w:ascii="Times New Roman" w:cs="Times New Roman" w:eastAsia="Times New Roman" w:hAnsi="Times New Roman"/>
                <w:sz w:val="22"/>
                <w:szCs w:val="22"/>
                <w:color w:val="auto"/>
              </w:rPr>
              <w:t>13</w:t>
            </w:r>
          </w:p>
        </w:tc>
        <w:tc>
          <w:tcPr>
            <w:tcW w:w="20" w:type="dxa"/>
            <w:vAlign w:val="bottom"/>
          </w:tcPr>
          <w:p>
            <w:pPr>
              <w:spacing w:after="0"/>
              <w:rPr>
                <w:sz w:val="24"/>
                <w:szCs w:val="24"/>
                <w:color w:val="auto"/>
              </w:rPr>
            </w:pPr>
          </w:p>
        </w:tc>
      </w:tr>
      <w:tr>
        <w:trPr>
          <w:trHeight w:val="103"/>
        </w:trPr>
        <w:tc>
          <w:tcPr>
            <w:tcW w:w="44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0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4" w:name="page55"/>
    <w:bookmarkEnd w:id="54"/>
    <w:p>
      <w:pPr>
        <w:ind w:left="5200"/>
        <w:spacing w:after="0"/>
        <w:rPr>
          <w:sz w:val="20"/>
          <w:szCs w:val="20"/>
          <w:color w:val="auto"/>
        </w:rPr>
      </w:pPr>
      <w:r>
        <w:rPr>
          <w:rFonts w:ascii="Times New Roman" w:cs="Times New Roman" w:eastAsia="Times New Roman" w:hAnsi="Times New Roman"/>
          <w:sz w:val="22"/>
          <w:szCs w:val="22"/>
          <w:color w:val="auto"/>
        </w:rPr>
        <w:t>Exhibit A</w:t>
      </w:r>
    </w:p>
    <w:p>
      <w:pPr>
        <w:spacing w:after="0" w:line="20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SCHLUMBERGER LIMITED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WAIVER AND RELEASE</w:t>
      </w:r>
    </w:p>
    <w:p>
      <w:pPr>
        <w:spacing w:after="0" w:line="178" w:lineRule="exact"/>
        <w:rPr>
          <w:sz w:val="20"/>
          <w:szCs w:val="20"/>
          <w:color w:val="auto"/>
        </w:rPr>
      </w:pPr>
    </w:p>
    <w:p>
      <w:pPr>
        <w:ind w:left="1300" w:hanging="860"/>
        <w:spacing w:after="0"/>
        <w:tabs>
          <w:tab w:leader="none" w:pos="130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Schlumberger Limited (the “Company”) has offered to pay or confer to me, as applicable, certain remuneration and benefits (collectively, the “Consideration”) pursuant to, and subject to the limitations set forth in, my Employment Agreement with Schlumberger Limited effective as of May 1, 2022 (the “Agreement”), which is in addition to any remuneration or benefits to which I am already entitled.</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have read this Waiver and Release and the Agreement (which, together, are referred to herein as the “Agreement Materials”) and the Agreement is incorporated herein by reference. The payment and delivery, as applicable, of the Consideration is voluntary on the part of the Company and is not required by any legal obligation other than the Agreement. I choose to accept this offer.</w:t>
      </w:r>
    </w:p>
    <w:p>
      <w:pPr>
        <w:spacing w:after="0" w:line="176" w:lineRule="exact"/>
        <w:rPr>
          <w:sz w:val="20"/>
          <w:szCs w:val="20"/>
          <w:color w:val="auto"/>
        </w:rPr>
      </w:pPr>
    </w:p>
    <w:p>
      <w:pPr>
        <w:ind w:left="1300" w:hanging="860"/>
        <w:spacing w:after="0"/>
        <w:tabs>
          <w:tab w:leader="none" w:pos="130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Consideration was offered to me in exchange for my agreement, among other things, to waive all of my claims against and release the Company and its predecessors, successors and assigns, all of the affiliates (including parents and subsidiaries) of the and the Company’s and Affiliates’ directors and officers, employees and agents, employee benefit plans and the fiduciaries and agents of such plans (collectively, the “Corporate Group”) from any and all claims, demands, actions, liabilities and damages arising out of or relating in any way to my employment with or separation from the Company or the Affiliates; provided, however, that this Waiver and Release shall not apply to any claim or cause of action to enforce or interpret any provision contained in the Agreement.</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 understand that signing this Waiver and Release is an important legal act. I acknowledge that the Company has advised me in writing to consult an attorney before signing this Waiver and Release. I understand that, in order to be eligible for the Consideration, I must sign and return this Waiver and Release by 5:00 p.m. on April 30, 2022 to: Gavin Rennick, Vice President, Human Resources, Schlumberger Limited, 5599 San Felipe, 17th Floor, Houston, TX 77056. I acknowledge that I have been given at least 21 days to consider whether to sign the Agreement and whether to execute this Waiver and Release.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exchange for the payment and, as applicable, the delivery to me of the Consideration, which is in addition to any remuneration or benefits to which I am already entitled, I, among other things:</w:t>
      </w:r>
    </w:p>
    <w:p>
      <w:pPr>
        <w:spacing w:after="0" w:line="158" w:lineRule="exact"/>
        <w:rPr>
          <w:sz w:val="20"/>
          <w:szCs w:val="20"/>
          <w:color w:val="auto"/>
        </w:rPr>
      </w:pPr>
    </w:p>
    <w:p>
      <w:pPr>
        <w:jc w:val="both"/>
        <w:ind w:left="880" w:hanging="8"/>
        <w:spacing w:after="0" w:line="244" w:lineRule="auto"/>
        <w:tabs>
          <w:tab w:leader="none" w:pos="118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never to institute, maintain or prosecute, or induce or assist in the instigation, commencement, maintenance or prosecution of any action, suit, proceeding or administrative charge in any forum regarding or relating in any way to my employment with or separation from the Company or the Affiliates, and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jc w:val="both"/>
        <w:ind w:left="880" w:hanging="8"/>
        <w:spacing w:after="0" w:line="238" w:lineRule="auto"/>
        <w:tabs>
          <w:tab w:leader="none" w:pos="121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knowingly and voluntarily waive all claims and release the Corporate Group from any and all claims, demands, actions, liabilities, and damages, whether known or unknown, arising out of or relating in any way to my employment with or separation from the Company or the Affiliates, except to the extent that my rights are vested under the terms of employee benefit plans sponsored by the Company or the Affiliates and except with respect to such rights or claims as may arise after the date this Waiver and Release is executed.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Waiver and Release includes, but is not limited to, claims and causes of action under:</w:t>
      </w:r>
    </w:p>
    <w:p>
      <w:pPr>
        <w:spacing w:after="0" w:line="206" w:lineRule="exact"/>
        <w:rPr>
          <w:sz w:val="20"/>
          <w:szCs w:val="20"/>
          <w:color w:val="auto"/>
        </w:rPr>
      </w:pPr>
    </w:p>
    <w:p>
      <w:pPr>
        <w:ind w:left="880" w:hanging="440"/>
        <w:spacing w:after="0"/>
        <w:tabs>
          <w:tab w:leader="none" w:pos="8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VII of the Civil Rights Act of 1964, as amended (“Title VII”);</w:t>
      </w:r>
    </w:p>
    <w:p>
      <w:pPr>
        <w:spacing w:after="0" w:line="14" w:lineRule="exact"/>
        <w:rPr>
          <w:rFonts w:ascii="Times New Roman" w:cs="Times New Roman" w:eastAsia="Times New Roman" w:hAnsi="Times New Roman"/>
          <w:sz w:val="22"/>
          <w:szCs w:val="22"/>
          <w:color w:val="auto"/>
        </w:rPr>
      </w:pPr>
    </w:p>
    <w:p>
      <w:pPr>
        <w:ind w:left="880" w:hanging="440"/>
        <w:spacing w:after="0" w:line="224" w:lineRule="auto"/>
        <w:tabs>
          <w:tab w:leader="none" w:pos="8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 Discrimination in Employment Act of 1967, as amended, including the Older Workers Benefit Protection Act of 1990 (“ADEA”);</w:t>
      </w:r>
    </w:p>
    <w:p>
      <w:pPr>
        <w:ind w:left="880" w:hanging="440"/>
        <w:spacing w:after="0" w:line="230" w:lineRule="auto"/>
        <w:tabs>
          <w:tab w:leader="none" w:pos="8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Civil Rights Act of 1866, as amended; the Civil Rights Act of 1991;</w:t>
      </w:r>
    </w:p>
    <w:p>
      <w:pPr>
        <w:ind w:left="880" w:hanging="440"/>
        <w:spacing w:after="0" w:line="230" w:lineRule="auto"/>
        <w:tabs>
          <w:tab w:leader="none" w:pos="8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Americans with Disabilities Act of 1990 (“ADA”);</w:t>
      </w:r>
    </w:p>
    <w:p>
      <w:pPr>
        <w:ind w:left="880" w:hanging="440"/>
        <w:spacing w:after="0" w:line="230" w:lineRule="auto"/>
        <w:tabs>
          <w:tab w:leader="none" w:pos="8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Energy Reorganization Act, as amended, 42 U.S.C. § 5851;</w:t>
      </w:r>
    </w:p>
    <w:p>
      <w:pPr>
        <w:ind w:left="880" w:hanging="440"/>
        <w:spacing w:after="0" w:line="230" w:lineRule="auto"/>
        <w:tabs>
          <w:tab w:leader="none" w:pos="8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Workers Adjustment and Retraining Notification Act of 1988;</w:t>
      </w:r>
    </w:p>
    <w:p>
      <w:pPr>
        <w:ind w:left="880" w:hanging="440"/>
        <w:spacing w:after="0" w:line="230" w:lineRule="auto"/>
        <w:tabs>
          <w:tab w:leader="none" w:pos="8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Retirement Income Security Act of 1974, as amended;</w:t>
      </w:r>
    </w:p>
    <w:p>
      <w:pPr>
        <w:ind w:left="880" w:hanging="440"/>
        <w:spacing w:after="0" w:line="230" w:lineRule="auto"/>
        <w:tabs>
          <w:tab w:leader="none" w:pos="8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Family and Medical Leave Act of 1993;</w:t>
      </w:r>
    </w:p>
    <w:p>
      <w:pPr>
        <w:ind w:left="880" w:hanging="440"/>
        <w:spacing w:after="0" w:line="230" w:lineRule="auto"/>
        <w:tabs>
          <w:tab w:leader="none" w:pos="8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Occupational Safety and Health Act (“OSHA”);</w:t>
      </w:r>
    </w:p>
    <w:p>
      <w:pPr>
        <w:ind w:left="880" w:hanging="440"/>
        <w:spacing w:after="0" w:line="230" w:lineRule="auto"/>
        <w:tabs>
          <w:tab w:leader="none" w:pos="8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in connection with workers’ compensation; and/or</w:t>
      </w:r>
    </w:p>
    <w:p>
      <w:pPr>
        <w:ind w:left="880" w:right="20" w:hanging="440"/>
        <w:spacing w:after="0" w:line="237" w:lineRule="auto"/>
        <w:tabs>
          <w:tab w:leader="none" w:pos="8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tort, defamation, slander, wrongful termination or any other state or federal regulatory, statutory or common law.</w:t>
      </w:r>
    </w:p>
    <w:p>
      <w:pPr>
        <w:spacing w:after="0" w:line="161" w:lineRule="exact"/>
        <w:rPr>
          <w:sz w:val="20"/>
          <w:szCs w:val="20"/>
          <w:color w:val="auto"/>
        </w:rPr>
      </w:pPr>
    </w:p>
    <w:p>
      <w:pPr>
        <w:ind w:left="1300" w:hanging="860"/>
        <w:spacing w:after="0"/>
        <w:tabs>
          <w:tab w:leader="none" w:pos="130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Completeness and Validity of Agreement Materials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expressly represent that no promise or agreement which is not expressed in the Agreement Materials has been made to me in executing this Waiver and Release, and that I am relying on my own judgment in executing this Waiver and Release, and that I am not relying on any statement or representation of the Company, any of the Affiliates or any other member of the Corporate Group or any of their agents.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 agree that this Waiver and Release is valid, fair, adequate and reasonable, is with my full knowledge and consent, was not procured through fraud, duress or mistake and has not had the effect of misleading, misinforming or failing to inform me.</w:t>
      </w:r>
    </w:p>
    <w:p>
      <w:pPr>
        <w:spacing w:after="0" w:line="154"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Limitation of Waiver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above, nothing in this Waiver and Release is intended to:</w:t>
      </w:r>
    </w:p>
    <w:p>
      <w:pPr>
        <w:spacing w:after="0" w:line="206" w:lineRule="exact"/>
        <w:rPr>
          <w:sz w:val="20"/>
          <w:szCs w:val="20"/>
          <w:color w:val="auto"/>
        </w:rPr>
      </w:pPr>
    </w:p>
    <w:p>
      <w:pPr>
        <w:jc w:val="both"/>
        <w:ind w:left="1840" w:firstLine="4"/>
        <w:spacing w:after="0" w:line="244" w:lineRule="auto"/>
        <w:tabs>
          <w:tab w:leader="none" w:pos="2692" w:val="left"/>
        </w:tabs>
        <w:numPr>
          <w:ilvl w:val="0"/>
          <w:numId w:val="88"/>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release or affect in any way any board resolution or by-law of the Company or other agreement between me and the Company which may provide for indemnity and/or director and officer insurance coverage relating to any potential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ind w:left="1840"/>
        <w:spacing w:after="0"/>
        <w:rPr>
          <w:sz w:val="20"/>
          <w:szCs w:val="20"/>
          <w:color w:val="auto"/>
        </w:rPr>
      </w:pPr>
      <w:r>
        <w:rPr>
          <w:rFonts w:ascii="Times New Roman" w:cs="Times New Roman" w:eastAsia="Times New Roman" w:hAnsi="Times New Roman"/>
          <w:sz w:val="22"/>
          <w:szCs w:val="22"/>
          <w:color w:val="auto"/>
        </w:rPr>
        <w:t>claim against me arising out of my role as an officer and employee of the Company;</w:t>
      </w:r>
    </w:p>
    <w:p>
      <w:pPr>
        <w:spacing w:after="0" w:line="207" w:lineRule="exact"/>
        <w:rPr>
          <w:sz w:val="20"/>
          <w:szCs w:val="20"/>
          <w:color w:val="auto"/>
        </w:rPr>
      </w:pPr>
    </w:p>
    <w:p>
      <w:pPr>
        <w:ind w:left="2760" w:hanging="916"/>
        <w:spacing w:after="0"/>
        <w:tabs>
          <w:tab w:leader="none" w:pos="2760" w:val="left"/>
        </w:tabs>
        <w:numPr>
          <w:ilvl w:val="1"/>
          <w:numId w:val="89"/>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release or affect in any way any claims arising under the Agreement;</w:t>
      </w:r>
    </w:p>
    <w:p>
      <w:pPr>
        <w:spacing w:after="0" w:line="206" w:lineRule="exact"/>
        <w:rPr>
          <w:rFonts w:ascii="Times New Roman" w:cs="Times New Roman" w:eastAsia="Times New Roman" w:hAnsi="Times New Roman"/>
          <w:sz w:val="22"/>
          <w:szCs w:val="22"/>
          <w:i w:val="1"/>
          <w:iCs w:val="1"/>
          <w:color w:val="010000"/>
        </w:rPr>
      </w:pPr>
    </w:p>
    <w:p>
      <w:pPr>
        <w:jc w:val="both"/>
        <w:ind w:left="1840" w:firstLine="4"/>
        <w:spacing w:after="0" w:line="244" w:lineRule="auto"/>
        <w:tabs>
          <w:tab w:leader="none" w:pos="2812" w:val="left"/>
        </w:tabs>
        <w:numPr>
          <w:ilvl w:val="1"/>
          <w:numId w:val="89"/>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prevent me from filing a complaint with, providing information to, or testifying or otherwise assisting in any investigation or proceeding brought by any state, federal or local regulatory or law enforcement agency or legislative body; or</w:t>
      </w:r>
    </w:p>
    <w:p>
      <w:pPr>
        <w:spacing w:after="0" w:line="173" w:lineRule="exact"/>
        <w:rPr>
          <w:rFonts w:ascii="Times New Roman" w:cs="Times New Roman" w:eastAsia="Times New Roman" w:hAnsi="Times New Roman"/>
          <w:sz w:val="22"/>
          <w:szCs w:val="22"/>
          <w:i w:val="1"/>
          <w:iCs w:val="1"/>
          <w:color w:val="010000"/>
        </w:rPr>
      </w:pPr>
    </w:p>
    <w:p>
      <w:pPr>
        <w:ind w:left="1840" w:firstLine="4"/>
        <w:spacing w:after="0" w:line="258" w:lineRule="auto"/>
        <w:tabs>
          <w:tab w:leader="none" w:pos="2788" w:val="left"/>
        </w:tabs>
        <w:numPr>
          <w:ilvl w:val="1"/>
          <w:numId w:val="89"/>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prevent me from filing any claims that are not permitted to be waived or released under applicable law.</w:t>
      </w:r>
    </w:p>
    <w:p>
      <w:pPr>
        <w:spacing w:after="0" w:line="154" w:lineRule="exact"/>
        <w:rPr>
          <w:rFonts w:ascii="Times New Roman" w:cs="Times New Roman" w:eastAsia="Times New Roman" w:hAnsi="Times New Roman"/>
          <w:sz w:val="22"/>
          <w:szCs w:val="22"/>
          <w:i w:val="1"/>
          <w:iCs w:val="1"/>
          <w:color w:val="010000"/>
        </w:rPr>
      </w:pPr>
    </w:p>
    <w:p>
      <w:pPr>
        <w:ind w:left="1300" w:hanging="860"/>
        <w:spacing w:after="0"/>
        <w:tabs>
          <w:tab w:leader="none" w:pos="13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Forbearance of Suit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further agree and covenant that I will not seek or accept any personal, equitable or monetary relief from the Corporate Group in any action, suit, proceeding or administrative charge filed on my behalf by any person, organization or other entity against the Corporate Group.</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Notwithstanding the foregoing, I understand and the Company agrees, that nothing in the Agreement or this Waiver and Release prohibits me from reporting to any governmental authority information concerning possible violations of law or regulation, making other disclosures that are protected under the whistleblower provisions of federal law or regulation or receiving an award for information provided to any government agency (collectively the “Protected Disclosures”). This Agreement and the Waiver and Release do not limit my right to receive an award for information provided to any governmental agencies.</w:t>
      </w:r>
    </w:p>
    <w:p>
      <w:pPr>
        <w:spacing w:after="0" w:line="164"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Permitted Release of Confidential Information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Pursuant to the Defend Trade Secrets Act of 2016, I understand that I will not be held criminally or civilly liable under any federal or state trade secret law for the disclosure of any secret or Confidential Information that:</w:t>
      </w:r>
    </w:p>
    <w:p>
      <w:pPr>
        <w:spacing w:after="0" w:line="158" w:lineRule="exact"/>
        <w:rPr>
          <w:sz w:val="20"/>
          <w:szCs w:val="20"/>
          <w:color w:val="auto"/>
        </w:rPr>
      </w:pPr>
    </w:p>
    <w:p>
      <w:pPr>
        <w:ind w:left="1120" w:hanging="248"/>
        <w:spacing w:after="0"/>
        <w:tabs>
          <w:tab w:leader="none" w:pos="11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w:t>
      </w:r>
    </w:p>
    <w:p>
      <w:pPr>
        <w:spacing w:after="0" w:line="206" w:lineRule="exact"/>
        <w:rPr>
          <w:rFonts w:ascii="Times New Roman" w:cs="Times New Roman" w:eastAsia="Times New Roman" w:hAnsi="Times New Roman"/>
          <w:sz w:val="22"/>
          <w:szCs w:val="22"/>
          <w:color w:val="auto"/>
        </w:rPr>
      </w:pPr>
    </w:p>
    <w:p>
      <w:pPr>
        <w:ind w:left="2100" w:hanging="365"/>
        <w:spacing w:after="0"/>
        <w:tabs>
          <w:tab w:leader="none" w:pos="210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confidence to a federal, state or local government official, either directly or indirectly, or to an attorney</w:t>
      </w:r>
    </w:p>
    <w:p>
      <w:pPr>
        <w:spacing w:after="0" w:line="25" w:lineRule="exact"/>
        <w:rPr>
          <w:rFonts w:ascii="Times New Roman" w:cs="Times New Roman" w:eastAsia="Times New Roman" w:hAnsi="Times New Roman"/>
          <w:sz w:val="21"/>
          <w:szCs w:val="21"/>
          <w:color w:val="auto"/>
        </w:rPr>
      </w:pPr>
    </w:p>
    <w:p>
      <w:pPr>
        <w:ind w:left="17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1"/>
          <w:szCs w:val="21"/>
          <w:color w:val="auto"/>
        </w:rPr>
      </w:pPr>
    </w:p>
    <w:p>
      <w:pPr>
        <w:ind w:left="2080" w:hanging="345"/>
        <w:spacing w:after="0"/>
        <w:tabs>
          <w:tab w:leader="none" w:pos="208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the purpose of reporting or investigating a suspected violation of law or</w:t>
      </w:r>
    </w:p>
    <w:p>
      <w:pPr>
        <w:spacing w:after="0" w:line="206" w:lineRule="exact"/>
        <w:rPr>
          <w:rFonts w:ascii="Times New Roman" w:cs="Times New Roman" w:eastAsia="Times New Roman" w:hAnsi="Times New Roman"/>
          <w:sz w:val="22"/>
          <w:szCs w:val="22"/>
          <w:color w:val="auto"/>
        </w:rPr>
      </w:pPr>
    </w:p>
    <w:p>
      <w:pPr>
        <w:ind w:left="5520" w:right="280" w:hanging="4648"/>
        <w:spacing w:after="0" w:line="463" w:lineRule="auto"/>
        <w:tabs>
          <w:tab w:leader="none" w:pos="119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a complaint or other document filed in a lawsuit or other proceeding, if such filing is made under seal.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ind w:left="4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Non-admission of Wrongdoing; Employment Relationship</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acknowledge that payment and, as applicable, the delivery of the Consideration to me by the Company is not an admission by the Company or any other member of the Corporate Group that they engaged in any wrongful or unlawful act or that the Company or any member of the Corporate Group violated any federal or state law or regulation.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Except as provided in the Agreement Materials, I acknowledge that neither the Company nor any other member of the Corporate Group has promised me continued employment or represented to me that I will be rehired in the future. I acknowledge that the Company and I contemplate an unequivocal, complete and final dissolution of my employment relationship following the Term (as defined in the Agreement) or if my employment is terminated sooner pursuant to Section 4 of the Agreement, upon such termination. I acknowledge that this Waiver and Release does not create any right on my part to be rehired by the Company or the Affiliates and I hereby waive any right to future employment by the Company or any other member of the Corporate Group.</w:t>
      </w:r>
    </w:p>
    <w:p>
      <w:pPr>
        <w:spacing w:after="0" w:line="167"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2"/>
          <w:szCs w:val="22"/>
          <w:b w:val="1"/>
          <w:bCs w:val="1"/>
          <w:color w:val="auto"/>
        </w:rPr>
        <w:t>Non-Disparagement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Subject to the provisions above regarding Protected Disclosures, both the Company and I agree to refrain from any criticisms or disparaging comments about each other or in any way relating to my employment or separation and the Company and I specifically acknowledge that our willingness to enter into this Waiver and Release is in anticipation of our fidelity to this commitment. The above is not intended to restrict me from seeking or engaging in other employment (subject to my noncompetition covenant contained in the Agreement) and, in that connection, from:</w:t>
      </w:r>
    </w:p>
    <w:p>
      <w:pPr>
        <w:spacing w:after="0" w:line="177" w:lineRule="exact"/>
        <w:rPr>
          <w:sz w:val="20"/>
          <w:szCs w:val="20"/>
          <w:color w:val="auto"/>
        </w:rPr>
      </w:pPr>
    </w:p>
    <w:p>
      <w:pPr>
        <w:ind w:left="880" w:hanging="8"/>
        <w:spacing w:after="0" w:line="258" w:lineRule="auto"/>
        <w:tabs>
          <w:tab w:leader="none" w:pos="114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to prospective employers the restrictive covenants in the Agreement to which I am bound (including as to non-competition, non-solicitation and non-disparagement); or</w:t>
      </w:r>
    </w:p>
    <w:p>
      <w:pPr>
        <w:spacing w:after="0" w:line="158" w:lineRule="exact"/>
        <w:rPr>
          <w:rFonts w:ascii="Times New Roman" w:cs="Times New Roman" w:eastAsia="Times New Roman" w:hAnsi="Times New Roman"/>
          <w:sz w:val="22"/>
          <w:szCs w:val="22"/>
          <w:color w:val="auto"/>
        </w:rPr>
      </w:pPr>
    </w:p>
    <w:p>
      <w:pPr>
        <w:jc w:val="both"/>
        <w:ind w:left="880" w:hanging="8"/>
        <w:spacing w:after="0" w:line="244" w:lineRule="auto"/>
        <w:tabs>
          <w:tab w:leader="none" w:pos="121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confidential disclosure to potential employers of such facts or opinions as I may elect to convey, nor is it intended to restrict the Company from conducting such confidential internal communications as may be necessary to manage this resignation in a businesslike way.</w:t>
      </w:r>
    </w:p>
    <w:p>
      <w:pPr>
        <w:spacing w:after="0" w:line="169"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color w:val="auto"/>
        </w:rPr>
        <w:t>Enforceability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w:t>
      </w:r>
    </w:p>
    <w:p>
      <w:pPr>
        <w:spacing w:after="0" w:line="169" w:lineRule="exact"/>
        <w:rPr>
          <w:sz w:val="20"/>
          <w:szCs w:val="20"/>
          <w:color w:val="auto"/>
        </w:rPr>
      </w:pPr>
    </w:p>
    <w:p>
      <w:pPr>
        <w:ind w:left="1300" w:hanging="860"/>
        <w:spacing w:after="0"/>
        <w:tabs>
          <w:tab w:leader="none" w:pos="130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Completeness and Revocation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acknowledge that this Waiver and Release and the other Agreement Materials set forth the entire understanding and agreement between me and the Company or any other member of the Corporate Group concerning the subject matter of this Waiver and Release and supersede any prior 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jc w:val="both"/>
        <w:spacing w:after="0" w:line="259" w:lineRule="auto"/>
        <w:rPr>
          <w:sz w:val="20"/>
          <w:szCs w:val="20"/>
          <w:color w:val="auto"/>
        </w:rPr>
      </w:pPr>
      <w:r>
        <w:rPr>
          <w:rFonts w:ascii="Times New Roman" w:cs="Times New Roman" w:eastAsia="Times New Roman" w:hAnsi="Times New Roman"/>
          <w:sz w:val="22"/>
          <w:szCs w:val="22"/>
          <w:color w:val="auto"/>
        </w:rPr>
        <w:t>contemporaneous oral and written agreements or representations, if any, between me and the Company or any other member of the Corporate Group.</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 understand that for a period of 7 calendar days following the date that I sign this Waiver and Release, I may revoke my acceptance of the offer, provided that my written statement of revocation is received on or before that seventh day by the Vice President, Human Resources, of Schlumberger Limited – Houston, in which case the Waiver and Release will not become effective. In the event I revoke my acceptance of this offer, the Company shall have no obligation to pay, or otherwise deliver to me, any part of the Consideration. I understand that failure to revoke my acceptance of the offer within seven (7) calendar days from the date I sign this Waiver and Release will result in this Waiver and Release being permanent and irrevocable.</w:t>
      </w:r>
    </w:p>
    <w:p>
      <w:pPr>
        <w:spacing w:after="0" w:line="177"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2"/>
          <w:szCs w:val="22"/>
          <w:b w:val="1"/>
          <w:bCs w:val="1"/>
          <w:color w:val="auto"/>
        </w:rPr>
        <w:t>Summary</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any other member of the Corporate Group which occur after the date of the execution of this Waiver and Release.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Hinda Gharbi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290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Hinda Gharbi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290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Executive’s Signature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Gavin Rennick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4201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Gavin Rennick</w:t>
      </w:r>
    </w:p>
    <w:p>
      <w:pPr>
        <w:spacing w:after="0"/>
        <w:rPr>
          <w:sz w:val="20"/>
          <w:szCs w:val="20"/>
          <w:color w:val="auto"/>
        </w:rPr>
      </w:pPr>
      <w:r>
        <w:rPr>
          <w:rFonts w:ascii="Times New Roman" w:cs="Times New Roman" w:eastAsia="Times New Roman" w:hAnsi="Times New Roman"/>
          <w:sz w:val="22"/>
          <w:szCs w:val="22"/>
          <w:color w:val="auto"/>
        </w:rPr>
        <w:t>Company Representative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4201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Signature Date:</w:t>
      </w:r>
    </w:p>
    <w:p>
      <w:pPr>
        <w:spacing w:after="0" w:line="200" w:lineRule="exact"/>
        <w:rPr>
          <w:sz w:val="20"/>
          <w:szCs w:val="20"/>
          <w:color w:val="auto"/>
        </w:rPr>
      </w:pPr>
    </w:p>
    <w:p>
      <w:pPr>
        <w:sectPr>
          <w:pgSz w:w="11900" w:h="16838" w:orient="portrait"/>
          <w:cols w:equalWidth="0" w:num="2">
            <w:col w:w="5140" w:space="720"/>
            <w:col w:w="5380"/>
          </w:cols>
          <w:pgMar w:left="320" w:top="1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12" w:right="339" w:bottom="1440" w:gutter="0" w:footer="0" w:header="0"/>
          <w:type w:val="continuous"/>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6226175</wp:posOffset>
            </wp:positionH>
            <wp:positionV relativeFrom="page">
              <wp:posOffset>88900</wp:posOffset>
            </wp:positionV>
            <wp:extent cx="1114425"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114425" cy="240030"/>
                    </a:xfrm>
                    <a:prstGeom prst="rect">
                      <a:avLst/>
                    </a:prstGeom>
                    <a:noFill/>
                  </pic:spPr>
                </pic:pic>
              </a:graphicData>
            </a:graphic>
          </wp:anchor>
        </w:drawing>
        <w:t>Exhibit 10.3</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202[ ] PERFORMANCE SHARE UNIT AWARD AGREEMENT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(BASED ON FREE CASH FLOW MARGIN PERFORMANCE)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the</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SCHLUMBERGER 2017 OMNIBUS STOCK INCENTIVE PLAN</w:t>
      </w:r>
    </w:p>
    <w:p>
      <w:pPr>
        <w:jc w:val="center"/>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u w:val="single" w:color="auto"/>
          <w:color w:val="auto"/>
        </w:rPr>
        <w:t>Includes Confidentiality, Intellectual Property, Non-Competition, and Non-Solicitation Provisions in Section 9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Attachment II</w:t>
      </w:r>
      <w:r>
        <w:rPr>
          <w:rFonts w:ascii="Times New Roman" w:cs="Times New Roman" w:eastAsia="Times New Roman" w:hAnsi="Times New Roman"/>
          <w:sz w:val="22"/>
          <w:szCs w:val="22"/>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Period: 202[ ], 202[ ] and 202[ ]</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Performance Share Unit Award Agreement (as may be amended, the “Agreement”) is granted to you (“Employee”) effective as of [ ], 202[ ] (the “Grant Date”) by Schlumberger Limited (the “Company”), pursuant to the Schlumberger 2017 Omnibus Stock Incentive Plan, as may be amended (the “Plan”).</w:t>
      </w:r>
    </w:p>
    <w:p>
      <w:pPr>
        <w:spacing w:after="0" w:line="173" w:lineRule="exact"/>
        <w:rPr>
          <w:sz w:val="20"/>
          <w:szCs w:val="20"/>
          <w:color w:val="auto"/>
        </w:rPr>
      </w:pPr>
    </w:p>
    <w:p>
      <w:pPr>
        <w:jc w:val="both"/>
        <w:ind w:firstLine="872"/>
        <w:spacing w:after="0" w:line="248" w:lineRule="auto"/>
        <w:tabs>
          <w:tab w:leader="none" w:pos="167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70" w:lineRule="exact"/>
        <w:rPr>
          <w:rFonts w:ascii="Times New Roman" w:cs="Times New Roman" w:eastAsia="Times New Roman" w:hAnsi="Times New Roman"/>
          <w:sz w:val="21"/>
          <w:szCs w:val="21"/>
          <w:color w:val="auto"/>
        </w:rPr>
      </w:pPr>
    </w:p>
    <w:p>
      <w:pPr>
        <w:ind w:firstLine="872"/>
        <w:spacing w:after="0" w:line="258" w:lineRule="auto"/>
        <w:tabs>
          <w:tab w:leader="none" w:pos="167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Performance Share Units</w:t>
      </w:r>
      <w:r>
        <w:rPr>
          <w:rFonts w:ascii="Times New Roman" w:cs="Times New Roman" w:eastAsia="Times New Roman" w:hAnsi="Times New Roman"/>
          <w:sz w:val="22"/>
          <w:szCs w:val="22"/>
          <w:color w:val="auto"/>
        </w:rPr>
        <w:t>. The period of time from and including January 1, 202[ ] to December 31, 202[ ] is the “Free Cash Flow Performance Period.” The Performance Share Units will vest as follows:</w:t>
      </w:r>
    </w:p>
    <w:p>
      <w:pPr>
        <w:spacing w:after="0" w:line="158" w:lineRule="exact"/>
        <w:rPr>
          <w:sz w:val="20"/>
          <w:szCs w:val="20"/>
          <w:color w:val="auto"/>
        </w:rPr>
      </w:pPr>
    </w:p>
    <w:p>
      <w:pPr>
        <w:jc w:val="both"/>
        <w:ind w:firstLine="872"/>
        <w:spacing w:after="0" w:line="246" w:lineRule="auto"/>
        <w:tabs>
          <w:tab w:leader="none" w:pos="175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Friday following the first meeting of the Compensation Committee of the Board of Directors of the Company (the “Committee”) in 202[ ], or as soon thereafter as reasonably practicable (such date, the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Vesting Date and has not experienced a Termination of Employment (as defined in Section 12(w) below) as of such date. Except as provided in Sections 2(b) and 2(c) below, if there is any Termination of Employment during the period from and between the Grant Date until and including the Vesting Date, Employee will immediately and automatically forfeit all Performance Share Units. The Committee may delegate, to an officer of the Company or to a subcommittee of the Committee, its authority to determine whether Employee has incurred a Termination of Employment, the cause of such termination or any related issue, and any such determination by the Committee or its delegate will be final and binding on all parties.</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0" w:name="page61"/>
    <w:bookmarkEnd w:id="60"/>
    <w:p>
      <w:pPr>
        <w:jc w:val="both"/>
        <w:ind w:left="880" w:firstLine="789"/>
        <w:spacing w:after="0" w:line="239" w:lineRule="auto"/>
        <w:tabs>
          <w:tab w:leader="none" w:pos="257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Employee’s Termination of Employment occurs due to Retirement (as defined in Section 12(p) below), then the Performance Share Units will vest in accordance with Section 2(a) above as if Employee had remained continuously employed by the Company or any of its Subsidiaries from the Grant Date through the Vesting Date.</w:t>
      </w:r>
    </w:p>
    <w:p>
      <w:pPr>
        <w:spacing w:after="0" w:line="180" w:lineRule="exact"/>
        <w:rPr>
          <w:sz w:val="20"/>
          <w:szCs w:val="20"/>
          <w:color w:val="auto"/>
        </w:rPr>
      </w:pPr>
    </w:p>
    <w:p>
      <w:pPr>
        <w:jc w:val="both"/>
        <w:ind w:left="880" w:firstLine="789"/>
        <w:spacing w:after="0" w:line="235" w:lineRule="auto"/>
        <w:tabs>
          <w:tab w:leader="none" w:pos="2589"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Employee’s Termination of Employment occurs due to Early Retirement (as defined in Section 12(i) below) or Special Retirement (as defined in Section 12(s) below, then, subject to the approval of (x) the Committee, if Employee is an executive officer of the Company at the time of Employee’s election to retire, or (y) the Retirement Committee (as defined in Section 12(q)), if Employee is not an executive officer of the Company at the time of Employee’s election to retire, the Performance Share Units will vest in accordance with Section 2(a) above as if Employee had remained continuously employed by the Company or any of its Subsidiaries from the Grant Date through the Vesting Date. Any approval under clauses (x) or (y) may be granted or withheld in the sole discretion of the Committee or the Retirement Committee, as applicable.</w:t>
      </w:r>
    </w:p>
    <w:p>
      <w:pPr>
        <w:spacing w:after="0" w:line="178" w:lineRule="exact"/>
        <w:rPr>
          <w:rFonts w:ascii="Times New Roman" w:cs="Times New Roman" w:eastAsia="Times New Roman" w:hAnsi="Times New Roman"/>
          <w:sz w:val="22"/>
          <w:szCs w:val="22"/>
          <w:color w:val="auto"/>
        </w:rPr>
      </w:pPr>
    </w:p>
    <w:p>
      <w:pPr>
        <w:jc w:val="both"/>
        <w:ind w:firstLine="872"/>
        <w:spacing w:after="0" w:line="244" w:lineRule="auto"/>
        <w:tabs>
          <w:tab w:leader="none" w:pos="175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Vesting Date.</w:t>
      </w:r>
    </w:p>
    <w:p>
      <w:pPr>
        <w:spacing w:after="0" w:line="173" w:lineRule="exact"/>
        <w:rPr>
          <w:sz w:val="20"/>
          <w:szCs w:val="20"/>
          <w:color w:val="auto"/>
        </w:rPr>
      </w:pPr>
    </w:p>
    <w:p>
      <w:pPr>
        <w:jc w:val="both"/>
        <w:ind w:firstLine="872"/>
        <w:spacing w:after="0" w:line="238" w:lineRule="auto"/>
        <w:tabs>
          <w:tab w:leader="none" w:pos="167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Performance Share Units</w:t>
      </w:r>
      <w:r>
        <w:rPr>
          <w:rFonts w:ascii="Times New Roman" w:cs="Times New Roman" w:eastAsia="Times New Roman" w:hAnsi="Times New Roman"/>
          <w:sz w:val="22"/>
          <w:szCs w:val="22"/>
          <w:color w:val="auto"/>
        </w:rPr>
        <w:t>. Payment of vested Performance Share Units will be made in shares of Common Stock as soon as administratively practicable, but in no event later than 2-1/2 months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76"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Performance Share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2"/>
        <w:spacing w:after="0" w:line="238" w:lineRule="auto"/>
        <w:tabs>
          <w:tab w:leader="none" w:pos="175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the Free Cash Flow Performance Period and up to and including the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6" w:lineRule="exact"/>
        <w:rPr>
          <w:rFonts w:ascii="Times New Roman" w:cs="Times New Roman" w:eastAsia="Times New Roman" w:hAnsi="Times New Roman"/>
          <w:sz w:val="22"/>
          <w:szCs w:val="22"/>
          <w:color w:val="auto"/>
        </w:rPr>
      </w:pPr>
    </w:p>
    <w:p>
      <w:pPr>
        <w:jc w:val="both"/>
        <w:ind w:right="20" w:firstLine="872"/>
        <w:spacing w:after="0" w:line="238" w:lineRule="auto"/>
        <w:tabs>
          <w:tab w:leader="none" w:pos="176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in this Agreement to the contrary, if at any time during the Free Cash Flow Performance Period and up to and including the Vesting Date, Employee engages in Detrimental Activity (as defined in Section 12(f)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ind w:left="1680" w:hanging="808"/>
        <w:spacing w:after="0"/>
        <w:tabs>
          <w:tab w:leader="none" w:pos="16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Performance Share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2"/>
        <w:spacing w:after="0" w:line="236" w:lineRule="auto"/>
        <w:tabs>
          <w:tab w:leader="none" w:pos="175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1" w:lineRule="exact"/>
        <w:rPr>
          <w:rFonts w:ascii="Times New Roman" w:cs="Times New Roman" w:eastAsia="Times New Roman" w:hAnsi="Times New Roman"/>
          <w:sz w:val="22"/>
          <w:szCs w:val="22"/>
          <w:color w:val="auto"/>
        </w:rPr>
      </w:pPr>
    </w:p>
    <w:p>
      <w:pPr>
        <w:jc w:val="both"/>
        <w:ind w:firstLine="872"/>
        <w:spacing w:after="0" w:line="236" w:lineRule="auto"/>
        <w:tabs>
          <w:tab w:leader="none" w:pos="176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81" w:lineRule="exact"/>
        <w:rPr>
          <w:sz w:val="20"/>
          <w:szCs w:val="20"/>
          <w:color w:val="auto"/>
        </w:rPr>
      </w:pPr>
    </w:p>
    <w:p>
      <w:pPr>
        <w:jc w:val="both"/>
        <w:ind w:firstLine="872"/>
        <w:spacing w:after="0" w:line="244" w:lineRule="auto"/>
        <w:tabs>
          <w:tab w:leader="none" w:pos="167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73"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and Social Insurance Withholding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2"/>
        <w:spacing w:after="0" w:line="234" w:lineRule="auto"/>
        <w:tabs>
          <w:tab w:leader="none" w:pos="175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179" w:lineRule="exact"/>
        <w:rPr>
          <w:rFonts w:ascii="Times New Roman" w:cs="Times New Roman" w:eastAsia="Times New Roman" w:hAnsi="Times New Roman"/>
          <w:sz w:val="22"/>
          <w:szCs w:val="22"/>
          <w:color w:val="auto"/>
        </w:rPr>
      </w:pPr>
    </w:p>
    <w:p>
      <w:pPr>
        <w:jc w:val="both"/>
        <w:ind w:firstLine="872"/>
        <w:spacing w:after="0" w:line="235" w:lineRule="auto"/>
        <w:tabs>
          <w:tab w:leader="none" w:pos="184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 (iii) 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2" w:name="page63"/>
    <w:bookmarkEnd w:id="62"/>
    <w:p>
      <w:pPr>
        <w:jc w:val="both"/>
        <w:ind w:firstLine="872"/>
        <w:spacing w:after="0" w:line="245" w:lineRule="auto"/>
        <w:tabs>
          <w:tab w:leader="none" w:pos="1807"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77" w:lineRule="exact"/>
        <w:rPr>
          <w:sz w:val="20"/>
          <w:szCs w:val="20"/>
          <w:color w:val="auto"/>
        </w:rPr>
      </w:pPr>
    </w:p>
    <w:p>
      <w:pPr>
        <w:jc w:val="both"/>
        <w:ind w:firstLine="872"/>
        <w:spacing w:after="0" w:line="239" w:lineRule="auto"/>
        <w:tabs>
          <w:tab w:leader="none" w:pos="167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Capital Structure</w:t>
      </w:r>
      <w:r>
        <w:rPr>
          <w:rFonts w:ascii="Times New Roman" w:cs="Times New Roman" w:eastAsia="Times New Roman" w:hAnsi="Times New Roman"/>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76"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Intellectual  Property  and  Noncompetition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Employee  acknowledges  that</w:t>
      </w:r>
    </w:p>
    <w:p>
      <w:pPr>
        <w:spacing w:after="0" w:line="18" w:lineRule="exact"/>
        <w:rPr>
          <w:rFonts w:ascii="Times New Roman" w:cs="Times New Roman" w:eastAsia="Times New Roman" w:hAnsi="Times New Roman"/>
          <w:sz w:val="22"/>
          <w:szCs w:val="22"/>
          <w:color w:val="auto"/>
        </w:rPr>
      </w:pPr>
    </w:p>
    <w:p>
      <w:pPr>
        <w:jc w:val="both"/>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Employee is 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181" w:lineRule="exact"/>
        <w:rPr>
          <w:rFonts w:ascii="Times New Roman" w:cs="Times New Roman" w:eastAsia="Times New Roman" w:hAnsi="Times New Roman"/>
          <w:sz w:val="22"/>
          <w:szCs w:val="22"/>
          <w:color w:val="auto"/>
        </w:rPr>
      </w:pPr>
    </w:p>
    <w:p>
      <w:pPr>
        <w:jc w:val="both"/>
        <w:ind w:firstLine="872"/>
        <w:spacing w:after="0" w:line="236" w:lineRule="auto"/>
        <w:tabs>
          <w:tab w:leader="none" w:pos="178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Securities Laws</w:t>
      </w:r>
      <w:r>
        <w:rPr>
          <w:rFonts w:ascii="Times New Roman" w:cs="Times New Roman" w:eastAsia="Times New Roman" w:hAnsi="Times New Roman"/>
          <w:sz w:val="22"/>
          <w:szCs w:val="22"/>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81"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Rights</w:t>
      </w:r>
      <w:r>
        <w:rPr>
          <w:rFonts w:ascii="Times New Roman" w:cs="Times New Roman" w:eastAsia="Times New Roman" w:hAnsi="Times New Roman"/>
          <w:sz w:val="22"/>
          <w:szCs w:val="22"/>
          <w:color w:val="auto"/>
        </w:rPr>
        <w:t>. Nothing in this Agreement or the Plan may be construed to:</w:t>
      </w:r>
    </w:p>
    <w:p>
      <w:pPr>
        <w:spacing w:after="0" w:line="206" w:lineRule="exact"/>
        <w:rPr>
          <w:sz w:val="20"/>
          <w:szCs w:val="20"/>
          <w:color w:val="auto"/>
        </w:rPr>
      </w:pPr>
    </w:p>
    <w:p>
      <w:pPr>
        <w:ind w:right="20" w:firstLine="872"/>
        <w:spacing w:after="0" w:line="258" w:lineRule="auto"/>
        <w:tabs>
          <w:tab w:leader="none" w:pos="175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3" w:name="page64"/>
    <w:bookmarkEnd w:id="63"/>
    <w:p>
      <w:pPr>
        <w:ind w:left="-872" w:right="20" w:firstLine="872"/>
        <w:spacing w:after="0" w:line="258" w:lineRule="auto"/>
        <w:tabs>
          <w:tab w:leader="none" w:pos="89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Employee or any other person or entity any interest in any fund or in any specified asset or assets of the Company (other than the Performance Share Units); or</w:t>
      </w:r>
    </w:p>
    <w:p>
      <w:pPr>
        <w:spacing w:after="0" w:line="158" w:lineRule="exact"/>
        <w:rPr>
          <w:rFonts w:ascii="Times New Roman" w:cs="Times New Roman" w:eastAsia="Times New Roman" w:hAnsi="Times New Roman"/>
          <w:sz w:val="22"/>
          <w:szCs w:val="22"/>
          <w:color w:val="auto"/>
        </w:rPr>
      </w:pPr>
    </w:p>
    <w:p>
      <w:pPr>
        <w:ind w:left="-872" w:firstLine="872"/>
        <w:spacing w:after="0" w:line="258" w:lineRule="auto"/>
        <w:tabs>
          <w:tab w:leader="none" w:pos="8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confer upon Employee or any other person or entity the right to continue in the employment or service of the Company or any Subsidiary.</w:t>
      </w:r>
    </w:p>
    <w:p>
      <w:pPr>
        <w:spacing w:after="0" w:line="158" w:lineRule="exact"/>
        <w:rPr>
          <w:sz w:val="20"/>
          <w:szCs w:val="20"/>
          <w:color w:val="auto"/>
        </w:rPr>
      </w:pPr>
    </w:p>
    <w:p>
      <w:pPr>
        <w:ind w:left="908" w:hanging="908"/>
        <w:spacing w:after="0"/>
        <w:tabs>
          <w:tab w:leader="none" w:pos="90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8" w:hanging="888"/>
        <w:spacing w:after="0"/>
        <w:tabs>
          <w:tab w:leader="none" w:pos="88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is defined in the introduction.</w:t>
      </w:r>
    </w:p>
    <w:p>
      <w:pPr>
        <w:spacing w:after="0" w:line="206"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 Policy” is defined in Section 14.</w:t>
      </w:r>
    </w:p>
    <w:p>
      <w:pPr>
        <w:spacing w:after="0" w:line="206" w:lineRule="exact"/>
        <w:rPr>
          <w:rFonts w:ascii="Times New Roman" w:cs="Times New Roman" w:eastAsia="Times New Roman" w:hAnsi="Times New Roman"/>
          <w:sz w:val="22"/>
          <w:szCs w:val="22"/>
          <w:color w:val="auto"/>
        </w:rPr>
      </w:pPr>
    </w:p>
    <w:p>
      <w:pPr>
        <w:ind w:left="888" w:hanging="888"/>
        <w:spacing w:after="0"/>
        <w:tabs>
          <w:tab w:leader="none" w:pos="88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is defined in Section 2(a).</w:t>
      </w:r>
    </w:p>
    <w:p>
      <w:pPr>
        <w:spacing w:after="0" w:line="206"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is defined in Section 1.</w:t>
      </w:r>
    </w:p>
    <w:p>
      <w:pPr>
        <w:spacing w:after="0" w:line="206" w:lineRule="exact"/>
        <w:rPr>
          <w:rFonts w:ascii="Times New Roman" w:cs="Times New Roman" w:eastAsia="Times New Roman" w:hAnsi="Times New Roman"/>
          <w:sz w:val="22"/>
          <w:szCs w:val="22"/>
          <w:color w:val="auto"/>
        </w:rPr>
      </w:pPr>
    </w:p>
    <w:p>
      <w:pPr>
        <w:ind w:left="888" w:hanging="888"/>
        <w:spacing w:after="0"/>
        <w:tabs>
          <w:tab w:leader="none" w:pos="88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is defined in the introduction.</w:t>
      </w:r>
    </w:p>
    <w:p>
      <w:pPr>
        <w:spacing w:after="0" w:line="206" w:lineRule="exact"/>
        <w:rPr>
          <w:rFonts w:ascii="Times New Roman" w:cs="Times New Roman" w:eastAsia="Times New Roman" w:hAnsi="Times New Roman"/>
          <w:sz w:val="22"/>
          <w:szCs w:val="22"/>
          <w:color w:val="auto"/>
        </w:rPr>
      </w:pPr>
    </w:p>
    <w:p>
      <w:pPr>
        <w:jc w:val="both"/>
        <w:ind w:left="-872" w:firstLine="872"/>
        <w:spacing w:after="0" w:line="233" w:lineRule="auto"/>
        <w:tabs>
          <w:tab w:leader="none" w:pos="856"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any Direct Competitor (as defined in Section 12(g) below); (iii) engages or employs, or solicits or contacts with a view to the engagement or employment of, any employee of the Company or its Subsidiaries; (iv) canvasses, solicits, approaches or entices away or causes to be canvassed, solicited, approached or enticed away from the Company or its Subsidiaries any customer of any of such entities during the Performance Period and up to and including the Vesting Date; (v) is determined to have engaged (whether or not prior to Termination of Employment) in either gross misconduct or criminal activity that is, or that could reasonably be expected to be, harmful to the Company or a Subsidiary; or (vi) takes any action that otherwise harms, or that could reasonably be expected to harm, the business interests, reputation, or goodwill of the Company or its Subsidiaries. The Committee may delegate, to an 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179" w:lineRule="exact"/>
        <w:rPr>
          <w:rFonts w:ascii="Times New Roman" w:cs="Times New Roman" w:eastAsia="Times New Roman" w:hAnsi="Times New Roman"/>
          <w:sz w:val="22"/>
          <w:szCs w:val="22"/>
          <w:color w:val="auto"/>
        </w:rPr>
      </w:pPr>
    </w:p>
    <w:p>
      <w:pPr>
        <w:jc w:val="both"/>
        <w:ind w:left="-872" w:firstLine="872"/>
        <w:spacing w:after="0" w:line="255" w:lineRule="auto"/>
        <w:tabs>
          <w:tab w:leader="none" w:pos="966"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Competitor” means any of the following: (i) Halliburton Company, Weatherford International plc, Baker Hughes Company, TechnipFMC plc, NOV Inc., and any other oilfield equipment and services entity; and (ii) any entity engaged in seismic processing and reservoir geosciences services to the oil and natural gas industry, including in all cases in clause (i) and this clause (ii), any and all of their parents, subsidiaries, affiliates, joint ventures, divisions, successors, or assigns.</w:t>
      </w:r>
    </w:p>
    <w:p>
      <w:pPr>
        <w:spacing w:after="0" w:line="161" w:lineRule="exact"/>
        <w:rPr>
          <w:rFonts w:ascii="Times New Roman" w:cs="Times New Roman" w:eastAsia="Times New Roman" w:hAnsi="Times New Roman"/>
          <w:sz w:val="21"/>
          <w:szCs w:val="21"/>
          <w:color w:val="auto"/>
        </w:rPr>
      </w:pPr>
    </w:p>
    <w:p>
      <w:pPr>
        <w:jc w:val="both"/>
        <w:ind w:left="-872" w:firstLine="872"/>
        <w:spacing w:after="0" w:line="244" w:lineRule="auto"/>
        <w:tabs>
          <w:tab w:leader="none" w:pos="892"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76" w:lineRule="exact"/>
        <w:rPr>
          <w:sz w:val="20"/>
          <w:szCs w:val="20"/>
          <w:color w:val="auto"/>
        </w:rPr>
      </w:pPr>
    </w:p>
    <w:p>
      <w:pPr>
        <w:ind w:left="9648"/>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200660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28" w:right="339" w:bottom="1440" w:gutter="0" w:footer="0" w:header="0"/>
        </w:sectPr>
      </w:pPr>
    </w:p>
    <w:bookmarkStart w:id="64" w:name="page65"/>
    <w:bookmarkEnd w:id="64"/>
    <w:p>
      <w:pPr>
        <w:ind w:left="-872" w:firstLine="872"/>
        <w:spacing w:after="0" w:line="258" w:lineRule="auto"/>
        <w:tabs>
          <w:tab w:leader="none" w:pos="84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“Early Retirement” means Employee’s voluntary election to retire from employment with the Company and its Subsidiaries at any time after Employee has reached both the age of 55 and 20 years of service.</w:t>
      </w:r>
    </w:p>
    <w:p>
      <w:pPr>
        <w:spacing w:after="0" w:line="158" w:lineRule="exact"/>
        <w:rPr>
          <w:rFonts w:ascii="Times New Roman" w:cs="Times New Roman" w:eastAsia="Times New Roman" w:hAnsi="Times New Roman"/>
          <w:sz w:val="22"/>
          <w:szCs w:val="22"/>
          <w:color w:val="auto"/>
        </w:rPr>
      </w:pPr>
    </w:p>
    <w:p>
      <w:pPr>
        <w:ind w:left="848" w:hanging="848"/>
        <w:spacing w:after="0"/>
        <w:tabs>
          <w:tab w:leader="none" w:pos="84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is defined in the introduction.</w:t>
      </w:r>
    </w:p>
    <w:p>
      <w:pPr>
        <w:spacing w:after="0" w:line="206" w:lineRule="exact"/>
        <w:rPr>
          <w:rFonts w:ascii="Times New Roman" w:cs="Times New Roman" w:eastAsia="Times New Roman" w:hAnsi="Times New Roman"/>
          <w:sz w:val="22"/>
          <w:szCs w:val="22"/>
          <w:color w:val="auto"/>
        </w:rPr>
      </w:pPr>
    </w:p>
    <w:p>
      <w:pPr>
        <w:jc w:val="both"/>
        <w:ind w:left="-872" w:firstLine="872"/>
        <w:spacing w:after="0" w:line="238" w:lineRule="auto"/>
        <w:tabs>
          <w:tab w:leader="none" w:pos="89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6" w:lineRule="exact"/>
        <w:rPr>
          <w:rFonts w:ascii="Times New Roman" w:cs="Times New Roman" w:eastAsia="Times New Roman" w:hAnsi="Times New Roman"/>
          <w:sz w:val="22"/>
          <w:szCs w:val="22"/>
          <w:color w:val="auto"/>
        </w:rPr>
      </w:pPr>
    </w:p>
    <w:p>
      <w:pPr>
        <w:ind w:left="848" w:hanging="848"/>
        <w:spacing w:after="0"/>
        <w:tabs>
          <w:tab w:leader="none" w:pos="84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Date” is defined in the introduction.</w:t>
      </w:r>
    </w:p>
    <w:p>
      <w:pPr>
        <w:spacing w:after="0" w:line="206" w:lineRule="exact"/>
        <w:rPr>
          <w:rFonts w:ascii="Times New Roman" w:cs="Times New Roman" w:eastAsia="Times New Roman" w:hAnsi="Times New Roman"/>
          <w:sz w:val="22"/>
          <w:szCs w:val="22"/>
          <w:color w:val="auto"/>
        </w:rPr>
      </w:pPr>
    </w:p>
    <w:p>
      <w:pPr>
        <w:ind w:left="968" w:hanging="968"/>
        <w:spacing w:after="0"/>
        <w:tabs>
          <w:tab w:leader="none" w:pos="96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“Free Cash Flow Performance Period” is defined in Section 2.</w:t>
      </w:r>
    </w:p>
    <w:p>
      <w:pPr>
        <w:spacing w:after="0" w:line="206"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 Units” is defined in Section 1.</w:t>
      </w:r>
    </w:p>
    <w:p>
      <w:pPr>
        <w:spacing w:after="0" w:line="206"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is defined in the introduction.</w:t>
      </w:r>
    </w:p>
    <w:p>
      <w:pPr>
        <w:spacing w:after="0" w:line="206" w:lineRule="exact"/>
        <w:rPr>
          <w:rFonts w:ascii="Times New Roman" w:cs="Times New Roman" w:eastAsia="Times New Roman" w:hAnsi="Times New Roman"/>
          <w:sz w:val="22"/>
          <w:szCs w:val="22"/>
          <w:color w:val="auto"/>
        </w:rPr>
      </w:pPr>
    </w:p>
    <w:p>
      <w:pPr>
        <w:ind w:left="-872" w:firstLine="872"/>
        <w:spacing w:after="0" w:line="258" w:lineRule="auto"/>
        <w:tabs>
          <w:tab w:leader="none" w:pos="89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means Employee’s voluntary election to retire from employment with the Company and its Subsidiaries at any time after Employee has reached both the age of 60 and 25 years of service.</w:t>
      </w:r>
    </w:p>
    <w:p>
      <w:pPr>
        <w:spacing w:after="0" w:line="158" w:lineRule="exact"/>
        <w:rPr>
          <w:rFonts w:ascii="Times New Roman" w:cs="Times New Roman" w:eastAsia="Times New Roman" w:hAnsi="Times New Roman"/>
          <w:sz w:val="22"/>
          <w:szCs w:val="22"/>
          <w:color w:val="auto"/>
        </w:rPr>
      </w:pPr>
    </w:p>
    <w:p>
      <w:pPr>
        <w:ind w:left="-872" w:firstLine="872"/>
        <w:spacing w:after="0" w:line="258" w:lineRule="auto"/>
        <w:tabs>
          <w:tab w:leader="none" w:pos="89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Committee” means a committee consisting of the Company’s Vice President of Human Resources, the HR Director Total Talent Management and the HR Director Total Rewards.</w:t>
      </w:r>
    </w:p>
    <w:p>
      <w:pPr>
        <w:spacing w:after="0" w:line="158" w:lineRule="exact"/>
        <w:rPr>
          <w:rFonts w:ascii="Times New Roman" w:cs="Times New Roman" w:eastAsia="Times New Roman" w:hAnsi="Times New Roman"/>
          <w:sz w:val="22"/>
          <w:szCs w:val="22"/>
          <w:color w:val="auto"/>
        </w:rPr>
      </w:pPr>
    </w:p>
    <w:p>
      <w:pPr>
        <w:ind w:left="868" w:hanging="868"/>
        <w:spacing w:after="0"/>
        <w:tabs>
          <w:tab w:leader="none" w:pos="86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Date” is defined in Section 3.</w:t>
      </w:r>
    </w:p>
    <w:p>
      <w:pPr>
        <w:spacing w:after="0" w:line="206" w:lineRule="exact"/>
        <w:rPr>
          <w:rFonts w:ascii="Times New Roman" w:cs="Times New Roman" w:eastAsia="Times New Roman" w:hAnsi="Times New Roman"/>
          <w:sz w:val="22"/>
          <w:szCs w:val="22"/>
          <w:color w:val="auto"/>
        </w:rPr>
      </w:pPr>
    </w:p>
    <w:p>
      <w:pPr>
        <w:ind w:left="-872" w:right="20" w:firstLine="872"/>
        <w:spacing w:after="0" w:line="258" w:lineRule="auto"/>
        <w:tabs>
          <w:tab w:leader="none" w:pos="86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Retirement” means Employee’s voluntary election to retire from employment with the Company and its Subsidiaries at any time after Employee has reached both the age of 50 and 10 years of service.</w:t>
      </w:r>
    </w:p>
    <w:p>
      <w:pPr>
        <w:spacing w:after="0" w:line="158" w:lineRule="exact"/>
        <w:rPr>
          <w:rFonts w:ascii="Times New Roman" w:cs="Times New Roman" w:eastAsia="Times New Roman" w:hAnsi="Times New Roman"/>
          <w:sz w:val="22"/>
          <w:szCs w:val="22"/>
          <w:color w:val="auto"/>
        </w:rPr>
      </w:pPr>
    </w:p>
    <w:p>
      <w:pPr>
        <w:jc w:val="both"/>
        <w:ind w:left="-872" w:firstLine="872"/>
        <w:spacing w:after="0" w:line="239" w:lineRule="auto"/>
        <w:tabs>
          <w:tab w:leader="none" w:pos="84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80"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Date” is defined in Section 7(b).</w:t>
      </w:r>
    </w:p>
    <w:p>
      <w:pPr>
        <w:spacing w:after="0" w:line="206"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“Tax-Related Items” is defined in Section 7(a).</w:t>
      </w:r>
    </w:p>
    <w:p>
      <w:pPr>
        <w:spacing w:after="0" w:line="206" w:lineRule="exact"/>
        <w:rPr>
          <w:rFonts w:ascii="Times New Roman" w:cs="Times New Roman" w:eastAsia="Times New Roman" w:hAnsi="Times New Roman"/>
          <w:sz w:val="22"/>
          <w:szCs w:val="22"/>
          <w:color w:val="auto"/>
        </w:rPr>
      </w:pPr>
    </w:p>
    <w:p>
      <w:pPr>
        <w:jc w:val="both"/>
        <w:ind w:left="-872" w:firstLine="872"/>
        <w:spacing w:after="0" w:line="239" w:lineRule="auto"/>
        <w:tabs>
          <w:tab w:leader="none" w:pos="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Employment” means the voluntary or involuntary termination of Employee’s employment with the Company and its Subsidiaries for any reason; provided, however, that temporary absences from employment because of illness, vacation or leave of absence and transfers among the Company and its Subsidiaries will not constitute a Termination of Employment.</w:t>
      </w:r>
    </w:p>
    <w:p>
      <w:pPr>
        <w:spacing w:after="0" w:line="183" w:lineRule="exact"/>
        <w:rPr>
          <w:sz w:val="20"/>
          <w:szCs w:val="20"/>
          <w:color w:val="auto"/>
        </w:rPr>
      </w:pPr>
    </w:p>
    <w:p>
      <w:pPr>
        <w:ind w:left="9648"/>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200660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28" w:right="339" w:bottom="1440" w:gutter="0" w:footer="0" w:header="0"/>
        </w:sectPr>
      </w:pPr>
    </w:p>
    <w:bookmarkStart w:id="65" w:name="page66"/>
    <w:bookmarkEnd w:id="65"/>
    <w:p>
      <w:pPr>
        <w:ind w:left="1780" w:hanging="908"/>
        <w:spacing w:after="0"/>
        <w:tabs>
          <w:tab w:leader="none" w:pos="17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is defined in Section 5(a).</w:t>
      </w:r>
    </w:p>
    <w:p>
      <w:pPr>
        <w:spacing w:after="0" w:line="206" w:lineRule="exact"/>
        <w:rPr>
          <w:rFonts w:ascii="Times New Roman" w:cs="Times New Roman" w:eastAsia="Times New Roman" w:hAnsi="Times New Roman"/>
          <w:sz w:val="22"/>
          <w:szCs w:val="22"/>
          <w:color w:val="auto"/>
        </w:rPr>
      </w:pPr>
    </w:p>
    <w:p>
      <w:pPr>
        <w:ind w:left="1820" w:hanging="948"/>
        <w:spacing w:after="0"/>
        <w:tabs>
          <w:tab w:leader="none" w:pos="18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Date” is defined in Section 2(a).</w:t>
      </w:r>
    </w:p>
    <w:p>
      <w:pPr>
        <w:spacing w:after="0" w:line="206" w:lineRule="exact"/>
        <w:rPr>
          <w:sz w:val="20"/>
          <w:szCs w:val="20"/>
          <w:color w:val="auto"/>
        </w:rPr>
      </w:pPr>
    </w:p>
    <w:p>
      <w:pPr>
        <w:ind w:left="1780" w:hanging="908"/>
        <w:spacing w:after="0"/>
        <w:tabs>
          <w:tab w:leader="none" w:pos="17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872"/>
        <w:spacing w:after="0" w:line="282" w:lineRule="auto"/>
        <w:tabs>
          <w:tab w:leader="none" w:pos="1751"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34" w:lineRule="exact"/>
        <w:rPr>
          <w:rFonts w:ascii="Times New Roman" w:cs="Times New Roman" w:eastAsia="Times New Roman" w:hAnsi="Times New Roman"/>
          <w:sz w:val="21"/>
          <w:szCs w:val="21"/>
          <w:color w:val="auto"/>
        </w:rPr>
      </w:pPr>
    </w:p>
    <w:p>
      <w:pPr>
        <w:jc w:val="both"/>
        <w:ind w:firstLine="872"/>
        <w:spacing w:after="0" w:line="244" w:lineRule="auto"/>
        <w:tabs>
          <w:tab w:leader="none" w:pos="176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73" w:lineRule="exact"/>
        <w:rPr>
          <w:rFonts w:ascii="Times New Roman" w:cs="Times New Roman" w:eastAsia="Times New Roman" w:hAnsi="Times New Roman"/>
          <w:sz w:val="22"/>
          <w:szCs w:val="22"/>
          <w:color w:val="auto"/>
        </w:rPr>
      </w:pPr>
    </w:p>
    <w:p>
      <w:pPr>
        <w:ind w:firstLine="872"/>
        <w:spacing w:after="0" w:line="258" w:lineRule="auto"/>
        <w:tabs>
          <w:tab w:leader="none" w:pos="175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invalidity or unenforceability of any provision of this Agreement will not affect the validity or enforceability of any other provision of this Agreement.</w:t>
      </w:r>
    </w:p>
    <w:p>
      <w:pPr>
        <w:spacing w:after="0" w:line="158" w:lineRule="exact"/>
        <w:rPr>
          <w:rFonts w:ascii="Times New Roman" w:cs="Times New Roman" w:eastAsia="Times New Roman" w:hAnsi="Times New Roman"/>
          <w:sz w:val="22"/>
          <w:szCs w:val="22"/>
          <w:color w:val="auto"/>
        </w:rPr>
      </w:pPr>
    </w:p>
    <w:p>
      <w:pPr>
        <w:jc w:val="both"/>
        <w:ind w:firstLine="872"/>
        <w:spacing w:after="0" w:line="244" w:lineRule="auto"/>
        <w:tabs>
          <w:tab w:leader="none" w:pos="176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73" w:lineRule="exact"/>
        <w:rPr>
          <w:rFonts w:ascii="Times New Roman" w:cs="Times New Roman" w:eastAsia="Times New Roman" w:hAnsi="Times New Roman"/>
          <w:sz w:val="22"/>
          <w:szCs w:val="22"/>
          <w:color w:val="auto"/>
        </w:rPr>
      </w:pPr>
    </w:p>
    <w:p>
      <w:pPr>
        <w:jc w:val="both"/>
        <w:ind w:firstLine="872"/>
        <w:spacing w:after="0" w:line="244" w:lineRule="auto"/>
        <w:tabs>
          <w:tab w:leader="none" w:pos="175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73" w:lineRule="exact"/>
        <w:rPr>
          <w:rFonts w:ascii="Times New Roman" w:cs="Times New Roman" w:eastAsia="Times New Roman" w:hAnsi="Times New Roman"/>
          <w:sz w:val="22"/>
          <w:szCs w:val="22"/>
          <w:color w:val="auto"/>
        </w:rPr>
      </w:pPr>
    </w:p>
    <w:p>
      <w:pPr>
        <w:ind w:right="20" w:firstLine="872"/>
        <w:spacing w:after="0" w:line="258" w:lineRule="auto"/>
        <w:tabs>
          <w:tab w:leader="none" w:pos="172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and the Company agree to execute such further instruments and to take such further action as may reasonably be necessary to carry out the intent of this Agreement.</w:t>
      </w:r>
    </w:p>
    <w:p>
      <w:pPr>
        <w:spacing w:after="0" w:line="158" w:lineRule="exact"/>
        <w:rPr>
          <w:rFonts w:ascii="Times New Roman" w:cs="Times New Roman" w:eastAsia="Times New Roman" w:hAnsi="Times New Roman"/>
          <w:sz w:val="22"/>
          <w:szCs w:val="22"/>
          <w:color w:val="auto"/>
        </w:rPr>
      </w:pPr>
    </w:p>
    <w:p>
      <w:pPr>
        <w:jc w:val="both"/>
        <w:ind w:firstLine="872"/>
        <w:spacing w:after="0" w:line="235" w:lineRule="auto"/>
        <w:tabs>
          <w:tab w:leader="none" w:pos="176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 (A) 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78" w:lineRule="exact"/>
        <w:rPr>
          <w:rFonts w:ascii="Times New Roman" w:cs="Times New Roman" w:eastAsia="Times New Roman" w:hAnsi="Times New Roman"/>
          <w:sz w:val="22"/>
          <w:szCs w:val="22"/>
          <w:color w:val="auto"/>
        </w:rPr>
      </w:pPr>
    </w:p>
    <w:p>
      <w:pPr>
        <w:jc w:val="both"/>
        <w:ind w:firstLine="872"/>
        <w:spacing w:after="0" w:line="236" w:lineRule="auto"/>
        <w:tabs>
          <w:tab w:leader="none" w:pos="176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jc w:val="both"/>
        <w:spacing w:after="0" w:line="244" w:lineRule="auto"/>
        <w:rPr>
          <w:sz w:val="20"/>
          <w:szCs w:val="20"/>
          <w:color w:val="auto"/>
        </w:rPr>
      </w:pPr>
      <w:r>
        <w:rPr>
          <w:rFonts w:ascii="Times New Roman" w:cs="Times New Roman" w:eastAsia="Times New Roman" w:hAnsi="Times New Roman"/>
          <w:sz w:val="21"/>
          <w:szCs w:val="21"/>
          <w:color w:val="auto"/>
        </w:rPr>
        <w:t>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THE COMPANY HEREBY WAIVE, TO THE FULLEST EXTENT PERMITTED BY LAW, ANY RIGHT TO TRIAL BY JURY OF ANY CLAIM, DEMAND, ACTION, OR CAUSE OF ACTION ARISING OUT OF THIS AGREEMENT OR ANY ATTACHMENT THERETO.</w:t>
      </w:r>
    </w:p>
    <w:p>
      <w:pPr>
        <w:spacing w:after="0" w:line="183" w:lineRule="exact"/>
        <w:rPr>
          <w:sz w:val="20"/>
          <w:szCs w:val="20"/>
          <w:color w:val="auto"/>
        </w:rPr>
      </w:pPr>
    </w:p>
    <w:p>
      <w:pPr>
        <w:jc w:val="both"/>
        <w:ind w:firstLine="872"/>
        <w:spacing w:after="0" w:line="248" w:lineRule="auto"/>
        <w:tabs>
          <w:tab w:leader="none" w:pos="1782"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you are covered by the Clawback Policy. You acknowledge that if you are covered by such policy, the policy may result in the recoupment of the Performance Share Units, any shares of Common Stock delivered hereunder and any profits realized on the sale of such shares either before, on or after the date on which you become subject to such policy. In addition, by acceptance of this award, you agree that any prior awards that have been issued to you pursuant to the Plan or any other incentive plan of the Company are subject to the Clawback Policy.</w:t>
      </w:r>
    </w:p>
    <w:p>
      <w:pPr>
        <w:spacing w:after="0" w:line="170" w:lineRule="exact"/>
        <w:rPr>
          <w:rFonts w:ascii="Times New Roman" w:cs="Times New Roman" w:eastAsia="Times New Roman" w:hAnsi="Times New Roman"/>
          <w:sz w:val="21"/>
          <w:szCs w:val="21"/>
          <w:color w:val="auto"/>
        </w:rPr>
      </w:pPr>
    </w:p>
    <w:p>
      <w:pPr>
        <w:jc w:val="both"/>
        <w:ind w:firstLine="872"/>
        <w:spacing w:after="0" w:line="235" w:lineRule="auto"/>
        <w:tabs>
          <w:tab w:leader="none" w:pos="178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 of Award</w:t>
      </w:r>
      <w:r>
        <w:rPr>
          <w:rFonts w:ascii="Times New Roman" w:cs="Times New Roman" w:eastAsia="Times New Roman" w:hAnsi="Times New Roman"/>
          <w:sz w:val="22"/>
          <w:szCs w:val="22"/>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ATTACHMENT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Conditions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Subject to the provisions of the Agreement and this Attachment I, vesting of the Performance Share Units is conditioned upon the cumulative absolute free cash flow (“FCF”) generated by the Company from January 1, 202[ ] to December 31, 202[ ] as a percentage of cumulative revenue generated by the Company from January 1, 202[ ] to December 31, 202[ ].</w:t>
      </w:r>
    </w:p>
    <w:p>
      <w:pPr>
        <w:spacing w:after="0" w:line="180"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“Free cash flow” is defined as the Company’s cash flow from operations, less capital expenditures, investments in existing Asset Performance Solutions (“APS”) projects, and multiclient seismic data costs capitalized.</w:t>
      </w:r>
    </w:p>
    <w:p>
      <w:pPr>
        <w:spacing w:after="0" w:line="158"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The Committee has the discretion to adjust the free cash flow to take into account the effects of significant cash inflows or outflows that are not necessarily representative of the underlying business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Performance/Payout</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The number of Performance Share Units that will vest on the Vesting Date will be equal to the product of (i) the target Performance Share Units and (ii) the Payout Factor set forth below (with any fractional shares rounded up to the next whole share).</w:t>
      </w:r>
    </w:p>
    <w:p>
      <w:pPr>
        <w:spacing w:after="0" w:line="173"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color w:val="auto"/>
        </w:rPr>
        <w:t>The FCF achieved by the Company over the Free Cash Flow Performance Period will be certified by the Committee. The Payout Factor for FCF achievement levels between points on this chart will be determined by linear interpolation between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3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the values listed. The maximum payout of Performance Share Units is [</w:t>
            </w: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 of the Target Performance Share Units.</w:t>
            </w:r>
          </w:p>
        </w:tc>
        <w:tc>
          <w:tcPr>
            <w:tcW w:w="0" w:type="dxa"/>
            <w:vAlign w:val="bottom"/>
          </w:tcPr>
          <w:p>
            <w:pPr>
              <w:spacing w:after="0"/>
              <w:rPr>
                <w:sz w:val="1"/>
                <w:szCs w:val="1"/>
                <w:color w:val="auto"/>
              </w:rPr>
            </w:pPr>
          </w:p>
        </w:tc>
      </w:tr>
      <w:tr>
        <w:trPr>
          <w:trHeight w:val="625"/>
        </w:trPr>
        <w:tc>
          <w:tcPr>
            <w:tcW w:w="160" w:type="dxa"/>
            <w:vAlign w:val="bottom"/>
          </w:tcPr>
          <w:p>
            <w:pPr>
              <w:spacing w:after="0"/>
              <w:rPr>
                <w:sz w:val="24"/>
                <w:szCs w:val="24"/>
                <w:color w:val="auto"/>
              </w:rPr>
            </w:pPr>
          </w:p>
        </w:tc>
        <w:tc>
          <w:tcPr>
            <w:tcW w:w="592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0" w:type="dxa"/>
            <w:vAlign w:val="bottom"/>
            <w:tcBorders>
              <w:right w:val="single" w:sz="8" w:color="auto"/>
            </w:tcBorders>
          </w:tcPr>
          <w:p>
            <w:pPr>
              <w:spacing w:after="0"/>
              <w:rPr>
                <w:sz w:val="22"/>
                <w:szCs w:val="22"/>
                <w:color w:val="auto"/>
              </w:rPr>
            </w:pPr>
          </w:p>
        </w:tc>
        <w:tc>
          <w:tcPr>
            <w:tcW w:w="5920" w:type="dxa"/>
            <w:vAlign w:val="bottom"/>
            <w:tcBorders>
              <w:right w:val="single" w:sz="8" w:color="auto"/>
            </w:tcBorders>
            <w:gridSpan w:val="2"/>
          </w:tcPr>
          <w:p>
            <w:pPr>
              <w:jc w:val="right"/>
              <w:ind w:right="1061"/>
              <w:spacing w:after="0"/>
              <w:rPr>
                <w:sz w:val="20"/>
                <w:szCs w:val="20"/>
                <w:color w:val="auto"/>
              </w:rPr>
            </w:pPr>
            <w:r>
              <w:rPr>
                <w:rFonts w:ascii="Times New Roman" w:cs="Times New Roman" w:eastAsia="Times New Roman" w:hAnsi="Times New Roman"/>
                <w:sz w:val="20"/>
                <w:szCs w:val="20"/>
                <w:b w:val="1"/>
                <w:bCs w:val="1"/>
                <w:color w:val="auto"/>
              </w:rPr>
              <w:t>FCF as Percentage of Cumulative Revenue</w:t>
            </w:r>
          </w:p>
        </w:tc>
        <w:tc>
          <w:tcPr>
            <w:tcW w:w="280" w:type="dxa"/>
            <w:vAlign w:val="bottom"/>
          </w:tcPr>
          <w:p>
            <w:pPr>
              <w:spacing w:after="0"/>
              <w:rPr>
                <w:sz w:val="22"/>
                <w:szCs w:val="22"/>
                <w:color w:val="auto"/>
              </w:rPr>
            </w:pPr>
          </w:p>
        </w:tc>
        <w:tc>
          <w:tcPr>
            <w:tcW w:w="488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Payout Factor for Vested Performance Share Units</w:t>
            </w:r>
          </w:p>
        </w:tc>
        <w:tc>
          <w:tcPr>
            <w:tcW w:w="0" w:type="dxa"/>
            <w:vAlign w:val="bottom"/>
          </w:tcPr>
          <w:p>
            <w:pPr>
              <w:spacing w:after="0"/>
              <w:rPr>
                <w:sz w:val="1"/>
                <w:szCs w:val="1"/>
                <w:color w:val="auto"/>
              </w:rPr>
            </w:pPr>
          </w:p>
        </w:tc>
      </w:tr>
      <w:tr>
        <w:trPr>
          <w:trHeight w:val="21"/>
        </w:trPr>
        <w:tc>
          <w:tcPr>
            <w:tcW w:w="160" w:type="dxa"/>
            <w:vAlign w:val="bottom"/>
            <w:tcBorders>
              <w:right w:val="single" w:sz="8" w:color="auto"/>
            </w:tcBorders>
            <w:vMerge w:val="restart"/>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160" w:type="dxa"/>
            <w:vAlign w:val="bottom"/>
            <w:tcBorders>
              <w:right w:val="single" w:sz="8" w:color="auto"/>
            </w:tcBorders>
            <w:vMerge w:val="continue"/>
          </w:tcPr>
          <w:p>
            <w:pPr>
              <w:spacing w:after="0"/>
              <w:rPr>
                <w:sz w:val="21"/>
                <w:szCs w:val="21"/>
                <w:color w:val="auto"/>
              </w:rPr>
            </w:pPr>
          </w:p>
        </w:tc>
        <w:tc>
          <w:tcPr>
            <w:tcW w:w="2900" w:type="dxa"/>
            <w:vAlign w:val="bottom"/>
          </w:tcPr>
          <w:p>
            <w:pPr>
              <w:jc w:val="center"/>
              <w:ind w:left="2461"/>
              <w:spacing w:after="0"/>
              <w:rPr>
                <w:sz w:val="20"/>
                <w:szCs w:val="20"/>
                <w:color w:val="auto"/>
              </w:rPr>
            </w:pPr>
            <w:r>
              <w:rPr>
                <w:rFonts w:ascii="Times New Roman" w:cs="Times New Roman" w:eastAsia="Times New Roman" w:hAnsi="Times New Roman"/>
                <w:sz w:val="20"/>
                <w:szCs w:val="20"/>
                <w:color w:val="auto"/>
                <w:w w:val="89"/>
              </w:rPr>
              <w:t>[</w:t>
            </w:r>
          </w:p>
        </w:tc>
        <w:tc>
          <w:tcPr>
            <w:tcW w:w="3020" w:type="dxa"/>
            <w:vAlign w:val="bottom"/>
            <w:tcBorders>
              <w:right w:val="single" w:sz="8" w:color="auto"/>
            </w:tcBorders>
          </w:tcPr>
          <w:p>
            <w:pPr>
              <w:jc w:val="right"/>
              <w:ind w:right="26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of Target</w:t>
            </w:r>
          </w:p>
        </w:tc>
        <w:tc>
          <w:tcPr>
            <w:tcW w:w="0" w:type="dxa"/>
            <w:vAlign w:val="bottom"/>
          </w:tcPr>
          <w:p>
            <w:pPr>
              <w:spacing w:after="0"/>
              <w:rPr>
                <w:sz w:val="1"/>
                <w:szCs w:val="1"/>
                <w:color w:val="auto"/>
              </w:rPr>
            </w:pPr>
          </w:p>
        </w:tc>
      </w:tr>
      <w:tr>
        <w:trPr>
          <w:trHeight w:val="25"/>
        </w:trPr>
        <w:tc>
          <w:tcPr>
            <w:tcW w:w="160" w:type="dxa"/>
            <w:vAlign w:val="bottom"/>
            <w:tcBorders>
              <w:right w:val="single" w:sz="8" w:color="auto"/>
            </w:tcBorders>
            <w:vMerge w:val="restart"/>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60" w:type="dxa"/>
            <w:vAlign w:val="bottom"/>
            <w:tcBorders>
              <w:right w:val="single" w:sz="8" w:color="auto"/>
            </w:tcBorders>
            <w:vMerge w:val="continue"/>
          </w:tcPr>
          <w:p>
            <w:pPr>
              <w:spacing w:after="0"/>
              <w:rPr>
                <w:sz w:val="21"/>
                <w:szCs w:val="21"/>
                <w:color w:val="auto"/>
              </w:rPr>
            </w:pPr>
          </w:p>
        </w:tc>
        <w:tc>
          <w:tcPr>
            <w:tcW w:w="2900" w:type="dxa"/>
            <w:vAlign w:val="bottom"/>
          </w:tcPr>
          <w:p>
            <w:pPr>
              <w:jc w:val="center"/>
              <w:ind w:left="2461"/>
              <w:spacing w:after="0"/>
              <w:rPr>
                <w:sz w:val="20"/>
                <w:szCs w:val="20"/>
                <w:color w:val="auto"/>
              </w:rPr>
            </w:pPr>
            <w:r>
              <w:rPr>
                <w:rFonts w:ascii="Times New Roman" w:cs="Times New Roman" w:eastAsia="Times New Roman" w:hAnsi="Times New Roman"/>
                <w:sz w:val="20"/>
                <w:szCs w:val="20"/>
                <w:color w:val="auto"/>
                <w:w w:val="89"/>
              </w:rPr>
              <w:t>[</w:t>
            </w:r>
          </w:p>
        </w:tc>
        <w:tc>
          <w:tcPr>
            <w:tcW w:w="3020" w:type="dxa"/>
            <w:vAlign w:val="bottom"/>
            <w:tcBorders>
              <w:right w:val="single" w:sz="8" w:color="auto"/>
            </w:tcBorders>
          </w:tcPr>
          <w:p>
            <w:pPr>
              <w:jc w:val="right"/>
              <w:ind w:right="26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of Target</w:t>
            </w:r>
          </w:p>
        </w:tc>
        <w:tc>
          <w:tcPr>
            <w:tcW w:w="0" w:type="dxa"/>
            <w:vAlign w:val="bottom"/>
          </w:tcPr>
          <w:p>
            <w:pPr>
              <w:spacing w:after="0"/>
              <w:rPr>
                <w:sz w:val="1"/>
                <w:szCs w:val="1"/>
                <w:color w:val="auto"/>
              </w:rPr>
            </w:pPr>
          </w:p>
        </w:tc>
      </w:tr>
      <w:tr>
        <w:trPr>
          <w:trHeight w:val="25"/>
        </w:trPr>
        <w:tc>
          <w:tcPr>
            <w:tcW w:w="160" w:type="dxa"/>
            <w:vAlign w:val="bottom"/>
            <w:tcBorders>
              <w:right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60" w:type="dxa"/>
            <w:vAlign w:val="bottom"/>
            <w:tcBorders>
              <w:right w:val="single" w:sz="8" w:color="auto"/>
            </w:tcBorders>
          </w:tcPr>
          <w:p>
            <w:pPr>
              <w:spacing w:after="0"/>
              <w:rPr>
                <w:sz w:val="21"/>
                <w:szCs w:val="21"/>
                <w:color w:val="auto"/>
              </w:rPr>
            </w:pPr>
          </w:p>
        </w:tc>
        <w:tc>
          <w:tcPr>
            <w:tcW w:w="2900" w:type="dxa"/>
            <w:vAlign w:val="bottom"/>
          </w:tcPr>
          <w:p>
            <w:pPr>
              <w:jc w:val="center"/>
              <w:ind w:left="2461"/>
              <w:spacing w:after="0"/>
              <w:rPr>
                <w:sz w:val="20"/>
                <w:szCs w:val="20"/>
                <w:color w:val="auto"/>
              </w:rPr>
            </w:pPr>
            <w:r>
              <w:rPr>
                <w:rFonts w:ascii="Times New Roman" w:cs="Times New Roman" w:eastAsia="Times New Roman" w:hAnsi="Times New Roman"/>
                <w:sz w:val="20"/>
                <w:szCs w:val="20"/>
                <w:color w:val="auto"/>
              </w:rPr>
              <w:t>≥[</w:t>
            </w:r>
          </w:p>
        </w:tc>
        <w:tc>
          <w:tcPr>
            <w:tcW w:w="3020" w:type="dxa"/>
            <w:vAlign w:val="bottom"/>
            <w:tcBorders>
              <w:right w:val="single" w:sz="8" w:color="auto"/>
            </w:tcBorders>
          </w:tcPr>
          <w:p>
            <w:pPr>
              <w:jc w:val="right"/>
              <w:ind w:right="258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of Target</w:t>
            </w:r>
          </w:p>
        </w:tc>
        <w:tc>
          <w:tcPr>
            <w:tcW w:w="0" w:type="dxa"/>
            <w:vAlign w:val="bottom"/>
          </w:tcPr>
          <w:p>
            <w:pPr>
              <w:spacing w:after="0"/>
              <w:rPr>
                <w:sz w:val="1"/>
                <w:szCs w:val="1"/>
                <w:color w:val="auto"/>
              </w:rPr>
            </w:pPr>
          </w:p>
        </w:tc>
      </w:tr>
      <w:tr>
        <w:trPr>
          <w:trHeight w:val="25"/>
        </w:trPr>
        <w:tc>
          <w:tcPr>
            <w:tcW w:w="160" w:type="dxa"/>
            <w:vAlign w:val="bottom"/>
            <w:tcBorders>
              <w:right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Interpretation</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the event of any ambiguity or discrepancy in this Agreement (including this Attachment I), the determination of the Committee shall be final and binding.</w:t>
      </w: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9</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6226175</wp:posOffset>
            </wp:positionH>
            <wp:positionV relativeFrom="page">
              <wp:posOffset>88900</wp:posOffset>
            </wp:positionV>
            <wp:extent cx="1114425"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114425" cy="240030"/>
                    </a:xfrm>
                    <a:prstGeom prst="rect">
                      <a:avLst/>
                    </a:prstGeom>
                    <a:noFill/>
                  </pic:spPr>
                </pic:pic>
              </a:graphicData>
            </a:graphic>
          </wp:anchor>
        </w:drawing>
        <w:t>ATTACHMENT 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 Information, Intellectual Property,</w:t>
      </w:r>
    </w:p>
    <w:p>
      <w:pPr>
        <w:jc w:val="center"/>
        <w:spacing w:after="0"/>
        <w:rPr>
          <w:sz w:val="20"/>
          <w:szCs w:val="20"/>
          <w:color w:val="auto"/>
        </w:rPr>
      </w:pPr>
      <w:r>
        <w:rPr>
          <w:rFonts w:ascii="Times New Roman" w:cs="Times New Roman" w:eastAsia="Times New Roman" w:hAnsi="Times New Roman"/>
          <w:sz w:val="22"/>
          <w:szCs w:val="22"/>
          <w:b w:val="1"/>
          <w:bCs w:val="1"/>
          <w:color w:val="auto"/>
        </w:rPr>
        <w:t>Non-Compete and Non-Solicitation Agreement</w:t>
      </w:r>
    </w:p>
    <w:p>
      <w:pPr>
        <w:spacing w:after="0" w:line="196" w:lineRule="exact"/>
        <w:rPr>
          <w:sz w:val="20"/>
          <w:szCs w:val="20"/>
          <w:color w:val="auto"/>
        </w:rPr>
      </w:pPr>
    </w:p>
    <w:p>
      <w:pPr>
        <w:ind w:left="1680" w:hanging="808"/>
        <w:spacing w:after="0"/>
        <w:tabs>
          <w:tab w:leader="none" w:pos="16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2"/>
        <w:spacing w:after="0" w:line="244" w:lineRule="auto"/>
        <w:tabs>
          <w:tab w:leader="none" w:pos="175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73" w:lineRule="exact"/>
        <w:rPr>
          <w:rFonts w:ascii="Times New Roman" w:cs="Times New Roman" w:eastAsia="Times New Roman" w:hAnsi="Times New Roman"/>
          <w:sz w:val="22"/>
          <w:szCs w:val="22"/>
          <w:color w:val="auto"/>
        </w:rPr>
      </w:pPr>
    </w:p>
    <w:p>
      <w:pPr>
        <w:jc w:val="both"/>
        <w:ind w:firstLine="872"/>
        <w:spacing w:after="0" w:line="233" w:lineRule="auto"/>
        <w:tabs>
          <w:tab w:leader="none" w:pos="176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82" w:lineRule="exact"/>
        <w:rPr>
          <w:rFonts w:ascii="Times New Roman" w:cs="Times New Roman" w:eastAsia="Times New Roman" w:hAnsi="Times New Roman"/>
          <w:sz w:val="22"/>
          <w:szCs w:val="22"/>
          <w:color w:val="auto"/>
        </w:rPr>
      </w:pPr>
    </w:p>
    <w:p>
      <w:pPr>
        <w:jc w:val="both"/>
        <w:ind w:firstLine="872"/>
        <w:spacing w:after="0" w:line="234" w:lineRule="auto"/>
        <w:tabs>
          <w:tab w:leader="none" w:pos="175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10</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69" w:name="page70"/>
    <w:bookmarkEnd w:id="69"/>
    <w:p>
      <w:pPr>
        <w:jc w:val="both"/>
        <w:ind w:firstLine="872"/>
        <w:spacing w:after="0" w:line="236" w:lineRule="auto"/>
        <w:tabs>
          <w:tab w:leader="none" w:pos="176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81" w:lineRule="exact"/>
        <w:rPr>
          <w:rFonts w:ascii="Times New Roman" w:cs="Times New Roman" w:eastAsia="Times New Roman" w:hAnsi="Times New Roman"/>
          <w:sz w:val="22"/>
          <w:szCs w:val="22"/>
          <w:color w:val="auto"/>
        </w:rPr>
      </w:pPr>
    </w:p>
    <w:p>
      <w:pPr>
        <w:ind w:firstLine="872"/>
        <w:spacing w:after="0" w:line="258" w:lineRule="auto"/>
        <w:tabs>
          <w:tab w:leader="none" w:pos="175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“Pre-existing Intellectual Property” is all Intellectual Property that was authored, conceived, developed, or reduced to practice by Employee before the term of Employee’s employment with the Company or any Affiliate began.</w:t>
      </w:r>
    </w:p>
    <w:p>
      <w:pPr>
        <w:spacing w:after="0" w:line="158" w:lineRule="exact"/>
        <w:rPr>
          <w:sz w:val="20"/>
          <w:szCs w:val="20"/>
          <w:color w:val="auto"/>
        </w:rPr>
      </w:pPr>
    </w:p>
    <w:p>
      <w:pPr>
        <w:jc w:val="both"/>
        <w:ind w:firstLine="872"/>
        <w:spacing w:after="0" w:line="239" w:lineRule="auto"/>
        <w:tabs>
          <w:tab w:leader="none" w:pos="167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Codes of Conduct</w:t>
      </w:r>
      <w:r>
        <w:rPr>
          <w:rFonts w:ascii="Times New Roman" w:cs="Times New Roman" w:eastAsia="Times New Roman" w:hAnsi="Times New Roman"/>
          <w:sz w:val="22"/>
          <w:szCs w:val="22"/>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80"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p>
    <w:p>
      <w:pPr>
        <w:spacing w:after="0" w:line="206" w:lineRule="exact"/>
        <w:rPr>
          <w:sz w:val="20"/>
          <w:szCs w:val="20"/>
          <w:color w:val="auto"/>
        </w:rPr>
      </w:pPr>
    </w:p>
    <w:p>
      <w:pPr>
        <w:jc w:val="both"/>
        <w:ind w:firstLine="872"/>
        <w:spacing w:after="0" w:line="235" w:lineRule="auto"/>
        <w:tabs>
          <w:tab w:leader="none" w:pos="175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183" w:lineRule="exact"/>
        <w:rPr>
          <w:rFonts w:ascii="Times New Roman" w:cs="Times New Roman" w:eastAsia="Times New Roman" w:hAnsi="Times New Roman"/>
          <w:sz w:val="22"/>
          <w:szCs w:val="22"/>
          <w:color w:val="auto"/>
        </w:rPr>
      </w:pPr>
    </w:p>
    <w:p>
      <w:pPr>
        <w:jc w:val="both"/>
        <w:ind w:firstLine="872"/>
        <w:spacing w:after="0" w:line="244" w:lineRule="auto"/>
        <w:tabs>
          <w:tab w:leader="none" w:pos="176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73" w:lineRule="exact"/>
        <w:rPr>
          <w:rFonts w:ascii="Times New Roman" w:cs="Times New Roman" w:eastAsia="Times New Roman" w:hAnsi="Times New Roman"/>
          <w:sz w:val="22"/>
          <w:szCs w:val="22"/>
          <w:color w:val="auto"/>
        </w:rPr>
      </w:pPr>
    </w:p>
    <w:p>
      <w:pPr>
        <w:jc w:val="both"/>
        <w:ind w:firstLine="872"/>
        <w:spacing w:after="0" w:line="238" w:lineRule="auto"/>
        <w:tabs>
          <w:tab w:leader="none" w:pos="175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76" w:lineRule="exact"/>
        <w:rPr>
          <w:rFonts w:ascii="Times New Roman" w:cs="Times New Roman" w:eastAsia="Times New Roman" w:hAnsi="Times New Roman"/>
          <w:sz w:val="22"/>
          <w:szCs w:val="22"/>
          <w:color w:val="auto"/>
        </w:rPr>
      </w:pPr>
    </w:p>
    <w:p>
      <w:pPr>
        <w:jc w:val="both"/>
        <w:ind w:firstLine="872"/>
        <w:spacing w:after="0" w:line="239" w:lineRule="auto"/>
        <w:tabs>
          <w:tab w:leader="none" w:pos="176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0" w:name="page71"/>
    <w:bookmarkEnd w:id="70"/>
    <w:p>
      <w:pPr>
        <w:jc w:val="both"/>
        <w:spacing w:after="0" w:line="239" w:lineRule="auto"/>
        <w:rPr>
          <w:sz w:val="20"/>
          <w:szCs w:val="20"/>
          <w:color w:val="auto"/>
        </w:rPr>
      </w:pPr>
      <w:r>
        <w:rPr>
          <w:rFonts w:ascii="Times New Roman" w:cs="Times New Roman" w:eastAsia="Times New Roman" w:hAnsi="Times New Roman"/>
          <w:sz w:val="22"/>
          <w:szCs w:val="22"/>
          <w:color w:val="auto"/>
        </w:rPr>
        <w:t>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80" w:lineRule="exact"/>
        <w:rPr>
          <w:sz w:val="20"/>
          <w:szCs w:val="20"/>
          <w:color w:val="auto"/>
        </w:rPr>
      </w:pPr>
    </w:p>
    <w:p>
      <w:pPr>
        <w:jc w:val="both"/>
        <w:ind w:firstLine="872"/>
        <w:spacing w:after="0" w:line="238" w:lineRule="auto"/>
        <w:tabs>
          <w:tab w:leader="none" w:pos="175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6" w:lineRule="exact"/>
        <w:rPr>
          <w:rFonts w:ascii="Times New Roman" w:cs="Times New Roman" w:eastAsia="Times New Roman" w:hAnsi="Times New Roman"/>
          <w:sz w:val="22"/>
          <w:szCs w:val="22"/>
          <w:color w:val="auto"/>
        </w:rPr>
      </w:pPr>
    </w:p>
    <w:p>
      <w:pPr>
        <w:jc w:val="both"/>
        <w:ind w:firstLine="872"/>
        <w:spacing w:after="0" w:line="244" w:lineRule="auto"/>
        <w:tabs>
          <w:tab w:leader="none" w:pos="172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73" w:lineRule="exact"/>
        <w:rPr>
          <w:sz w:val="20"/>
          <w:szCs w:val="20"/>
          <w:color w:val="auto"/>
        </w:rPr>
      </w:pPr>
    </w:p>
    <w:p>
      <w:pPr>
        <w:ind w:left="1680" w:hanging="808"/>
        <w:spacing w:after="0"/>
        <w:tabs>
          <w:tab w:leader="none" w:pos="16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Intellectual Property.</w:t>
      </w:r>
    </w:p>
    <w:p>
      <w:pPr>
        <w:spacing w:after="0" w:line="206" w:lineRule="exact"/>
        <w:rPr>
          <w:sz w:val="20"/>
          <w:szCs w:val="20"/>
          <w:color w:val="auto"/>
        </w:rPr>
      </w:pPr>
    </w:p>
    <w:p>
      <w:pPr>
        <w:jc w:val="both"/>
        <w:ind w:firstLine="872"/>
        <w:spacing w:after="0" w:line="235" w:lineRule="auto"/>
        <w:tabs>
          <w:tab w:leader="none" w:pos="175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8" w:lineRule="exact"/>
        <w:rPr>
          <w:rFonts w:ascii="Times New Roman" w:cs="Times New Roman" w:eastAsia="Times New Roman" w:hAnsi="Times New Roman"/>
          <w:sz w:val="22"/>
          <w:szCs w:val="22"/>
          <w:color w:val="auto"/>
        </w:rPr>
      </w:pPr>
    </w:p>
    <w:p>
      <w:pPr>
        <w:jc w:val="both"/>
        <w:ind w:firstLine="872"/>
        <w:spacing w:after="0" w:line="235" w:lineRule="auto"/>
        <w:tabs>
          <w:tab w:leader="none" w:pos="176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83" w:lineRule="exact"/>
        <w:rPr>
          <w:rFonts w:ascii="Times New Roman" w:cs="Times New Roman" w:eastAsia="Times New Roman" w:hAnsi="Times New Roman"/>
          <w:sz w:val="22"/>
          <w:szCs w:val="22"/>
          <w:color w:val="auto"/>
        </w:rPr>
      </w:pPr>
    </w:p>
    <w:p>
      <w:pPr>
        <w:jc w:val="both"/>
        <w:ind w:firstLine="872"/>
        <w:spacing w:after="0" w:line="244" w:lineRule="auto"/>
        <w:tabs>
          <w:tab w:leader="none" w:pos="175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1" w:name="page72"/>
    <w:bookmarkEnd w:id="71"/>
    <w:p>
      <w:pPr>
        <w:jc w:val="both"/>
        <w:ind w:firstLine="872"/>
        <w:spacing w:after="0" w:line="236" w:lineRule="auto"/>
        <w:tabs>
          <w:tab w:leader="none" w:pos="176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81" w:lineRule="exact"/>
        <w:rPr>
          <w:rFonts w:ascii="Times New Roman" w:cs="Times New Roman" w:eastAsia="Times New Roman" w:hAnsi="Times New Roman"/>
          <w:sz w:val="22"/>
          <w:szCs w:val="22"/>
          <w:color w:val="auto"/>
        </w:rPr>
      </w:pPr>
    </w:p>
    <w:p>
      <w:pPr>
        <w:jc w:val="both"/>
        <w:ind w:firstLine="872"/>
        <w:spacing w:after="0" w:line="236" w:lineRule="auto"/>
        <w:tabs>
          <w:tab w:leader="none" w:pos="175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81" w:lineRule="exact"/>
        <w:rPr>
          <w:sz w:val="20"/>
          <w:szCs w:val="20"/>
          <w:color w:val="auto"/>
        </w:rPr>
      </w:pPr>
    </w:p>
    <w:p>
      <w:pPr>
        <w:ind w:left="1680" w:hanging="808"/>
        <w:spacing w:after="0"/>
        <w:tabs>
          <w:tab w:leader="none" w:pos="16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Intellectual Property.</w:t>
      </w:r>
    </w:p>
    <w:p>
      <w:pPr>
        <w:spacing w:after="0" w:line="206" w:lineRule="exact"/>
        <w:rPr>
          <w:sz w:val="20"/>
          <w:szCs w:val="20"/>
          <w:color w:val="auto"/>
        </w:rPr>
      </w:pPr>
    </w:p>
    <w:p>
      <w:pPr>
        <w:jc w:val="both"/>
        <w:ind w:firstLine="872"/>
        <w:spacing w:after="0" w:line="235" w:lineRule="auto"/>
        <w:tabs>
          <w:tab w:leader="none" w:pos="175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78" w:lineRule="exact"/>
        <w:rPr>
          <w:rFonts w:ascii="Times New Roman" w:cs="Times New Roman" w:eastAsia="Times New Roman" w:hAnsi="Times New Roman"/>
          <w:sz w:val="22"/>
          <w:szCs w:val="22"/>
          <w:color w:val="auto"/>
        </w:rPr>
      </w:pPr>
    </w:p>
    <w:p>
      <w:pPr>
        <w:jc w:val="both"/>
        <w:ind w:firstLine="872"/>
        <w:spacing w:after="0" w:line="236" w:lineRule="auto"/>
        <w:tabs>
          <w:tab w:leader="none" w:pos="176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81" w:lineRule="exact"/>
        <w:rPr>
          <w:rFonts w:ascii="Times New Roman" w:cs="Times New Roman" w:eastAsia="Times New Roman" w:hAnsi="Times New Roman"/>
          <w:sz w:val="22"/>
          <w:szCs w:val="22"/>
          <w:color w:val="auto"/>
        </w:rPr>
      </w:pPr>
    </w:p>
    <w:p>
      <w:pPr>
        <w:jc w:val="both"/>
        <w:ind w:firstLine="872"/>
        <w:spacing w:after="0" w:line="244" w:lineRule="auto"/>
        <w:tabs>
          <w:tab w:leader="none" w:pos="175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2" w:name="page73"/>
    <w:bookmarkEnd w:id="72"/>
    <w:p>
      <w:pPr>
        <w:jc w:val="both"/>
        <w:ind w:firstLine="872"/>
        <w:spacing w:after="0" w:line="235" w:lineRule="auto"/>
        <w:tabs>
          <w:tab w:leader="none" w:pos="176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II, or obtained through fraud, negligence, failure to disclose, or incorrect, incomplete, or defective information on an IP Disclosure Form.</w:t>
      </w:r>
    </w:p>
    <w:p>
      <w:pPr>
        <w:spacing w:after="0" w:line="183" w:lineRule="exact"/>
        <w:rPr>
          <w:sz w:val="20"/>
          <w:szCs w:val="20"/>
          <w:color w:val="auto"/>
        </w:rPr>
      </w:pPr>
    </w:p>
    <w:p>
      <w:pPr>
        <w:ind w:left="1680" w:hanging="808"/>
        <w:spacing w:after="0"/>
        <w:tabs>
          <w:tab w:leader="none" w:pos="16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p>
    <w:p>
      <w:pPr>
        <w:spacing w:after="0" w:line="206" w:lineRule="exact"/>
        <w:rPr>
          <w:sz w:val="20"/>
          <w:szCs w:val="20"/>
          <w:color w:val="auto"/>
        </w:rPr>
      </w:pPr>
    </w:p>
    <w:p>
      <w:pPr>
        <w:jc w:val="both"/>
        <w:ind w:firstLine="872"/>
        <w:spacing w:after="0" w:line="244" w:lineRule="auto"/>
        <w:tabs>
          <w:tab w:leader="none" w:pos="175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73" w:lineRule="exact"/>
        <w:rPr>
          <w:rFonts w:ascii="Times New Roman" w:cs="Times New Roman" w:eastAsia="Times New Roman" w:hAnsi="Times New Roman"/>
          <w:sz w:val="22"/>
          <w:szCs w:val="22"/>
          <w:color w:val="auto"/>
        </w:rPr>
      </w:pPr>
    </w:p>
    <w:p>
      <w:pPr>
        <w:jc w:val="both"/>
        <w:ind w:firstLine="872"/>
        <w:spacing w:after="0" w:line="245" w:lineRule="auto"/>
        <w:tabs>
          <w:tab w:leader="none" w:pos="1763"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3" w:name="page74"/>
    <w:bookmarkEnd w:id="73"/>
    <w:p>
      <w:pPr>
        <w:jc w:val="both"/>
        <w:ind w:firstLine="872"/>
        <w:spacing w:after="0" w:line="233" w:lineRule="auto"/>
        <w:tabs>
          <w:tab w:leader="none" w:pos="175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85" w:lineRule="exact"/>
        <w:rPr>
          <w:sz w:val="20"/>
          <w:szCs w:val="20"/>
          <w:color w:val="auto"/>
        </w:rPr>
      </w:pPr>
    </w:p>
    <w:p>
      <w:pPr>
        <w:ind w:left="1680" w:hanging="808"/>
        <w:spacing w:after="0"/>
        <w:tabs>
          <w:tab w:leader="none" w:pos="16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p>
    <w:p>
      <w:pPr>
        <w:spacing w:after="0" w:line="206" w:lineRule="exact"/>
        <w:rPr>
          <w:sz w:val="20"/>
          <w:szCs w:val="20"/>
          <w:color w:val="auto"/>
        </w:rPr>
      </w:pPr>
    </w:p>
    <w:p>
      <w:pPr>
        <w:jc w:val="both"/>
        <w:ind w:firstLine="872"/>
        <w:spacing w:after="0" w:line="235" w:lineRule="auto"/>
        <w:tabs>
          <w:tab w:leader="none" w:pos="175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78" w:lineRule="exact"/>
        <w:rPr>
          <w:rFonts w:ascii="Times New Roman" w:cs="Times New Roman" w:eastAsia="Times New Roman" w:hAnsi="Times New Roman"/>
          <w:sz w:val="22"/>
          <w:szCs w:val="22"/>
          <w:color w:val="auto"/>
        </w:rPr>
      </w:pPr>
    </w:p>
    <w:p>
      <w:pPr>
        <w:jc w:val="both"/>
        <w:ind w:firstLine="872"/>
        <w:spacing w:after="0" w:line="248" w:lineRule="auto"/>
        <w:tabs>
          <w:tab w:leader="none" w:pos="1763"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70" w:lineRule="exact"/>
        <w:rPr>
          <w:sz w:val="20"/>
          <w:szCs w:val="20"/>
          <w:color w:val="auto"/>
        </w:rPr>
      </w:pPr>
    </w:p>
    <w:p>
      <w:pPr>
        <w:ind w:left="1680" w:hanging="808"/>
        <w:spacing w:after="0"/>
        <w:tabs>
          <w:tab w:leader="none" w:pos="168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for Employee’s Breach.</w:t>
      </w:r>
    </w:p>
    <w:p>
      <w:pPr>
        <w:spacing w:after="0" w:line="206" w:lineRule="exact"/>
        <w:rPr>
          <w:sz w:val="20"/>
          <w:szCs w:val="20"/>
          <w:color w:val="auto"/>
        </w:rPr>
      </w:pPr>
    </w:p>
    <w:p>
      <w:pPr>
        <w:jc w:val="both"/>
        <w:ind w:firstLine="872"/>
        <w:spacing w:after="0" w:line="239" w:lineRule="auto"/>
        <w:tabs>
          <w:tab w:leader="none" w:pos="175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4" w:name="page75"/>
    <w:bookmarkEnd w:id="74"/>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Times New Roman" w:cs="Times New Roman" w:eastAsia="Times New Roman" w:hAnsi="Times New Roman"/>
          <w:sz w:val="22"/>
          <w:szCs w:val="22"/>
          <w:b w:val="1"/>
          <w:bCs w:val="1"/>
          <w:color w:val="auto"/>
        </w:rPr>
        <w:t>(i) recover from Employee the value of any portion of the Award that has been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paid or delivered; (ii) seek injunctive relief against Employee pursuant to the provisions of 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83" w:lineRule="exact"/>
        <w:rPr>
          <w:sz w:val="20"/>
          <w:szCs w:val="20"/>
          <w:color w:val="auto"/>
        </w:rPr>
      </w:pPr>
    </w:p>
    <w:p>
      <w:pPr>
        <w:jc w:val="both"/>
        <w:ind w:firstLine="872"/>
        <w:spacing w:after="0" w:line="236" w:lineRule="auto"/>
        <w:tabs>
          <w:tab w:leader="none" w:pos="176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81" w:lineRule="exact"/>
        <w:rPr>
          <w:rFonts w:ascii="Times New Roman" w:cs="Times New Roman" w:eastAsia="Times New Roman" w:hAnsi="Times New Roman"/>
          <w:sz w:val="22"/>
          <w:szCs w:val="22"/>
          <w:color w:val="auto"/>
        </w:rPr>
      </w:pPr>
    </w:p>
    <w:p>
      <w:pPr>
        <w:jc w:val="both"/>
        <w:ind w:firstLine="872"/>
        <w:spacing w:after="0" w:line="239" w:lineRule="auto"/>
        <w:tabs>
          <w:tab w:leader="none" w:pos="175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180" w:lineRule="exact"/>
        <w:rPr>
          <w:rFonts w:ascii="Times New Roman" w:cs="Times New Roman" w:eastAsia="Times New Roman" w:hAnsi="Times New Roman"/>
          <w:sz w:val="22"/>
          <w:szCs w:val="22"/>
          <w:color w:val="auto"/>
        </w:rPr>
      </w:pPr>
    </w:p>
    <w:p>
      <w:pPr>
        <w:ind w:right="20" w:firstLine="872"/>
        <w:spacing w:after="0" w:line="258" w:lineRule="auto"/>
        <w:tabs>
          <w:tab w:leader="none" w:pos="176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the remedies contained in the Attachment II for violation of this Attachment II are not the exclusive remedies that the Company or an Affiliate may pursue.</w:t>
      </w:r>
    </w:p>
    <w:p>
      <w:pPr>
        <w:spacing w:after="0" w:line="158" w:lineRule="exact"/>
        <w:rPr>
          <w:sz w:val="20"/>
          <w:szCs w:val="20"/>
          <w:color w:val="auto"/>
        </w:rPr>
      </w:pPr>
    </w:p>
    <w:p>
      <w:pPr>
        <w:jc w:val="both"/>
        <w:ind w:right="20" w:firstLine="872"/>
        <w:spacing w:after="0" w:line="244" w:lineRule="auto"/>
        <w:tabs>
          <w:tab w:leader="none" w:pos="167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173"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2"/>
        <w:spacing w:after="0" w:line="239" w:lineRule="auto"/>
        <w:tabs>
          <w:tab w:leader="none" w:pos="175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 Employee’s duties for the Company or its Affiliates. Employee agrees not to enter into any agreement, whether oral or written, in conflict with this Attachment II.</w:t>
      </w:r>
    </w:p>
    <w:p>
      <w:pPr>
        <w:spacing w:after="0" w:line="180" w:lineRule="exact"/>
        <w:rPr>
          <w:rFonts w:ascii="Times New Roman" w:cs="Times New Roman" w:eastAsia="Times New Roman" w:hAnsi="Times New Roman"/>
          <w:sz w:val="22"/>
          <w:szCs w:val="22"/>
          <w:color w:val="auto"/>
        </w:rPr>
      </w:pPr>
    </w:p>
    <w:p>
      <w:pPr>
        <w:jc w:val="both"/>
        <w:ind w:firstLine="872"/>
        <w:spacing w:after="0" w:line="244" w:lineRule="auto"/>
        <w:tabs>
          <w:tab w:leader="none" w:pos="176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Attachment II may be enforced by, will inure to the benefit of, and be binding upon the Company, its successors, and assigns. This Agreement will also inure to the benefit of, and may be enforced by, the Company’s Affiliates. This Attachment II is binding upon Employee’s heirs and legal representatives.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5" w:name="page76"/>
    <w:bookmarkEnd w:id="75"/>
    <w:p>
      <w:pPr>
        <w:jc w:val="both"/>
        <w:ind w:right="20" w:firstLine="872"/>
        <w:spacing w:after="0" w:line="244" w:lineRule="auto"/>
        <w:tabs>
          <w:tab w:leader="none" w:pos="175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73" w:lineRule="exact"/>
        <w:rPr>
          <w:rFonts w:ascii="Times New Roman" w:cs="Times New Roman" w:eastAsia="Times New Roman" w:hAnsi="Times New Roman"/>
          <w:sz w:val="22"/>
          <w:szCs w:val="22"/>
          <w:color w:val="auto"/>
        </w:rPr>
      </w:pPr>
    </w:p>
    <w:p>
      <w:pPr>
        <w:jc w:val="both"/>
        <w:ind w:firstLine="872"/>
        <w:spacing w:after="0" w:line="239" w:lineRule="auto"/>
        <w:tabs>
          <w:tab w:leader="none" w:pos="176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is employed by an Affiliate of the Company or by accepting a transfer to an Affiliate of the Company, Employee agrees to the automatic application of all of the terms 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180" w:lineRule="exact"/>
        <w:rPr>
          <w:rFonts w:ascii="Times New Roman" w:cs="Times New Roman" w:eastAsia="Times New Roman" w:hAnsi="Times New Roman"/>
          <w:sz w:val="22"/>
          <w:szCs w:val="22"/>
          <w:color w:val="auto"/>
        </w:rPr>
      </w:pPr>
    </w:p>
    <w:p>
      <w:pPr>
        <w:jc w:val="both"/>
        <w:ind w:firstLine="872"/>
        <w:spacing w:after="0" w:line="235" w:lineRule="auto"/>
        <w:tabs>
          <w:tab w:leader="none" w:pos="175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83" w:lineRule="exact"/>
        <w:rPr>
          <w:rFonts w:ascii="Times New Roman" w:cs="Times New Roman" w:eastAsia="Times New Roman" w:hAnsi="Times New Roman"/>
          <w:sz w:val="22"/>
          <w:szCs w:val="22"/>
          <w:color w:val="auto"/>
        </w:rPr>
      </w:pPr>
    </w:p>
    <w:p>
      <w:pPr>
        <w:jc w:val="both"/>
        <w:ind w:firstLine="872"/>
        <w:spacing w:after="0" w:line="239" w:lineRule="auto"/>
        <w:tabs>
          <w:tab w:leader="none" w:pos="172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this Attachment II supersede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17</w:t>
      </w:r>
    </w:p>
    <w:p>
      <w:pPr>
        <w:sectPr>
          <w:pgSz w:w="11900" w:h="16838" w:orient="portrait"/>
          <w:cols w:equalWidth="0" w:num="1">
            <w:col w:w="11240"/>
          </w:cols>
          <w:pgMar w:left="320" w:top="328" w:right="339" w:bottom="1440" w:gutter="0" w:footer="0" w:header="0"/>
        </w:sectPr>
      </w:pPr>
    </w:p>
    <w:bookmarkStart w:id="76" w:name="page77"/>
    <w:bookmarkEnd w:id="76"/>
    <w:p>
      <w:pPr>
        <w:ind w:left="101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6226175</wp:posOffset>
            </wp:positionH>
            <wp:positionV relativeFrom="page">
              <wp:posOffset>88900</wp:posOffset>
            </wp:positionV>
            <wp:extent cx="1114425"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114425" cy="240030"/>
                    </a:xfrm>
                    <a:prstGeom prst="rect">
                      <a:avLst/>
                    </a:prstGeom>
                    <a:noFill/>
                  </pic:spPr>
                </pic:pic>
              </a:graphicData>
            </a:graphic>
          </wp:anchor>
        </w:drawing>
        <w:t>Exhibit 10.4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 ] PERFORMANCE SHARE UNIT AWARD AGREEMENT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(BASED ON RETURN ON CAPITAL EMPLOYED PERFORMANCE)</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under the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SCHLUMBERGER 2017 OMNIBUS STOCK INCENTIVE PLAN</w:t>
      </w:r>
    </w:p>
    <w:p>
      <w:pPr>
        <w:jc w:val="cente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u w:val="single" w:color="auto"/>
          <w:color w:val="auto"/>
        </w:rPr>
        <w:t>Includes Confidentiality, Intellectual Property, Non-Competition, and Non-Solicitation Provisions in Section 9 and</w:t>
      </w: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Attachment II</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Period: 202[ ], 202[ ] and 202[ ]</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Performance Share Unit Award Agreement (as may be amended, the “Agreement”) is granted to you (“Employee”) effective as of [ ], 202[ ] (the “Grant Date”) by Schlumberger Limited (the “Company”), pursuant to the Schlumberger 2017 Omnibus Stock Incentive Plan, as may be amended (the “Plan”).</w:t>
      </w:r>
    </w:p>
    <w:p>
      <w:pPr>
        <w:spacing w:after="0" w:line="173" w:lineRule="exact"/>
        <w:rPr>
          <w:sz w:val="20"/>
          <w:szCs w:val="20"/>
          <w:color w:val="auto"/>
        </w:rPr>
      </w:pPr>
    </w:p>
    <w:p>
      <w:pPr>
        <w:jc w:val="both"/>
        <w:ind w:firstLine="872"/>
        <w:spacing w:after="0" w:line="248" w:lineRule="auto"/>
        <w:tabs>
          <w:tab w:leader="none" w:pos="1674"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70" w:lineRule="exact"/>
        <w:rPr>
          <w:rFonts w:ascii="Times New Roman" w:cs="Times New Roman" w:eastAsia="Times New Roman" w:hAnsi="Times New Roman"/>
          <w:sz w:val="21"/>
          <w:szCs w:val="21"/>
          <w:color w:val="auto"/>
        </w:rPr>
      </w:pPr>
    </w:p>
    <w:p>
      <w:pPr>
        <w:ind w:firstLine="872"/>
        <w:spacing w:after="0" w:line="258" w:lineRule="auto"/>
        <w:tabs>
          <w:tab w:leader="none" w:pos="167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Performance Share Units</w:t>
      </w:r>
      <w:r>
        <w:rPr>
          <w:rFonts w:ascii="Times New Roman" w:cs="Times New Roman" w:eastAsia="Times New Roman" w:hAnsi="Times New Roman"/>
          <w:sz w:val="22"/>
          <w:szCs w:val="22"/>
          <w:color w:val="auto"/>
        </w:rPr>
        <w:t>. The period of time from and including January 1, 202[ ] to December 31, 202[ ] is the “Performance Period.” The Performance Share Units will vest as follows:</w:t>
      </w:r>
    </w:p>
    <w:p>
      <w:pPr>
        <w:spacing w:after="0" w:line="158" w:lineRule="exact"/>
        <w:rPr>
          <w:sz w:val="20"/>
          <w:szCs w:val="20"/>
          <w:color w:val="auto"/>
        </w:rPr>
      </w:pPr>
    </w:p>
    <w:p>
      <w:pPr>
        <w:jc w:val="both"/>
        <w:ind w:firstLine="872"/>
        <w:spacing w:after="0" w:line="233" w:lineRule="auto"/>
        <w:tabs>
          <w:tab w:leader="none" w:pos="175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Friday following the first meeting of the Compensation Committee of the Board of Directors of the Company (the “Committee”) in 202[ ] (the “First Committee Meeting”), or as soon thereafter as reasonably practicable (such date, the “initial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initial Vesting Date and has not experienced a Termination of Employment (as defined in Section 12(y) below) as of such date. If, immediately following the First Committee Meeting, not all companies comprising the ROCE Peer Group (as defined in Attachment I) have publicly disclosed the full-year financial information required to determine the number of shares of Common Stock earned, the Committee may elect, at its discretion, to award to Employee a specified percentage of the number of such shares initially determined to be earned. The percentage of shares initially issued to Employee will be based on available reported results of the ROCE Peer Group as of the First Committee Meeting, and the issuance of such shares will occur as soon after the First Committee</w:t>
      </w:r>
    </w:p>
    <w:p>
      <w:pPr>
        <w:spacing w:after="0" w:line="190"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7" w:name="page78"/>
    <w:bookmarkEnd w:id="77"/>
    <w:p>
      <w:pPr>
        <w:jc w:val="both"/>
        <w:spacing w:after="0" w:line="234" w:lineRule="auto"/>
        <w:rPr>
          <w:sz w:val="20"/>
          <w:szCs w:val="20"/>
          <w:color w:val="auto"/>
        </w:rPr>
      </w:pPr>
      <w:r>
        <w:rPr>
          <w:rFonts w:ascii="Times New Roman" w:cs="Times New Roman" w:eastAsia="Times New Roman" w:hAnsi="Times New Roman"/>
          <w:sz w:val="22"/>
          <w:szCs w:val="22"/>
          <w:color w:val="auto"/>
        </w:rPr>
        <w:t>Meeting as administratively practicable. Any additional shares of Common Stock earned will be issued to Employee as soon as reasonably practicable following the public release by all ROCE Peer Group companies of the requisite full-year financial results necessary to determine the final number of shares earned. The date of the issuance of such additional shares will be a “subsequent Vesting Date” for purposes of this Agreement). Except as provided in Sections 2(b) and 2(c) below, if there is any Termination of Employment during the period from and between the Grant Date until and including the initial Vesting Date, Employee will immediately and automatically forfeit all Performance Share Units. The Committee may delegate, to an officer of the Company or to a subcommittee of the Committee, its authority to determine whether Employee has incurred a Termination of Employment, the cause of such termination or any related issue, and any such determination by the Committee or its delegate will be final and binding on all parties.</w:t>
      </w:r>
    </w:p>
    <w:p>
      <w:pPr>
        <w:spacing w:after="0" w:line="183" w:lineRule="exact"/>
        <w:rPr>
          <w:sz w:val="20"/>
          <w:szCs w:val="20"/>
          <w:color w:val="auto"/>
        </w:rPr>
      </w:pPr>
    </w:p>
    <w:p>
      <w:pPr>
        <w:jc w:val="both"/>
        <w:ind w:left="880" w:hanging="8"/>
        <w:spacing w:after="0" w:line="261" w:lineRule="auto"/>
        <w:tabs>
          <w:tab w:leader="none" w:pos="178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If Employee’s Termination of Employment occurs due to Retirement (as defined in Section 12(q) below), then the Performance Share Units will vest in accordance with Section 2(a) above as if Employee had remained continuously employed by the Company or any of its Subsidiaries from the Grant Date through the initial Vesting Date.</w:t>
      </w:r>
    </w:p>
    <w:p>
      <w:pPr>
        <w:spacing w:after="0" w:line="157" w:lineRule="exact"/>
        <w:rPr>
          <w:rFonts w:ascii="Times New Roman" w:cs="Times New Roman" w:eastAsia="Times New Roman" w:hAnsi="Times New Roman"/>
          <w:sz w:val="21"/>
          <w:szCs w:val="21"/>
          <w:color w:val="auto"/>
        </w:rPr>
      </w:pPr>
    </w:p>
    <w:p>
      <w:pPr>
        <w:jc w:val="both"/>
        <w:ind w:left="880" w:firstLine="789"/>
        <w:spacing w:after="0" w:line="235" w:lineRule="auto"/>
        <w:tabs>
          <w:tab w:leader="none" w:pos="2589"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Employee’s Termination of Employment occurs due to Early Retirement (as defined in Section 12(i) below) or Special Retirement (as defined in Section 12(t) below, then, subject to the approval of (x) the Committee, if Employee is an executive officer of the Company at the time of Employee’s election to retire, or (y) the Retirement Committee (as defined in Section 12(r)), if Employee is not an executive officer of the Company at the time of Employee’s election to retire, the Performance Share Units will vest in accordance with Section 2(a) above as if Employee had remained continuously employed by the Company or any of its Subsidiaries from the Grant Date through the initial Vesting Date. Any approval under clauses (x) or (y) may be granted or withheld in the sole discretion of the Committee or the Retirement Committee, as applicable.</w:t>
      </w:r>
    </w:p>
    <w:p>
      <w:pPr>
        <w:spacing w:after="0" w:line="178" w:lineRule="exact"/>
        <w:rPr>
          <w:rFonts w:ascii="Times New Roman" w:cs="Times New Roman" w:eastAsia="Times New Roman" w:hAnsi="Times New Roman"/>
          <w:sz w:val="22"/>
          <w:szCs w:val="22"/>
          <w:color w:val="auto"/>
        </w:rPr>
      </w:pPr>
    </w:p>
    <w:p>
      <w:pPr>
        <w:jc w:val="both"/>
        <w:ind w:firstLine="872"/>
        <w:spacing w:after="0" w:line="244" w:lineRule="auto"/>
        <w:tabs>
          <w:tab w:leader="none" w:pos="175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initial Vesting Date.</w:t>
      </w:r>
    </w:p>
    <w:p>
      <w:pPr>
        <w:spacing w:after="0" w:line="173" w:lineRule="exact"/>
        <w:rPr>
          <w:sz w:val="20"/>
          <w:szCs w:val="20"/>
          <w:color w:val="auto"/>
        </w:rPr>
      </w:pPr>
    </w:p>
    <w:p>
      <w:pPr>
        <w:jc w:val="both"/>
        <w:ind w:firstLine="872"/>
        <w:spacing w:after="0" w:line="238" w:lineRule="auto"/>
        <w:tabs>
          <w:tab w:leader="none" w:pos="167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Performance Share Units</w:t>
      </w:r>
      <w:r>
        <w:rPr>
          <w:rFonts w:ascii="Times New Roman" w:cs="Times New Roman" w:eastAsia="Times New Roman" w:hAnsi="Times New Roman"/>
          <w:sz w:val="22"/>
          <w:szCs w:val="22"/>
          <w:color w:val="auto"/>
        </w:rPr>
        <w:t xml:space="preserve">. Subject to Section 2(a) above, payment of vested Performance Share Units will be made in shares of Common Stock as soon as administratively practicable, but in no event later than 2-1/2 months following the end of the initial Vesting Date (the date of any such payment, the “Settlement Date”);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Committee may, in its sole and absolute discretion, settle the vested Performance Share Units in cash based on the Fair Market Value of the shares of Common Stock on the Settlement Date.</w:t>
      </w:r>
    </w:p>
    <w:p>
      <w:pPr>
        <w:spacing w:after="0" w:line="176"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Performance Share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2"/>
        <w:spacing w:after="0" w:line="239" w:lineRule="auto"/>
        <w:tabs>
          <w:tab w:leader="none" w:pos="175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the Performance Period and up to and including the initial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w:t>
      </w:r>
    </w:p>
    <w:p>
      <w:pPr>
        <w:spacing w:after="0" w:line="183"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representatives of Employee will thereafter have any further rights or interest in the unvested Performance Share Units.</w:t>
      </w:r>
    </w:p>
    <w:p>
      <w:pPr>
        <w:spacing w:after="0" w:line="206" w:lineRule="exact"/>
        <w:rPr>
          <w:sz w:val="20"/>
          <w:szCs w:val="20"/>
          <w:color w:val="auto"/>
        </w:rPr>
      </w:pPr>
    </w:p>
    <w:p>
      <w:pPr>
        <w:jc w:val="both"/>
        <w:ind w:firstLine="872"/>
        <w:spacing w:after="0" w:line="238" w:lineRule="auto"/>
        <w:tabs>
          <w:tab w:leader="none" w:pos="176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in this Agreement to the contrary, if at any time during the Performance Period and up to and including the subsequent Vesting Date, Employee engages in Detrimental Activity (as defined in Section 12(f)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7" w:lineRule="exact"/>
        <w:rPr>
          <w:sz w:val="20"/>
          <w:szCs w:val="20"/>
          <w:color w:val="auto"/>
        </w:rPr>
      </w:pPr>
    </w:p>
    <w:p>
      <w:pPr>
        <w:ind w:left="1680" w:hanging="808"/>
        <w:spacing w:after="0"/>
        <w:tabs>
          <w:tab w:leader="none" w:pos="168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Performance Share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2"/>
        <w:spacing w:after="0" w:line="236" w:lineRule="auto"/>
        <w:tabs>
          <w:tab w:leader="none" w:pos="175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1" w:lineRule="exact"/>
        <w:rPr>
          <w:rFonts w:ascii="Times New Roman" w:cs="Times New Roman" w:eastAsia="Times New Roman" w:hAnsi="Times New Roman"/>
          <w:sz w:val="22"/>
          <w:szCs w:val="22"/>
          <w:color w:val="auto"/>
        </w:rPr>
      </w:pPr>
    </w:p>
    <w:p>
      <w:pPr>
        <w:jc w:val="both"/>
        <w:ind w:firstLine="872"/>
        <w:spacing w:after="0" w:line="236" w:lineRule="auto"/>
        <w:tabs>
          <w:tab w:leader="none" w:pos="1763"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81" w:lineRule="exact"/>
        <w:rPr>
          <w:sz w:val="20"/>
          <w:szCs w:val="20"/>
          <w:color w:val="auto"/>
        </w:rPr>
      </w:pPr>
    </w:p>
    <w:p>
      <w:pPr>
        <w:jc w:val="both"/>
        <w:ind w:firstLine="872"/>
        <w:spacing w:after="0" w:line="244" w:lineRule="auto"/>
        <w:tabs>
          <w:tab w:leader="none" w:pos="167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73"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and Social Insurance Withholding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2"/>
        <w:spacing w:after="0" w:line="235" w:lineRule="auto"/>
        <w:tabs>
          <w:tab w:leader="none" w:pos="175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p>
      <w:pPr>
        <w:ind w:right="20"/>
        <w:spacing w:after="0" w:line="258" w:lineRule="auto"/>
        <w:rPr>
          <w:sz w:val="20"/>
          <w:szCs w:val="20"/>
          <w:color w:val="auto"/>
        </w:rPr>
      </w:pPr>
      <w:r>
        <w:rPr>
          <w:rFonts w:ascii="Times New Roman" w:cs="Times New Roman" w:eastAsia="Times New Roman" w:hAnsi="Times New Roman"/>
          <w:sz w:val="22"/>
          <w:szCs w:val="22"/>
          <w:color w:val="auto"/>
        </w:rPr>
        <w:t>subsequent sale of any shares of Common Stock acquired at vesting, and (ii) does not commit to structure the terms of the grant or any aspect of the Performance Share Units to reduce or eliminate Employee’s liability for the Tax-Related Items.</w:t>
      </w:r>
    </w:p>
    <w:p>
      <w:pPr>
        <w:spacing w:after="0" w:line="158" w:lineRule="exact"/>
        <w:rPr>
          <w:sz w:val="20"/>
          <w:szCs w:val="20"/>
          <w:color w:val="auto"/>
        </w:rPr>
      </w:pPr>
    </w:p>
    <w:p>
      <w:pPr>
        <w:jc w:val="both"/>
        <w:ind w:firstLine="872"/>
        <w:spacing w:after="0" w:line="235" w:lineRule="auto"/>
        <w:tabs>
          <w:tab w:leader="none" w:pos="176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 (iii) 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78" w:lineRule="exact"/>
        <w:rPr>
          <w:rFonts w:ascii="Times New Roman" w:cs="Times New Roman" w:eastAsia="Times New Roman" w:hAnsi="Times New Roman"/>
          <w:sz w:val="22"/>
          <w:szCs w:val="22"/>
          <w:color w:val="auto"/>
        </w:rPr>
      </w:pPr>
    </w:p>
    <w:p>
      <w:pPr>
        <w:jc w:val="both"/>
        <w:ind w:firstLine="872"/>
        <w:spacing w:after="0" w:line="245" w:lineRule="auto"/>
        <w:tabs>
          <w:tab w:leader="none" w:pos="1751"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77" w:lineRule="exact"/>
        <w:rPr>
          <w:sz w:val="20"/>
          <w:szCs w:val="20"/>
          <w:color w:val="auto"/>
        </w:rPr>
      </w:pPr>
    </w:p>
    <w:p>
      <w:pPr>
        <w:jc w:val="both"/>
        <w:ind w:firstLine="872"/>
        <w:spacing w:after="0" w:line="239" w:lineRule="auto"/>
        <w:tabs>
          <w:tab w:leader="none" w:pos="167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Capital Structure</w:t>
      </w:r>
      <w:r>
        <w:rPr>
          <w:rFonts w:ascii="Times New Roman" w:cs="Times New Roman" w:eastAsia="Times New Roman" w:hAnsi="Times New Roman"/>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76"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Intellectual  Property  and  Noncompetition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Employee  acknowledges  that</w:t>
      </w:r>
    </w:p>
    <w:p>
      <w:pPr>
        <w:spacing w:after="0" w:line="18" w:lineRule="exact"/>
        <w:rPr>
          <w:rFonts w:ascii="Times New Roman" w:cs="Times New Roman" w:eastAsia="Times New Roman" w:hAnsi="Times New Roman"/>
          <w:sz w:val="22"/>
          <w:szCs w:val="22"/>
          <w:color w:val="auto"/>
        </w:rPr>
      </w:pPr>
    </w:p>
    <w:p>
      <w:pPr>
        <w:jc w:val="both"/>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Employee is 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p>
      <w:pPr>
        <w:jc w:val="both"/>
        <w:ind w:left="-872" w:firstLine="872"/>
        <w:spacing w:after="0" w:line="236" w:lineRule="auto"/>
        <w:tabs>
          <w:tab w:leader="none" w:pos="91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Securities Laws</w:t>
      </w:r>
      <w:r>
        <w:rPr>
          <w:rFonts w:ascii="Times New Roman" w:cs="Times New Roman" w:eastAsia="Times New Roman" w:hAnsi="Times New Roman"/>
          <w:sz w:val="22"/>
          <w:szCs w:val="22"/>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81"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Rights</w:t>
      </w:r>
      <w:r>
        <w:rPr>
          <w:rFonts w:ascii="Times New Roman" w:cs="Times New Roman" w:eastAsia="Times New Roman" w:hAnsi="Times New Roman"/>
          <w:sz w:val="22"/>
          <w:szCs w:val="22"/>
          <w:color w:val="auto"/>
        </w:rPr>
        <w:t>. Nothing in this Agreement or the Plan may be construed to:</w:t>
      </w:r>
    </w:p>
    <w:p>
      <w:pPr>
        <w:spacing w:after="0" w:line="206" w:lineRule="exact"/>
        <w:rPr>
          <w:sz w:val="20"/>
          <w:szCs w:val="20"/>
          <w:color w:val="auto"/>
        </w:rPr>
      </w:pPr>
    </w:p>
    <w:p>
      <w:pPr>
        <w:ind w:left="-872" w:right="20" w:firstLine="872"/>
        <w:spacing w:after="0" w:line="258" w:lineRule="auto"/>
        <w:tabs>
          <w:tab w:leader="none" w:pos="88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58" w:lineRule="exact"/>
        <w:rPr>
          <w:rFonts w:ascii="Times New Roman" w:cs="Times New Roman" w:eastAsia="Times New Roman" w:hAnsi="Times New Roman"/>
          <w:sz w:val="22"/>
          <w:szCs w:val="22"/>
          <w:color w:val="auto"/>
        </w:rPr>
      </w:pPr>
    </w:p>
    <w:p>
      <w:pPr>
        <w:ind w:left="-872" w:right="20" w:firstLine="872"/>
        <w:spacing w:after="0" w:line="258" w:lineRule="auto"/>
        <w:tabs>
          <w:tab w:leader="none" w:pos="89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Employee or any other person or entity any interest in any fund or in any specified asset or assets of the Company (other than the Performance Share Units); or</w:t>
      </w:r>
    </w:p>
    <w:p>
      <w:pPr>
        <w:spacing w:after="0" w:line="158" w:lineRule="exact"/>
        <w:rPr>
          <w:rFonts w:ascii="Times New Roman" w:cs="Times New Roman" w:eastAsia="Times New Roman" w:hAnsi="Times New Roman"/>
          <w:sz w:val="22"/>
          <w:szCs w:val="22"/>
          <w:color w:val="auto"/>
        </w:rPr>
      </w:pPr>
    </w:p>
    <w:p>
      <w:pPr>
        <w:ind w:left="-872" w:firstLine="872"/>
        <w:spacing w:after="0" w:line="258" w:lineRule="auto"/>
        <w:tabs>
          <w:tab w:leader="none" w:pos="88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confer upon Employee or any other person or entity the right to continue in the employment or service of the Company or any Subsidiary.</w:t>
      </w:r>
    </w:p>
    <w:p>
      <w:pPr>
        <w:spacing w:after="0" w:line="158" w:lineRule="exact"/>
        <w:rPr>
          <w:sz w:val="20"/>
          <w:szCs w:val="20"/>
          <w:color w:val="auto"/>
        </w:rPr>
      </w:pPr>
    </w:p>
    <w:p>
      <w:pPr>
        <w:ind w:left="908" w:hanging="908"/>
        <w:spacing w:after="0"/>
        <w:tabs>
          <w:tab w:leader="none" w:pos="90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8" w:hanging="888"/>
        <w:spacing w:after="0"/>
        <w:tabs>
          <w:tab w:leader="none" w:pos="88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is defined in the introduction.</w:t>
      </w:r>
    </w:p>
    <w:p>
      <w:pPr>
        <w:spacing w:after="0" w:line="206"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 Policy” is defined in Section 14.</w:t>
      </w:r>
    </w:p>
    <w:p>
      <w:pPr>
        <w:spacing w:after="0" w:line="206" w:lineRule="exact"/>
        <w:rPr>
          <w:rFonts w:ascii="Times New Roman" w:cs="Times New Roman" w:eastAsia="Times New Roman" w:hAnsi="Times New Roman"/>
          <w:sz w:val="22"/>
          <w:szCs w:val="22"/>
          <w:color w:val="auto"/>
        </w:rPr>
      </w:pPr>
    </w:p>
    <w:p>
      <w:pPr>
        <w:ind w:left="888" w:hanging="888"/>
        <w:spacing w:after="0"/>
        <w:tabs>
          <w:tab w:leader="none" w:pos="88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is defined in Section 2(a).</w:t>
      </w:r>
    </w:p>
    <w:p>
      <w:pPr>
        <w:spacing w:after="0" w:line="206"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is defined in Section 1.</w:t>
      </w:r>
    </w:p>
    <w:p>
      <w:pPr>
        <w:spacing w:after="0" w:line="206" w:lineRule="exact"/>
        <w:rPr>
          <w:rFonts w:ascii="Times New Roman" w:cs="Times New Roman" w:eastAsia="Times New Roman" w:hAnsi="Times New Roman"/>
          <w:sz w:val="22"/>
          <w:szCs w:val="22"/>
          <w:color w:val="auto"/>
        </w:rPr>
      </w:pPr>
    </w:p>
    <w:p>
      <w:pPr>
        <w:ind w:left="888" w:hanging="888"/>
        <w:spacing w:after="0"/>
        <w:tabs>
          <w:tab w:leader="none" w:pos="88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is defined in the introduction.</w:t>
      </w:r>
    </w:p>
    <w:p>
      <w:pPr>
        <w:spacing w:after="0" w:line="206" w:lineRule="exact"/>
        <w:rPr>
          <w:rFonts w:ascii="Times New Roman" w:cs="Times New Roman" w:eastAsia="Times New Roman" w:hAnsi="Times New Roman"/>
          <w:sz w:val="22"/>
          <w:szCs w:val="22"/>
          <w:color w:val="auto"/>
        </w:rPr>
      </w:pPr>
    </w:p>
    <w:p>
      <w:pPr>
        <w:jc w:val="both"/>
        <w:ind w:left="-872" w:firstLine="872"/>
        <w:spacing w:after="0" w:line="233" w:lineRule="auto"/>
        <w:tabs>
          <w:tab w:leader="none" w:pos="856"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any Direct Competitor (as defined in Section 12(g) below); (iii) engages or employs, or solicits or contacts with a view to the engagement or employment of, any employee of the Company or its Subsidiaries; (iv) canvasses, solicits, approaches or entices away or causes to be canvassed, solicited, approached or enticed away from the Company or its Subsidiaries any customer of any of such entities during the Performance Period and up to and including the subsequent Vesting Date; (v) is determined to have engaged (whether or not prior to Termination of Employment) in either gross misconduct or criminal activity that is, or that could reasonably be expected to be, harmful to the Company or a Subsidiary; or (vi) takes any action that otherwise harms, or that could reasonably be expected to harm, the business interests, reputation, or goodwill of the Company or its Subsidiaries. The Committee may delegate, to an</w:t>
      </w:r>
    </w:p>
    <w:p>
      <w:pPr>
        <w:spacing w:after="0" w:line="188" w:lineRule="exact"/>
        <w:rPr>
          <w:sz w:val="20"/>
          <w:szCs w:val="20"/>
          <w:color w:val="auto"/>
        </w:rPr>
      </w:pPr>
    </w:p>
    <w:p>
      <w:pPr>
        <w:ind w:left="9648"/>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158115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44" w:right="339" w:bottom="1440" w:gutter="0" w:footer="0" w:header="0"/>
        </w:sectPr>
      </w:pPr>
    </w:p>
    <w:bookmarkStart w:id="81" w:name="page82"/>
    <w:bookmarkEnd w:id="81"/>
    <w:p>
      <w:pPr>
        <w:spacing w:after="0" w:line="258" w:lineRule="auto"/>
        <w:rPr>
          <w:sz w:val="20"/>
          <w:szCs w:val="20"/>
          <w:color w:val="auto"/>
        </w:rPr>
      </w:pPr>
      <w:r>
        <w:rPr>
          <w:rFonts w:ascii="Times New Roman" w:cs="Times New Roman" w:eastAsia="Times New Roman" w:hAnsi="Times New Roman"/>
          <w:sz w:val="22"/>
          <w:szCs w:val="22"/>
          <w:color w:val="auto"/>
        </w:rPr>
        <w:t>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158" w:lineRule="exact"/>
        <w:rPr>
          <w:sz w:val="20"/>
          <w:szCs w:val="20"/>
          <w:color w:val="auto"/>
        </w:rPr>
      </w:pPr>
    </w:p>
    <w:p>
      <w:pPr>
        <w:jc w:val="both"/>
        <w:ind w:firstLine="872"/>
        <w:spacing w:after="0" w:line="239" w:lineRule="auto"/>
        <w:tabs>
          <w:tab w:leader="none" w:pos="183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Competitor” means any of the following: (i) Halliburton Company, Weatherford International plc, Baker Hughes Company, TechnipFMC plc, NOV Inc., and any other oilfield equipment and services entity; and (ii) any entity engaged in seismic processing and reservoir geosciences services to the oil and natural gas industry, including in all cases in (i) and (ii) above, any and all of their parents, subsidiaries, affiliates, joint ventures, divisions, successors, or assigns.</w:t>
      </w:r>
    </w:p>
    <w:p>
      <w:pPr>
        <w:spacing w:after="0" w:line="180" w:lineRule="exact"/>
        <w:rPr>
          <w:rFonts w:ascii="Times New Roman" w:cs="Times New Roman" w:eastAsia="Times New Roman" w:hAnsi="Times New Roman"/>
          <w:sz w:val="22"/>
          <w:szCs w:val="22"/>
          <w:color w:val="auto"/>
        </w:rPr>
      </w:pPr>
    </w:p>
    <w:p>
      <w:pPr>
        <w:jc w:val="both"/>
        <w:ind w:firstLine="872"/>
        <w:spacing w:after="0" w:line="244" w:lineRule="auto"/>
        <w:tabs>
          <w:tab w:leader="none" w:pos="176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73" w:lineRule="exact"/>
        <w:rPr>
          <w:rFonts w:ascii="Times New Roman" w:cs="Times New Roman" w:eastAsia="Times New Roman" w:hAnsi="Times New Roman"/>
          <w:sz w:val="22"/>
          <w:szCs w:val="22"/>
          <w:color w:val="auto"/>
        </w:rPr>
      </w:pPr>
    </w:p>
    <w:p>
      <w:pPr>
        <w:ind w:firstLine="872"/>
        <w:spacing w:after="0" w:line="258" w:lineRule="auto"/>
        <w:tabs>
          <w:tab w:leader="none" w:pos="1715"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“Early Retirement” means Employee’s voluntary election to retire from employment with the Company and its Subsidiaries at any time after Employee has reached both the age of 55 and 20 years of service.</w:t>
      </w:r>
    </w:p>
    <w:p>
      <w:pPr>
        <w:spacing w:after="0" w:line="158" w:lineRule="exact"/>
        <w:rPr>
          <w:rFonts w:ascii="Times New Roman" w:cs="Times New Roman" w:eastAsia="Times New Roman" w:hAnsi="Times New Roman"/>
          <w:sz w:val="22"/>
          <w:szCs w:val="22"/>
          <w:color w:val="auto"/>
        </w:rPr>
      </w:pPr>
    </w:p>
    <w:p>
      <w:pPr>
        <w:ind w:left="1720" w:hanging="848"/>
        <w:spacing w:after="0"/>
        <w:tabs>
          <w:tab w:leader="none" w:pos="17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is defined in the introduction.</w:t>
      </w:r>
    </w:p>
    <w:p>
      <w:pPr>
        <w:spacing w:after="0" w:line="206" w:lineRule="exact"/>
        <w:rPr>
          <w:rFonts w:ascii="Times New Roman" w:cs="Times New Roman" w:eastAsia="Times New Roman" w:hAnsi="Times New Roman"/>
          <w:sz w:val="22"/>
          <w:szCs w:val="22"/>
          <w:color w:val="auto"/>
        </w:rPr>
      </w:pPr>
    </w:p>
    <w:p>
      <w:pPr>
        <w:jc w:val="both"/>
        <w:ind w:firstLine="872"/>
        <w:spacing w:after="0" w:line="238" w:lineRule="auto"/>
        <w:tabs>
          <w:tab w:leader="none" w:pos="176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6" w:lineRule="exact"/>
        <w:rPr>
          <w:rFonts w:ascii="Times New Roman" w:cs="Times New Roman" w:eastAsia="Times New Roman" w:hAnsi="Times New Roman"/>
          <w:sz w:val="22"/>
          <w:szCs w:val="22"/>
          <w:color w:val="auto"/>
        </w:rPr>
      </w:pPr>
    </w:p>
    <w:p>
      <w:pPr>
        <w:ind w:left="1720" w:hanging="848"/>
        <w:spacing w:after="0"/>
        <w:tabs>
          <w:tab w:leader="none" w:pos="17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Date” is defined in the introduction.</w:t>
      </w:r>
    </w:p>
    <w:p>
      <w:pPr>
        <w:spacing w:after="0" w:line="206" w:lineRule="exact"/>
        <w:rPr>
          <w:rFonts w:ascii="Times New Roman" w:cs="Times New Roman" w:eastAsia="Times New Roman" w:hAnsi="Times New Roman"/>
          <w:sz w:val="22"/>
          <w:szCs w:val="22"/>
          <w:color w:val="auto"/>
        </w:rPr>
      </w:pPr>
    </w:p>
    <w:p>
      <w:pPr>
        <w:ind w:left="1840" w:hanging="968"/>
        <w:spacing w:after="0"/>
        <w:tabs>
          <w:tab w:leader="none" w:pos="18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Vesting Date” is defined in Section 2(a).</w:t>
      </w:r>
    </w:p>
    <w:p>
      <w:pPr>
        <w:spacing w:after="0" w:line="206"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Period” is defined in Section 2.</w:t>
      </w:r>
    </w:p>
    <w:p>
      <w:pPr>
        <w:spacing w:after="0" w:line="206"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 Units” is defined in Section 1.</w:t>
      </w:r>
    </w:p>
    <w:p>
      <w:pPr>
        <w:spacing w:after="0" w:line="206"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is defined in the introduction.</w:t>
      </w:r>
    </w:p>
    <w:p>
      <w:pPr>
        <w:spacing w:after="0" w:line="206" w:lineRule="exact"/>
        <w:rPr>
          <w:rFonts w:ascii="Times New Roman" w:cs="Times New Roman" w:eastAsia="Times New Roman" w:hAnsi="Times New Roman"/>
          <w:sz w:val="22"/>
          <w:szCs w:val="22"/>
          <w:color w:val="auto"/>
        </w:rPr>
      </w:pPr>
    </w:p>
    <w:p>
      <w:pPr>
        <w:ind w:firstLine="872"/>
        <w:spacing w:after="0" w:line="258" w:lineRule="auto"/>
        <w:tabs>
          <w:tab w:leader="none" w:pos="176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means Employee’s voluntary election to retire from employment with the Company and its Subsidiaries at any time after Employee has reached both the age of 60 and 25 years of service.</w:t>
      </w:r>
    </w:p>
    <w:p>
      <w:pPr>
        <w:spacing w:after="0" w:line="158" w:lineRule="exact"/>
        <w:rPr>
          <w:rFonts w:ascii="Times New Roman" w:cs="Times New Roman" w:eastAsia="Times New Roman" w:hAnsi="Times New Roman"/>
          <w:sz w:val="22"/>
          <w:szCs w:val="22"/>
          <w:color w:val="auto"/>
        </w:rPr>
      </w:pPr>
    </w:p>
    <w:p>
      <w:pPr>
        <w:ind w:firstLine="872"/>
        <w:spacing w:after="0" w:line="258" w:lineRule="auto"/>
        <w:tabs>
          <w:tab w:leader="none" w:pos="172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Committee” means a committee consisting of the Company’s Vice President of Human Resources, the HR Director Total Talent Management and the HR Director Total Rewards.</w:t>
      </w:r>
    </w:p>
    <w:p>
      <w:pPr>
        <w:spacing w:after="0" w:line="158" w:lineRule="exact"/>
        <w:rPr>
          <w:rFonts w:ascii="Times New Roman" w:cs="Times New Roman" w:eastAsia="Times New Roman" w:hAnsi="Times New Roman"/>
          <w:sz w:val="22"/>
          <w:szCs w:val="22"/>
          <w:color w:val="auto"/>
        </w:rPr>
      </w:pPr>
    </w:p>
    <w:p>
      <w:pPr>
        <w:ind w:left="1740" w:hanging="868"/>
        <w:spacing w:after="0"/>
        <w:tabs>
          <w:tab w:leader="none" w:pos="17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Date” is defined in Section 3.</w:t>
      </w:r>
    </w:p>
    <w:p>
      <w:pPr>
        <w:spacing w:after="0" w:line="209"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2" w:name="page83"/>
    <w:bookmarkEnd w:id="82"/>
    <w:p>
      <w:pPr>
        <w:ind w:left="-872" w:firstLine="872"/>
        <w:spacing w:after="0" w:line="258" w:lineRule="auto"/>
        <w:tabs>
          <w:tab w:leader="none" w:pos="84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Retirement” means Employee’s voluntary election to retire from employment with the Company and its Subsidiaries at any time after Employee has reached both the age of 50 and 10 years of service.</w:t>
      </w:r>
    </w:p>
    <w:p>
      <w:pPr>
        <w:spacing w:after="0" w:line="158"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Vesting Date” is defined in Section 2(a).</w:t>
      </w:r>
    </w:p>
    <w:p>
      <w:pPr>
        <w:spacing w:after="0" w:line="206" w:lineRule="exact"/>
        <w:rPr>
          <w:rFonts w:ascii="Times New Roman" w:cs="Times New Roman" w:eastAsia="Times New Roman" w:hAnsi="Times New Roman"/>
          <w:sz w:val="22"/>
          <w:szCs w:val="22"/>
          <w:color w:val="auto"/>
        </w:rPr>
      </w:pPr>
    </w:p>
    <w:p>
      <w:pPr>
        <w:jc w:val="both"/>
        <w:ind w:left="-872" w:firstLine="872"/>
        <w:spacing w:after="0" w:line="239" w:lineRule="auto"/>
        <w:tabs>
          <w:tab w:leader="none" w:pos="89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80" w:lineRule="exact"/>
        <w:rPr>
          <w:rFonts w:ascii="Times New Roman" w:cs="Times New Roman" w:eastAsia="Times New Roman" w:hAnsi="Times New Roman"/>
          <w:sz w:val="22"/>
          <w:szCs w:val="22"/>
          <w:color w:val="auto"/>
        </w:rPr>
      </w:pPr>
    </w:p>
    <w:p>
      <w:pPr>
        <w:ind w:left="948" w:hanging="948"/>
        <w:spacing w:after="0"/>
        <w:tabs>
          <w:tab w:leader="none" w:pos="94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Date” is defined in Section 7(b).</w:t>
      </w:r>
    </w:p>
    <w:p>
      <w:pPr>
        <w:spacing w:after="0" w:line="206"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“Tax-Related Items” is defined in Section 7(a).</w:t>
      </w:r>
    </w:p>
    <w:p>
      <w:pPr>
        <w:spacing w:after="0" w:line="206" w:lineRule="exact"/>
        <w:rPr>
          <w:rFonts w:ascii="Times New Roman" w:cs="Times New Roman" w:eastAsia="Times New Roman" w:hAnsi="Times New Roman"/>
          <w:sz w:val="22"/>
          <w:szCs w:val="22"/>
          <w:color w:val="auto"/>
        </w:rPr>
      </w:pPr>
    </w:p>
    <w:p>
      <w:pPr>
        <w:jc w:val="both"/>
        <w:ind w:left="-872" w:firstLine="872"/>
        <w:spacing w:after="0" w:line="239" w:lineRule="auto"/>
        <w:tabs>
          <w:tab w:leader="none" w:pos="89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Employment” means the voluntary or involuntary termination of Employee’s employment with the Company and its Subsidiaries for any reason; provided, however, that temporary absences from employment because of illness, vacation or leave of absence and transfers among the Company and its Subsidiaries will not constitute a Termination of Employment.</w:t>
      </w:r>
    </w:p>
    <w:p>
      <w:pPr>
        <w:spacing w:after="0" w:line="180" w:lineRule="exact"/>
        <w:rPr>
          <w:rFonts w:ascii="Times New Roman" w:cs="Times New Roman" w:eastAsia="Times New Roman" w:hAnsi="Times New Roman"/>
          <w:sz w:val="22"/>
          <w:szCs w:val="22"/>
          <w:color w:val="auto"/>
        </w:rPr>
      </w:pPr>
    </w:p>
    <w:p>
      <w:pPr>
        <w:ind w:left="888" w:hanging="888"/>
        <w:spacing w:after="0"/>
        <w:tabs>
          <w:tab w:leader="none" w:pos="88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is defined in Section 5(a).</w:t>
      </w:r>
    </w:p>
    <w:p>
      <w:pPr>
        <w:spacing w:after="0" w:line="206" w:lineRule="exact"/>
        <w:rPr>
          <w:sz w:val="20"/>
          <w:szCs w:val="20"/>
          <w:color w:val="auto"/>
        </w:rPr>
      </w:pPr>
    </w:p>
    <w:p>
      <w:pPr>
        <w:ind w:left="908" w:hanging="908"/>
        <w:spacing w:after="0"/>
        <w:tabs>
          <w:tab w:leader="none" w:pos="90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72" w:firstLine="872"/>
        <w:spacing w:after="0" w:line="282" w:lineRule="auto"/>
        <w:tabs>
          <w:tab w:leader="none" w:pos="88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34" w:lineRule="exact"/>
        <w:rPr>
          <w:rFonts w:ascii="Times New Roman" w:cs="Times New Roman" w:eastAsia="Times New Roman" w:hAnsi="Times New Roman"/>
          <w:sz w:val="21"/>
          <w:szCs w:val="21"/>
          <w:color w:val="auto"/>
        </w:rPr>
      </w:pPr>
    </w:p>
    <w:p>
      <w:pPr>
        <w:jc w:val="both"/>
        <w:ind w:left="-872" w:firstLine="872"/>
        <w:spacing w:after="0" w:line="244" w:lineRule="auto"/>
        <w:tabs>
          <w:tab w:leader="none" w:pos="89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73" w:lineRule="exact"/>
        <w:rPr>
          <w:rFonts w:ascii="Times New Roman" w:cs="Times New Roman" w:eastAsia="Times New Roman" w:hAnsi="Times New Roman"/>
          <w:sz w:val="22"/>
          <w:szCs w:val="22"/>
          <w:color w:val="auto"/>
        </w:rPr>
      </w:pPr>
    </w:p>
    <w:p>
      <w:pPr>
        <w:ind w:left="-872" w:firstLine="872"/>
        <w:spacing w:after="0" w:line="258" w:lineRule="auto"/>
        <w:tabs>
          <w:tab w:leader="none" w:pos="8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invalidity or unenforceability of any provision of this Agreement will not affect the validity or enforceability of any other provision of this Agreement.</w:t>
      </w:r>
    </w:p>
    <w:p>
      <w:pPr>
        <w:spacing w:after="0" w:line="158" w:lineRule="exact"/>
        <w:rPr>
          <w:rFonts w:ascii="Times New Roman" w:cs="Times New Roman" w:eastAsia="Times New Roman" w:hAnsi="Times New Roman"/>
          <w:sz w:val="22"/>
          <w:szCs w:val="22"/>
          <w:color w:val="auto"/>
        </w:rPr>
      </w:pPr>
    </w:p>
    <w:p>
      <w:pPr>
        <w:jc w:val="both"/>
        <w:ind w:left="-872" w:firstLine="872"/>
        <w:spacing w:after="0" w:line="244" w:lineRule="auto"/>
        <w:tabs>
          <w:tab w:leader="none" w:pos="89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73" w:lineRule="exact"/>
        <w:rPr>
          <w:rFonts w:ascii="Times New Roman" w:cs="Times New Roman" w:eastAsia="Times New Roman" w:hAnsi="Times New Roman"/>
          <w:sz w:val="22"/>
          <w:szCs w:val="22"/>
          <w:color w:val="auto"/>
        </w:rPr>
      </w:pPr>
    </w:p>
    <w:p>
      <w:pPr>
        <w:jc w:val="both"/>
        <w:ind w:left="-872" w:firstLine="872"/>
        <w:spacing w:after="0" w:line="244" w:lineRule="auto"/>
        <w:tabs>
          <w:tab w:leader="none" w:pos="8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76" w:lineRule="exact"/>
        <w:rPr>
          <w:sz w:val="20"/>
          <w:szCs w:val="20"/>
          <w:color w:val="auto"/>
        </w:rPr>
      </w:pPr>
    </w:p>
    <w:p>
      <w:pPr>
        <w:ind w:left="9648"/>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158115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44" w:right="339" w:bottom="1440" w:gutter="0" w:footer="0" w:header="0"/>
        </w:sectPr>
      </w:pPr>
    </w:p>
    <w:bookmarkStart w:id="83" w:name="page84"/>
    <w:bookmarkEnd w:id="83"/>
    <w:p>
      <w:pPr>
        <w:ind w:right="20" w:firstLine="872"/>
        <w:spacing w:after="0" w:line="258" w:lineRule="auto"/>
        <w:tabs>
          <w:tab w:leader="none" w:pos="172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and the Company agree to execute such further instruments and to take such further action as may reasonably be necessary to carry out the intent of this Agreement.</w:t>
      </w:r>
    </w:p>
    <w:p>
      <w:pPr>
        <w:spacing w:after="0" w:line="158" w:lineRule="exact"/>
        <w:rPr>
          <w:rFonts w:ascii="Times New Roman" w:cs="Times New Roman" w:eastAsia="Times New Roman" w:hAnsi="Times New Roman"/>
          <w:sz w:val="22"/>
          <w:szCs w:val="22"/>
          <w:color w:val="auto"/>
        </w:rPr>
      </w:pPr>
    </w:p>
    <w:p>
      <w:pPr>
        <w:jc w:val="both"/>
        <w:ind w:firstLine="872"/>
        <w:spacing w:after="0" w:line="235" w:lineRule="auto"/>
        <w:tabs>
          <w:tab w:leader="none" w:pos="176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 (A) 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78" w:lineRule="exact"/>
        <w:rPr>
          <w:rFonts w:ascii="Times New Roman" w:cs="Times New Roman" w:eastAsia="Times New Roman" w:hAnsi="Times New Roman"/>
          <w:sz w:val="22"/>
          <w:szCs w:val="22"/>
          <w:color w:val="auto"/>
        </w:rPr>
      </w:pPr>
    </w:p>
    <w:p>
      <w:pPr>
        <w:jc w:val="both"/>
        <w:ind w:firstLine="872"/>
        <w:spacing w:after="0" w:line="243" w:lineRule="auto"/>
        <w:tabs>
          <w:tab w:leader="none" w:pos="1763"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THE COMPANY HEREBY WAIVE, TO THE FULLEST EXTENT PERMITTED BY LAW, ANY RIGHT TO TRIAL BY JURY OF ANY CLAIM, DEMAND, ACTION, OR CAUSE OF ACTION ARISING OUT OF THIS AGREEMENT OR ANY ATTACHMENT THERETO.</w:t>
      </w:r>
    </w:p>
    <w:p>
      <w:pPr>
        <w:spacing w:after="0" w:line="187" w:lineRule="exact"/>
        <w:rPr>
          <w:sz w:val="20"/>
          <w:szCs w:val="20"/>
          <w:color w:val="auto"/>
        </w:rPr>
      </w:pPr>
    </w:p>
    <w:p>
      <w:pPr>
        <w:jc w:val="both"/>
        <w:ind w:firstLine="872"/>
        <w:spacing w:after="0" w:line="236" w:lineRule="auto"/>
        <w:tabs>
          <w:tab w:leader="none" w:pos="178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you are covered by the Clawback Policy. You acknowledge that if you are covered by such policy, the policy may result in the recoupment of the Performance Share Units, any shares of Common Stock delivered hereunder and any profits realized on the sale of such shares either before, on or after the date on which you become subject to such policy. In</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4" w:name="page85"/>
    <w:bookmarkEnd w:id="84"/>
    <w:p>
      <w:pPr>
        <w:ind w:right="20"/>
        <w:spacing w:after="0" w:line="258" w:lineRule="auto"/>
        <w:rPr>
          <w:sz w:val="20"/>
          <w:szCs w:val="20"/>
          <w:color w:val="auto"/>
        </w:rPr>
      </w:pPr>
      <w:r>
        <w:rPr>
          <w:rFonts w:ascii="Times New Roman" w:cs="Times New Roman" w:eastAsia="Times New Roman" w:hAnsi="Times New Roman"/>
          <w:sz w:val="22"/>
          <w:szCs w:val="22"/>
          <w:color w:val="auto"/>
        </w:rPr>
        <w:t>addition, by acceptance of this award, you agree that any prior awards that have been issued to you pursuant to the Plan or any other incentive plan of the Company are subject to the Clawback Policy.</w:t>
      </w:r>
    </w:p>
    <w:p>
      <w:pPr>
        <w:spacing w:after="0" w:line="158" w:lineRule="exact"/>
        <w:rPr>
          <w:sz w:val="20"/>
          <w:szCs w:val="20"/>
          <w:color w:val="auto"/>
        </w:rPr>
      </w:pPr>
    </w:p>
    <w:p>
      <w:pPr>
        <w:jc w:val="both"/>
        <w:ind w:firstLine="872"/>
        <w:spacing w:after="0" w:line="235" w:lineRule="auto"/>
        <w:tabs>
          <w:tab w:leader="none" w:pos="178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 of Award</w:t>
      </w:r>
      <w:r>
        <w:rPr>
          <w:rFonts w:ascii="Times New Roman" w:cs="Times New Roman" w:eastAsia="Times New Roman" w:hAnsi="Times New Roman"/>
          <w:sz w:val="22"/>
          <w:szCs w:val="22"/>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9</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2"/>
          <w:szCs w:val="22"/>
          <w:b w:val="1"/>
          <w:bCs w:val="1"/>
          <w:color w:val="auto"/>
        </w:rPr>
        <w:t>ATTACHMENT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Conditions</w:t>
      </w:r>
    </w:p>
    <w:p>
      <w:pPr>
        <w:spacing w:after="0" w:line="182"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Subject to the provisions of the Agreement and this Attachment I, vesting of the Performance Share Units is conditioned upon the delta between:</w:t>
      </w:r>
    </w:p>
    <w:p>
      <w:pPr>
        <w:spacing w:after="0" w:line="158" w:lineRule="exact"/>
        <w:rPr>
          <w:sz w:val="20"/>
          <w:szCs w:val="20"/>
          <w:color w:val="auto"/>
        </w:rPr>
      </w:pPr>
    </w:p>
    <w:p>
      <w:pPr>
        <w:ind w:firstLine="872"/>
        <w:spacing w:after="0" w:line="258" w:lineRule="auto"/>
        <w:tabs>
          <w:tab w:leader="none" w:pos="117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Schlumberger’s average annual return on capital employed (as further described below, “ROCE”) over the three-year performance period beginning on January 1, 202[ ] and ending on December 31, 202[ ] (the “Performance Period”), and</w:t>
      </w:r>
    </w:p>
    <w:p>
      <w:pPr>
        <w:spacing w:after="0" w:line="158" w:lineRule="exact"/>
        <w:rPr>
          <w:rFonts w:ascii="Times New Roman" w:cs="Times New Roman" w:eastAsia="Times New Roman" w:hAnsi="Times New Roman"/>
          <w:sz w:val="22"/>
          <w:szCs w:val="22"/>
          <w:color w:val="auto"/>
        </w:rPr>
      </w:pPr>
    </w:p>
    <w:p>
      <w:pPr>
        <w:ind w:left="1200" w:hanging="328"/>
        <w:spacing w:after="0"/>
        <w:tabs>
          <w:tab w:leader="none" w:pos="12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annual ROCE of the following companies taken together (collectively, the “ROCE Peer Group”) over</w:t>
      </w:r>
    </w:p>
    <w:p>
      <w:pPr>
        <w:spacing w:after="0" w:line="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the Performance Period: [ ], [ ], [ ] and [ ], in each case with appropriate adjustments for mergers, acquisitions and dispositions, as well as any adjustment for the Company’s relative total shareholder return (as further described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Other Definitions</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“ROCE” is equal to the sum of (i) income from continuing operations, before charges and credits, and (ii) the after-tax impact of net interest expense, divided by the sum of (x) the average quarterly equity, including noncontrolling interests, and (y) the average quarterly net debt.</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Schlumberger’s “average annual ROCE” means the average of the three annual ROCE achievements during the Performance Period. The ROCE Peer Group’s “average annual ROCE” means the average of the three annual ROCE achievements during the Performance Period for the ROCE Peer Group as a whole.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Performance/Payout</w:t>
      </w:r>
    </w:p>
    <w:p>
      <w:pPr>
        <w:spacing w:after="0" w:line="210"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The number of Performance Share Units that will vest will be equal to the product of (i) the target Performance Share Units and (ii) the Payout Factor (with any fractional shares rounded up to the next whole share).</w:t>
      </w:r>
    </w:p>
    <w:p>
      <w:pPr>
        <w:spacing w:after="0" w:line="15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The average annual ROCE achieved by the Company over the Performance Period, and the average annual ROCE achieved by the ROCE Peer Group over the Performance Period, will be certified by the Committee. The Committee has discretion to cap the ROCE payout at 100% based on any material write down attributed to management decisions.</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The Committee is authorized to vest the number of Performance Share Units at the Payout Factor based on Table 1 below. The Payout Factor for ROCE achievement levels between points on this chart will be determined by linear interpolation between the values listed. The maximum payout of Performance Share Units is [ ]% of the Target Performance Share Units.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10</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6" w:name="page87"/>
    <w:bookmarkEnd w:id="86"/>
    <w:p>
      <w:pPr>
        <w:jc w:val="center"/>
        <w:ind w:left="860"/>
        <w:spacing w:after="0"/>
        <w:rPr>
          <w:sz w:val="20"/>
          <w:szCs w:val="20"/>
          <w:color w:val="auto"/>
        </w:rPr>
      </w:pPr>
      <w:r>
        <w:rPr>
          <w:rFonts w:ascii="Times New Roman" w:cs="Times New Roman" w:eastAsia="Times New Roman" w:hAnsi="Times New Roman"/>
          <w:sz w:val="22"/>
          <w:szCs w:val="22"/>
          <w:b w:val="1"/>
          <w:bCs w:val="1"/>
          <w:color w:val="auto"/>
        </w:rPr>
        <w:t>Table 1</w:t>
      </w:r>
    </w:p>
    <w:p>
      <w:pPr>
        <w:spacing w:after="0" w:line="206"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22"/>
          <w:szCs w:val="22"/>
          <w:b w:val="1"/>
          <w:bCs w:val="1"/>
          <w:color w:val="auto"/>
        </w:rPr>
        <w:t>(Applicable if conditions for Turbo Effect (as described below) are not met)</w:t>
      </w:r>
    </w:p>
    <w:p>
      <w:pPr>
        <w:spacing w:after="0" w:line="21" w:lineRule="exact"/>
        <w:rPr>
          <w:sz w:val="20"/>
          <w:szCs w:val="20"/>
          <w:color w:val="auto"/>
        </w:rPr>
      </w:pPr>
    </w:p>
    <w:tbl>
      <w:tblPr>
        <w:tblLayout w:type="fixed"/>
        <w:tblInd w:w="30" w:type="dxa"/>
        <w:tblCellMar>
          <w:top w:w="0" w:type="dxa"/>
          <w:left w:w="0" w:type="dxa"/>
          <w:bottom w:w="0" w:type="dxa"/>
          <w:right w:w="0" w:type="dxa"/>
        </w:tblCellMar>
      </w:tblPr>
      <w:tr>
        <w:trPr>
          <w:trHeight w:val="288"/>
        </w:trPr>
        <w:tc>
          <w:tcPr>
            <w:tcW w:w="3880" w:type="dxa"/>
            <w:vAlign w:val="bottom"/>
            <w:tcBorders>
              <w:top w:val="single" w:sz="8" w:color="auto"/>
              <w:left w:val="single" w:sz="8" w:color="auto"/>
              <w:bottom w:val="single" w:sz="8" w:color="auto"/>
            </w:tcBorders>
          </w:tcPr>
          <w:p>
            <w:pPr>
              <w:jc w:val="center"/>
              <w:ind w:left="2032"/>
              <w:spacing w:after="0"/>
              <w:rPr>
                <w:sz w:val="20"/>
                <w:szCs w:val="20"/>
                <w:color w:val="auto"/>
              </w:rPr>
            </w:pPr>
            <w:r>
              <w:rPr>
                <w:rFonts w:ascii="Times New Roman" w:cs="Times New Roman" w:eastAsia="Times New Roman" w:hAnsi="Times New Roman"/>
                <w:sz w:val="22"/>
                <w:szCs w:val="22"/>
                <w:b w:val="1"/>
                <w:bCs w:val="1"/>
                <w:color w:val="auto"/>
                <w:w w:val="98"/>
              </w:rPr>
              <w:t>ROCE Delta (bps)</w:t>
            </w:r>
          </w:p>
        </w:tc>
        <w:tc>
          <w:tcPr>
            <w:tcW w:w="2140" w:type="dxa"/>
            <w:vAlign w:val="bottom"/>
            <w:tcBorders>
              <w:top w:val="single" w:sz="8" w:color="auto"/>
              <w:bottom w:val="single" w:sz="8" w:color="auto"/>
              <w:right w:val="single" w:sz="8" w:color="auto"/>
            </w:tcBorders>
          </w:tcPr>
          <w:p>
            <w:pPr>
              <w:spacing w:after="0"/>
              <w:rPr>
                <w:sz w:val="24"/>
                <w:szCs w:val="24"/>
                <w:color w:val="auto"/>
              </w:rPr>
            </w:pPr>
          </w:p>
        </w:tc>
        <w:tc>
          <w:tcPr>
            <w:tcW w:w="5220" w:type="dxa"/>
            <w:vAlign w:val="bottom"/>
            <w:tcBorders>
              <w:top w:val="single" w:sz="8" w:color="auto"/>
              <w:bottom w:val="single" w:sz="8" w:color="auto"/>
              <w:right w:val="single" w:sz="8" w:color="auto"/>
            </w:tcBorders>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Payout Factor for Vested Performance Share Units</w:t>
            </w:r>
          </w:p>
        </w:tc>
      </w:tr>
      <w:tr>
        <w:trPr>
          <w:trHeight w:val="286"/>
        </w:trPr>
        <w:tc>
          <w:tcPr>
            <w:tcW w:w="3880" w:type="dxa"/>
            <w:vAlign w:val="bottom"/>
            <w:tcBorders>
              <w:left w:val="single" w:sz="8" w:color="auto"/>
              <w:bottom w:val="single" w:sz="8" w:color="auto"/>
            </w:tcBorders>
          </w:tcPr>
          <w:p>
            <w:pPr>
              <w:jc w:val="center"/>
              <w:ind w:left="1332"/>
              <w:spacing w:after="0"/>
              <w:rPr>
                <w:sz w:val="20"/>
                <w:szCs w:val="20"/>
                <w:color w:val="auto"/>
              </w:rPr>
            </w:pPr>
            <w:r>
              <w:rPr>
                <w:rFonts w:ascii="Times New Roman" w:cs="Times New Roman" w:eastAsia="Times New Roman" w:hAnsi="Times New Roman"/>
                <w:sz w:val="22"/>
                <w:szCs w:val="22"/>
                <w:color w:val="auto"/>
                <w:w w:val="97"/>
              </w:rPr>
              <w:t>Less than or equal to [</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bps</w:t>
            </w:r>
          </w:p>
        </w:tc>
        <w:tc>
          <w:tcPr>
            <w:tcW w:w="2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1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 of Target</w:t>
            </w:r>
          </w:p>
        </w:tc>
      </w:tr>
      <w:tr>
        <w:trPr>
          <w:trHeight w:val="290"/>
        </w:trPr>
        <w:tc>
          <w:tcPr>
            <w:tcW w:w="3880" w:type="dxa"/>
            <w:vAlign w:val="bottom"/>
            <w:tcBorders>
              <w:left w:val="single" w:sz="8" w:color="auto"/>
              <w:bottom w:val="single" w:sz="8" w:color="auto"/>
            </w:tcBorders>
          </w:tcPr>
          <w:p>
            <w:pPr>
              <w:jc w:val="center"/>
              <w:ind w:left="2032"/>
              <w:spacing w:after="0"/>
              <w:rPr>
                <w:sz w:val="20"/>
                <w:szCs w:val="20"/>
                <w:color w:val="auto"/>
              </w:rPr>
            </w:pPr>
            <w:r>
              <w:rPr>
                <w:rFonts w:ascii="Times New Roman" w:cs="Times New Roman" w:eastAsia="Times New Roman" w:hAnsi="Times New Roman"/>
                <w:sz w:val="22"/>
                <w:szCs w:val="22"/>
                <w:color w:val="auto"/>
              </w:rPr>
              <w:t>Equal to [   ] bps</w:t>
            </w:r>
          </w:p>
        </w:tc>
        <w:tc>
          <w:tcPr>
            <w:tcW w:w="214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1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 of Target</w:t>
            </w:r>
          </w:p>
        </w:tc>
      </w:tr>
      <w:tr>
        <w:trPr>
          <w:trHeight w:val="291"/>
        </w:trPr>
        <w:tc>
          <w:tcPr>
            <w:tcW w:w="3880" w:type="dxa"/>
            <w:vAlign w:val="bottom"/>
            <w:tcBorders>
              <w:left w:val="single" w:sz="8" w:color="auto"/>
              <w:bottom w:val="single" w:sz="8" w:color="auto"/>
            </w:tcBorders>
          </w:tcPr>
          <w:p>
            <w:pPr>
              <w:jc w:val="center"/>
              <w:ind w:left="1312"/>
              <w:spacing w:after="0"/>
              <w:rPr>
                <w:sz w:val="20"/>
                <w:szCs w:val="20"/>
                <w:color w:val="auto"/>
              </w:rPr>
            </w:pPr>
            <w:r>
              <w:rPr>
                <w:rFonts w:ascii="Times New Roman" w:cs="Times New Roman" w:eastAsia="Times New Roman" w:hAnsi="Times New Roman"/>
                <w:sz w:val="22"/>
                <w:szCs w:val="22"/>
                <w:color w:val="auto"/>
                <w:w w:val="98"/>
              </w:rPr>
              <w:t>Greater than or equal to [</w:t>
            </w:r>
          </w:p>
        </w:tc>
        <w:tc>
          <w:tcPr>
            <w:tcW w:w="21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 bps</w:t>
            </w:r>
          </w:p>
        </w:tc>
        <w:tc>
          <w:tcPr>
            <w:tcW w:w="2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1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 of Target</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Adjustment for Potential Turbo Effect</w:t>
      </w:r>
    </w:p>
    <w:p>
      <w:pPr>
        <w:spacing w:after="0" w:line="210" w:lineRule="exact"/>
        <w:rPr>
          <w:sz w:val="20"/>
          <w:szCs w:val="20"/>
          <w:color w:val="auto"/>
        </w:rPr>
      </w:pPr>
    </w:p>
    <w:p>
      <w:pPr>
        <w:ind w:left="880"/>
        <w:spacing w:after="0"/>
        <w:tabs>
          <w:tab w:leader="none" w:pos="10520" w:val="left"/>
        </w:tabs>
        <w:rPr>
          <w:sz w:val="20"/>
          <w:szCs w:val="20"/>
          <w:color w:val="auto"/>
        </w:rPr>
      </w:pPr>
      <w:r>
        <w:rPr>
          <w:rFonts w:ascii="Times New Roman" w:cs="Times New Roman" w:eastAsia="Times New Roman" w:hAnsi="Times New Roman"/>
          <w:sz w:val="22"/>
          <w:szCs w:val="22"/>
          <w:color w:val="auto"/>
        </w:rPr>
        <w:t>In the event that (i) the annual ROCE achieved by the Company for the 202[ ] calendar year is greater than [</w:t>
      </w:r>
      <w:r>
        <w:rPr>
          <w:sz w:val="20"/>
          <w:szCs w:val="20"/>
          <w:color w:val="auto"/>
        </w:rPr>
        <w:tab/>
      </w:r>
      <w:r>
        <w:rPr>
          <w:rFonts w:ascii="Times New Roman" w:cs="Times New Roman" w:eastAsia="Times New Roman" w:hAnsi="Times New Roman"/>
          <w:sz w:val="21"/>
          <w:szCs w:val="21"/>
          <w:color w:val="auto"/>
        </w:rPr>
        <w:t>]% and</w:t>
      </w:r>
    </w:p>
    <w:p>
      <w:pPr>
        <w:spacing w:after="0" w:line="14" w:lineRule="exact"/>
        <w:rPr>
          <w:sz w:val="20"/>
          <w:szCs w:val="20"/>
          <w:color w:val="auto"/>
        </w:rPr>
      </w:pPr>
    </w:p>
    <w:p>
      <w:pPr>
        <w:ind w:right="40" w:firstLine="8"/>
        <w:spacing w:after="0" w:line="233" w:lineRule="auto"/>
        <w:tabs>
          <w:tab w:leader="none" w:pos="31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ROCE Delta is greater than [ ] bps, then the “Turbo Effect” will be applicable, and the Committee is authorized to vest the number of Performance Share Units at the Payout Factor based on Table 2 below in lieu of Table 1. The Payout Factor for ROCE achievement levels between points on this chart will be determined by linear interpolation between the values listed. The maximum payout of Performance Share Units will remain [ ]% of the Target Performance Share Units, even if determined after applying the Turbo Effect.</w:t>
      </w:r>
    </w:p>
    <w:p>
      <w:pPr>
        <w:spacing w:after="0" w:line="175"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22"/>
          <w:szCs w:val="22"/>
          <w:b w:val="1"/>
          <w:bCs w:val="1"/>
          <w:color w:val="auto"/>
        </w:rPr>
        <w:t>Table 2</w:t>
      </w:r>
    </w:p>
    <w:p>
      <w:pPr>
        <w:spacing w:after="0" w:line="206"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22"/>
          <w:szCs w:val="22"/>
          <w:b w:val="1"/>
          <w:bCs w:val="1"/>
          <w:color w:val="auto"/>
        </w:rPr>
        <w:t>(Applicable if conditions for Turbo Effect are met)</w:t>
      </w:r>
    </w:p>
    <w:p>
      <w:pPr>
        <w:spacing w:after="0" w:line="21" w:lineRule="exact"/>
        <w:rPr>
          <w:sz w:val="20"/>
          <w:szCs w:val="20"/>
          <w:color w:val="auto"/>
        </w:rPr>
      </w:pPr>
    </w:p>
    <w:tbl>
      <w:tblPr>
        <w:tblLayout w:type="fixed"/>
        <w:tblInd w:w="30" w:type="dxa"/>
        <w:tblCellMar>
          <w:top w:w="0" w:type="dxa"/>
          <w:left w:w="0" w:type="dxa"/>
          <w:bottom w:w="0" w:type="dxa"/>
          <w:right w:w="0" w:type="dxa"/>
        </w:tblCellMar>
      </w:tblPr>
      <w:tr>
        <w:trPr>
          <w:trHeight w:val="288"/>
        </w:trPr>
        <w:tc>
          <w:tcPr>
            <w:tcW w:w="6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ROCE Delta (bps)</w:t>
            </w:r>
          </w:p>
        </w:tc>
        <w:tc>
          <w:tcPr>
            <w:tcW w:w="5220" w:type="dxa"/>
            <w:vAlign w:val="bottom"/>
            <w:tcBorders>
              <w:top w:val="single" w:sz="8" w:color="auto"/>
              <w:bottom w:val="single" w:sz="8" w:color="auto"/>
              <w:right w:val="single" w:sz="8" w:color="auto"/>
            </w:tcBorders>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Payout Factor for Vested Performance Share Units</w:t>
            </w:r>
          </w:p>
        </w:tc>
      </w:tr>
      <w:tr>
        <w:trPr>
          <w:trHeight w:val="286"/>
        </w:trPr>
        <w:tc>
          <w:tcPr>
            <w:tcW w:w="6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Equal to [   ] bps</w:t>
            </w:r>
          </w:p>
        </w:tc>
        <w:tc>
          <w:tcPr>
            <w:tcW w:w="2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31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 of Target</w:t>
            </w:r>
          </w:p>
        </w:tc>
      </w:tr>
      <w:tr>
        <w:trPr>
          <w:trHeight w:val="291"/>
        </w:trPr>
        <w:tc>
          <w:tcPr>
            <w:tcW w:w="6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Greater than or equal to [   ] bps</w:t>
            </w:r>
          </w:p>
        </w:tc>
        <w:tc>
          <w:tcPr>
            <w:tcW w:w="2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31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 of Target</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effect of the potential enhancement from the Turbo Effect is illustrated in the chart below.</w:t>
      </w:r>
    </w:p>
    <w:p>
      <w:pPr>
        <w:spacing w:after="0" w:line="20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[Redacted]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Interpretation</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the event of any ambiguity or discrepancy in this Agreement (including this Attachment I), the determination of the Committee shall be final and binding.</w:t>
      </w:r>
    </w:p>
    <w:p>
      <w:pPr>
        <w:spacing w:after="0" w:line="39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6226175</wp:posOffset>
            </wp:positionH>
            <wp:positionV relativeFrom="page">
              <wp:posOffset>88900</wp:posOffset>
            </wp:positionV>
            <wp:extent cx="1114425"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114425" cy="240030"/>
                    </a:xfrm>
                    <a:prstGeom prst="rect">
                      <a:avLst/>
                    </a:prstGeom>
                    <a:noFill/>
                  </pic:spPr>
                </pic:pic>
              </a:graphicData>
            </a:graphic>
          </wp:anchor>
        </w:drawing>
        <w:t>ATTACHMENT 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 Information, Intellectual Property,</w:t>
      </w:r>
    </w:p>
    <w:p>
      <w:pPr>
        <w:jc w:val="center"/>
        <w:spacing w:after="0"/>
        <w:rPr>
          <w:sz w:val="20"/>
          <w:szCs w:val="20"/>
          <w:color w:val="auto"/>
        </w:rPr>
      </w:pPr>
      <w:r>
        <w:rPr>
          <w:rFonts w:ascii="Times New Roman" w:cs="Times New Roman" w:eastAsia="Times New Roman" w:hAnsi="Times New Roman"/>
          <w:sz w:val="22"/>
          <w:szCs w:val="22"/>
          <w:b w:val="1"/>
          <w:bCs w:val="1"/>
          <w:color w:val="auto"/>
        </w:rPr>
        <w:t>Non-Compete and Non-Solicitation Agreement</w:t>
      </w:r>
    </w:p>
    <w:p>
      <w:pPr>
        <w:spacing w:after="0" w:line="196" w:lineRule="exact"/>
        <w:rPr>
          <w:sz w:val="20"/>
          <w:szCs w:val="20"/>
          <w:color w:val="auto"/>
        </w:rPr>
      </w:pPr>
    </w:p>
    <w:p>
      <w:pPr>
        <w:ind w:left="1680" w:hanging="808"/>
        <w:spacing w:after="0"/>
        <w:tabs>
          <w:tab w:leader="none" w:pos="168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2"/>
        <w:spacing w:after="0" w:line="244" w:lineRule="auto"/>
        <w:tabs>
          <w:tab w:leader="none" w:pos="175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73" w:lineRule="exact"/>
        <w:rPr>
          <w:rFonts w:ascii="Times New Roman" w:cs="Times New Roman" w:eastAsia="Times New Roman" w:hAnsi="Times New Roman"/>
          <w:sz w:val="22"/>
          <w:szCs w:val="22"/>
          <w:color w:val="auto"/>
        </w:rPr>
      </w:pPr>
    </w:p>
    <w:p>
      <w:pPr>
        <w:jc w:val="both"/>
        <w:ind w:firstLine="872"/>
        <w:spacing w:after="0" w:line="233" w:lineRule="auto"/>
        <w:tabs>
          <w:tab w:leader="none" w:pos="176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82" w:lineRule="exact"/>
        <w:rPr>
          <w:rFonts w:ascii="Times New Roman" w:cs="Times New Roman" w:eastAsia="Times New Roman" w:hAnsi="Times New Roman"/>
          <w:sz w:val="22"/>
          <w:szCs w:val="22"/>
          <w:color w:val="auto"/>
        </w:rPr>
      </w:pPr>
    </w:p>
    <w:p>
      <w:pPr>
        <w:jc w:val="both"/>
        <w:ind w:firstLine="872"/>
        <w:spacing w:after="0" w:line="234" w:lineRule="auto"/>
        <w:tabs>
          <w:tab w:leader="none" w:pos="175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83" w:lineRule="exact"/>
        <w:rPr>
          <w:rFonts w:ascii="Times New Roman" w:cs="Times New Roman" w:eastAsia="Times New Roman" w:hAnsi="Times New Roman"/>
          <w:sz w:val="22"/>
          <w:szCs w:val="22"/>
          <w:color w:val="auto"/>
        </w:rPr>
      </w:pPr>
    </w:p>
    <w:p>
      <w:pPr>
        <w:jc w:val="both"/>
        <w:ind w:firstLine="872"/>
        <w:spacing w:after="0" w:line="244" w:lineRule="auto"/>
        <w:tabs>
          <w:tab w:leader="none" w:pos="176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8" w:name="page89"/>
    <w:bookmarkEnd w:id="88"/>
    <w:p>
      <w:pPr>
        <w:jc w:val="both"/>
        <w:spacing w:after="0" w:line="244" w:lineRule="auto"/>
        <w:rPr>
          <w:sz w:val="20"/>
          <w:szCs w:val="20"/>
          <w:color w:val="auto"/>
        </w:rPr>
      </w:pPr>
      <w:r>
        <w:rPr>
          <w:rFonts w:ascii="Times New Roman" w:cs="Times New Roman" w:eastAsia="Times New Roman" w:hAnsi="Times New Roman"/>
          <w:sz w:val="22"/>
          <w:szCs w:val="22"/>
          <w:color w:val="auto"/>
        </w:rPr>
        <w:t>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73" w:lineRule="exact"/>
        <w:rPr>
          <w:sz w:val="20"/>
          <w:szCs w:val="20"/>
          <w:color w:val="auto"/>
        </w:rPr>
      </w:pPr>
    </w:p>
    <w:p>
      <w:pPr>
        <w:ind w:firstLine="872"/>
        <w:spacing w:after="0" w:line="258" w:lineRule="auto"/>
        <w:tabs>
          <w:tab w:leader="none" w:pos="175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“Pre-existing Intellectual Property” is all Intellectual Property that was authored, conceived, developed, or reduced to practice by Employee before the term of Employee’s employment with the Company or any Affiliate began.</w:t>
      </w:r>
    </w:p>
    <w:p>
      <w:pPr>
        <w:spacing w:after="0" w:line="158" w:lineRule="exact"/>
        <w:rPr>
          <w:sz w:val="20"/>
          <w:szCs w:val="20"/>
          <w:color w:val="auto"/>
        </w:rPr>
      </w:pPr>
    </w:p>
    <w:p>
      <w:pPr>
        <w:jc w:val="both"/>
        <w:ind w:firstLine="872"/>
        <w:spacing w:after="0" w:line="239" w:lineRule="auto"/>
        <w:tabs>
          <w:tab w:leader="none" w:pos="167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Codes of Conduct</w:t>
      </w:r>
      <w:r>
        <w:rPr>
          <w:rFonts w:ascii="Times New Roman" w:cs="Times New Roman" w:eastAsia="Times New Roman" w:hAnsi="Times New Roman"/>
          <w:sz w:val="22"/>
          <w:szCs w:val="22"/>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80"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p>
    <w:p>
      <w:pPr>
        <w:spacing w:after="0" w:line="206" w:lineRule="exact"/>
        <w:rPr>
          <w:sz w:val="20"/>
          <w:szCs w:val="20"/>
          <w:color w:val="auto"/>
        </w:rPr>
      </w:pPr>
    </w:p>
    <w:p>
      <w:pPr>
        <w:jc w:val="both"/>
        <w:ind w:firstLine="872"/>
        <w:spacing w:after="0" w:line="235" w:lineRule="auto"/>
        <w:tabs>
          <w:tab w:leader="none" w:pos="175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183" w:lineRule="exact"/>
        <w:rPr>
          <w:rFonts w:ascii="Times New Roman" w:cs="Times New Roman" w:eastAsia="Times New Roman" w:hAnsi="Times New Roman"/>
          <w:sz w:val="22"/>
          <w:szCs w:val="22"/>
          <w:color w:val="auto"/>
        </w:rPr>
      </w:pPr>
    </w:p>
    <w:p>
      <w:pPr>
        <w:jc w:val="both"/>
        <w:ind w:firstLine="872"/>
        <w:spacing w:after="0" w:line="244" w:lineRule="auto"/>
        <w:tabs>
          <w:tab w:leader="none" w:pos="176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73" w:lineRule="exact"/>
        <w:rPr>
          <w:rFonts w:ascii="Times New Roman" w:cs="Times New Roman" w:eastAsia="Times New Roman" w:hAnsi="Times New Roman"/>
          <w:sz w:val="22"/>
          <w:szCs w:val="22"/>
          <w:color w:val="auto"/>
        </w:rPr>
      </w:pPr>
    </w:p>
    <w:p>
      <w:pPr>
        <w:jc w:val="both"/>
        <w:ind w:firstLine="872"/>
        <w:spacing w:after="0" w:line="238" w:lineRule="auto"/>
        <w:tabs>
          <w:tab w:leader="none" w:pos="175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76" w:lineRule="exact"/>
        <w:rPr>
          <w:rFonts w:ascii="Times New Roman" w:cs="Times New Roman" w:eastAsia="Times New Roman" w:hAnsi="Times New Roman"/>
          <w:sz w:val="22"/>
          <w:szCs w:val="22"/>
          <w:color w:val="auto"/>
        </w:rPr>
      </w:pPr>
    </w:p>
    <w:p>
      <w:pPr>
        <w:jc w:val="both"/>
        <w:ind w:firstLine="872"/>
        <w:spacing w:after="0" w:line="235" w:lineRule="auto"/>
        <w:tabs>
          <w:tab w:leader="none" w:pos="176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color w:val="auto"/>
        </w:rPr>
        <w:t>similar media or means of transmitting, storing or archiving data outside systems supported by the Company or its Affiliate.</w:t>
      </w:r>
    </w:p>
    <w:p>
      <w:pPr>
        <w:spacing w:after="0" w:line="206" w:lineRule="exact"/>
        <w:rPr>
          <w:sz w:val="20"/>
          <w:szCs w:val="20"/>
          <w:color w:val="auto"/>
        </w:rPr>
      </w:pPr>
    </w:p>
    <w:p>
      <w:pPr>
        <w:jc w:val="both"/>
        <w:ind w:firstLine="872"/>
        <w:spacing w:after="0" w:line="238" w:lineRule="auto"/>
        <w:tabs>
          <w:tab w:leader="none" w:pos="175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6" w:lineRule="exact"/>
        <w:rPr>
          <w:rFonts w:ascii="Times New Roman" w:cs="Times New Roman" w:eastAsia="Times New Roman" w:hAnsi="Times New Roman"/>
          <w:sz w:val="22"/>
          <w:szCs w:val="22"/>
          <w:color w:val="auto"/>
        </w:rPr>
      </w:pPr>
    </w:p>
    <w:p>
      <w:pPr>
        <w:jc w:val="both"/>
        <w:ind w:firstLine="872"/>
        <w:spacing w:after="0" w:line="244" w:lineRule="auto"/>
        <w:tabs>
          <w:tab w:leader="none" w:pos="1727"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73" w:lineRule="exact"/>
        <w:rPr>
          <w:sz w:val="20"/>
          <w:szCs w:val="20"/>
          <w:color w:val="auto"/>
        </w:rPr>
      </w:pPr>
    </w:p>
    <w:p>
      <w:pPr>
        <w:ind w:left="1680" w:hanging="808"/>
        <w:spacing w:after="0"/>
        <w:tabs>
          <w:tab w:leader="none" w:pos="168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Intellectual Property.</w:t>
      </w:r>
    </w:p>
    <w:p>
      <w:pPr>
        <w:spacing w:after="0" w:line="206" w:lineRule="exact"/>
        <w:rPr>
          <w:sz w:val="20"/>
          <w:szCs w:val="20"/>
          <w:color w:val="auto"/>
        </w:rPr>
      </w:pPr>
    </w:p>
    <w:p>
      <w:pPr>
        <w:jc w:val="both"/>
        <w:ind w:firstLine="872"/>
        <w:spacing w:after="0" w:line="235" w:lineRule="auto"/>
        <w:tabs>
          <w:tab w:leader="none" w:pos="175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8" w:lineRule="exact"/>
        <w:rPr>
          <w:rFonts w:ascii="Times New Roman" w:cs="Times New Roman" w:eastAsia="Times New Roman" w:hAnsi="Times New Roman"/>
          <w:sz w:val="22"/>
          <w:szCs w:val="22"/>
          <w:color w:val="auto"/>
        </w:rPr>
      </w:pPr>
    </w:p>
    <w:p>
      <w:pPr>
        <w:jc w:val="both"/>
        <w:ind w:firstLine="872"/>
        <w:spacing w:after="0" w:line="235" w:lineRule="auto"/>
        <w:tabs>
          <w:tab w:leader="none" w:pos="176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83" w:lineRule="exact"/>
        <w:rPr>
          <w:rFonts w:ascii="Times New Roman" w:cs="Times New Roman" w:eastAsia="Times New Roman" w:hAnsi="Times New Roman"/>
          <w:sz w:val="22"/>
          <w:szCs w:val="22"/>
          <w:color w:val="auto"/>
        </w:rPr>
      </w:pPr>
    </w:p>
    <w:p>
      <w:pPr>
        <w:jc w:val="both"/>
        <w:ind w:firstLine="872"/>
        <w:spacing w:after="0" w:line="244" w:lineRule="auto"/>
        <w:tabs>
          <w:tab w:leader="none" w:pos="175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73" w:lineRule="exact"/>
        <w:rPr>
          <w:rFonts w:ascii="Times New Roman" w:cs="Times New Roman" w:eastAsia="Times New Roman" w:hAnsi="Times New Roman"/>
          <w:sz w:val="22"/>
          <w:szCs w:val="22"/>
          <w:color w:val="auto"/>
        </w:rPr>
      </w:pPr>
    </w:p>
    <w:p>
      <w:pPr>
        <w:jc w:val="both"/>
        <w:ind w:firstLine="872"/>
        <w:spacing w:after="0" w:line="239" w:lineRule="auto"/>
        <w:tabs>
          <w:tab w:leader="none" w:pos="176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0" w:name="page91"/>
    <w:bookmarkEnd w:id="90"/>
    <w:p>
      <w:pPr>
        <w:jc w:val="both"/>
        <w:spacing w:after="0" w:line="244" w:lineRule="auto"/>
        <w:rPr>
          <w:sz w:val="20"/>
          <w:szCs w:val="20"/>
          <w:color w:val="auto"/>
        </w:rPr>
      </w:pPr>
      <w:r>
        <w:rPr>
          <w:rFonts w:ascii="Times New Roman" w:cs="Times New Roman" w:eastAsia="Times New Roman" w:hAnsi="Times New Roman"/>
          <w:sz w:val="22"/>
          <w:szCs w:val="22"/>
          <w:color w:val="auto"/>
        </w:rPr>
        <w:t>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73" w:lineRule="exact"/>
        <w:rPr>
          <w:sz w:val="20"/>
          <w:szCs w:val="20"/>
          <w:color w:val="auto"/>
        </w:rPr>
      </w:pPr>
    </w:p>
    <w:p>
      <w:pPr>
        <w:jc w:val="both"/>
        <w:ind w:firstLine="872"/>
        <w:spacing w:after="0" w:line="236" w:lineRule="auto"/>
        <w:tabs>
          <w:tab w:leader="none" w:pos="175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81" w:lineRule="exact"/>
        <w:rPr>
          <w:sz w:val="20"/>
          <w:szCs w:val="20"/>
          <w:color w:val="auto"/>
        </w:rPr>
      </w:pPr>
    </w:p>
    <w:p>
      <w:pPr>
        <w:ind w:left="1680" w:hanging="808"/>
        <w:spacing w:after="0"/>
        <w:tabs>
          <w:tab w:leader="none" w:pos="16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Intellectual Property.</w:t>
      </w:r>
    </w:p>
    <w:p>
      <w:pPr>
        <w:spacing w:after="0" w:line="206" w:lineRule="exact"/>
        <w:rPr>
          <w:sz w:val="20"/>
          <w:szCs w:val="20"/>
          <w:color w:val="auto"/>
        </w:rPr>
      </w:pPr>
    </w:p>
    <w:p>
      <w:pPr>
        <w:jc w:val="both"/>
        <w:ind w:firstLine="872"/>
        <w:spacing w:after="0" w:line="235" w:lineRule="auto"/>
        <w:tabs>
          <w:tab w:leader="none" w:pos="175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78" w:lineRule="exact"/>
        <w:rPr>
          <w:rFonts w:ascii="Times New Roman" w:cs="Times New Roman" w:eastAsia="Times New Roman" w:hAnsi="Times New Roman"/>
          <w:sz w:val="22"/>
          <w:szCs w:val="22"/>
          <w:color w:val="auto"/>
        </w:rPr>
      </w:pPr>
    </w:p>
    <w:p>
      <w:pPr>
        <w:jc w:val="both"/>
        <w:ind w:firstLine="872"/>
        <w:spacing w:after="0" w:line="236" w:lineRule="auto"/>
        <w:tabs>
          <w:tab w:leader="none" w:pos="1763"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81" w:lineRule="exact"/>
        <w:rPr>
          <w:rFonts w:ascii="Times New Roman" w:cs="Times New Roman" w:eastAsia="Times New Roman" w:hAnsi="Times New Roman"/>
          <w:sz w:val="22"/>
          <w:szCs w:val="22"/>
          <w:color w:val="auto"/>
        </w:rPr>
      </w:pPr>
    </w:p>
    <w:p>
      <w:pPr>
        <w:jc w:val="both"/>
        <w:ind w:firstLine="872"/>
        <w:spacing w:after="0" w:line="244" w:lineRule="auto"/>
        <w:tabs>
          <w:tab w:leader="none" w:pos="175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73" w:lineRule="exact"/>
        <w:rPr>
          <w:rFonts w:ascii="Times New Roman" w:cs="Times New Roman" w:eastAsia="Times New Roman" w:hAnsi="Times New Roman"/>
          <w:sz w:val="22"/>
          <w:szCs w:val="22"/>
          <w:color w:val="auto"/>
        </w:rPr>
      </w:pPr>
    </w:p>
    <w:p>
      <w:pPr>
        <w:jc w:val="both"/>
        <w:ind w:firstLine="872"/>
        <w:spacing w:after="0" w:line="238" w:lineRule="auto"/>
        <w:tabs>
          <w:tab w:leader="none" w:pos="1763"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1" w:name="page92"/>
    <w:bookmarkEnd w:id="91"/>
    <w:p>
      <w:pPr>
        <w:spacing w:after="0" w:line="258" w:lineRule="auto"/>
        <w:rPr>
          <w:sz w:val="20"/>
          <w:szCs w:val="20"/>
          <w:color w:val="auto"/>
        </w:rPr>
      </w:pPr>
      <w:r>
        <w:rPr>
          <w:rFonts w:ascii="Times New Roman" w:cs="Times New Roman" w:eastAsia="Times New Roman" w:hAnsi="Times New Roman"/>
          <w:sz w:val="22"/>
          <w:szCs w:val="22"/>
          <w:color w:val="auto"/>
        </w:rPr>
        <w:t>waiver is obtained in violation of this Attachment II, or obtained through fraud, negligence, failure to disclose, or incorrect, incomplete, or defective information on an IP Disclosure Form.</w:t>
      </w:r>
    </w:p>
    <w:p>
      <w:pPr>
        <w:spacing w:after="0" w:line="158" w:lineRule="exact"/>
        <w:rPr>
          <w:sz w:val="20"/>
          <w:szCs w:val="20"/>
          <w:color w:val="auto"/>
        </w:rPr>
      </w:pPr>
    </w:p>
    <w:p>
      <w:pPr>
        <w:ind w:left="1680" w:hanging="808"/>
        <w:spacing w:after="0"/>
        <w:tabs>
          <w:tab w:leader="none" w:pos="168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p>
    <w:p>
      <w:pPr>
        <w:spacing w:after="0" w:line="206" w:lineRule="exact"/>
        <w:rPr>
          <w:sz w:val="20"/>
          <w:szCs w:val="20"/>
          <w:color w:val="auto"/>
        </w:rPr>
      </w:pPr>
    </w:p>
    <w:p>
      <w:pPr>
        <w:jc w:val="both"/>
        <w:ind w:firstLine="872"/>
        <w:spacing w:after="0" w:line="244" w:lineRule="auto"/>
        <w:tabs>
          <w:tab w:leader="none" w:pos="175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73" w:lineRule="exact"/>
        <w:rPr>
          <w:rFonts w:ascii="Times New Roman" w:cs="Times New Roman" w:eastAsia="Times New Roman" w:hAnsi="Times New Roman"/>
          <w:sz w:val="22"/>
          <w:szCs w:val="22"/>
          <w:color w:val="auto"/>
        </w:rPr>
      </w:pPr>
    </w:p>
    <w:p>
      <w:pPr>
        <w:jc w:val="both"/>
        <w:ind w:firstLine="872"/>
        <w:spacing w:after="0" w:line="245" w:lineRule="auto"/>
        <w:tabs>
          <w:tab w:leader="none" w:pos="1763"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85" w:lineRule="exact"/>
        <w:rPr>
          <w:sz w:val="20"/>
          <w:szCs w:val="20"/>
          <w:color w:val="auto"/>
        </w:rPr>
      </w:pPr>
    </w:p>
    <w:p>
      <w:pPr>
        <w:jc w:val="both"/>
        <w:ind w:firstLine="872"/>
        <w:spacing w:after="0" w:line="239" w:lineRule="auto"/>
        <w:tabs>
          <w:tab w:leader="none" w:pos="175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2" w:name="page93"/>
    <w:bookmarkEnd w:id="92"/>
    <w:p>
      <w:pPr>
        <w:jc w:val="both"/>
        <w:spacing w:after="0" w:line="235" w:lineRule="auto"/>
        <w:rPr>
          <w:sz w:val="20"/>
          <w:szCs w:val="20"/>
          <w:color w:val="auto"/>
        </w:rPr>
      </w:pPr>
      <w:r>
        <w:rPr>
          <w:rFonts w:ascii="Times New Roman" w:cs="Times New Roman" w:eastAsia="Times New Roman" w:hAnsi="Times New Roman"/>
          <w:sz w:val="22"/>
          <w:szCs w:val="22"/>
          <w:color w:val="auto"/>
        </w:rPr>
        <w:t>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78" w:lineRule="exact"/>
        <w:rPr>
          <w:sz w:val="20"/>
          <w:szCs w:val="20"/>
          <w:color w:val="auto"/>
        </w:rPr>
      </w:pPr>
    </w:p>
    <w:p>
      <w:pPr>
        <w:ind w:left="1680" w:hanging="808"/>
        <w:spacing w:after="0"/>
        <w:tabs>
          <w:tab w:leader="none" w:pos="168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p>
    <w:p>
      <w:pPr>
        <w:spacing w:after="0" w:line="206" w:lineRule="exact"/>
        <w:rPr>
          <w:sz w:val="20"/>
          <w:szCs w:val="20"/>
          <w:color w:val="auto"/>
        </w:rPr>
      </w:pPr>
    </w:p>
    <w:p>
      <w:pPr>
        <w:jc w:val="both"/>
        <w:ind w:firstLine="872"/>
        <w:spacing w:after="0" w:line="235" w:lineRule="auto"/>
        <w:tabs>
          <w:tab w:leader="none" w:pos="175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78" w:lineRule="exact"/>
        <w:rPr>
          <w:rFonts w:ascii="Times New Roman" w:cs="Times New Roman" w:eastAsia="Times New Roman" w:hAnsi="Times New Roman"/>
          <w:sz w:val="22"/>
          <w:szCs w:val="22"/>
          <w:color w:val="auto"/>
        </w:rPr>
      </w:pPr>
    </w:p>
    <w:p>
      <w:pPr>
        <w:jc w:val="both"/>
        <w:ind w:firstLine="872"/>
        <w:spacing w:after="0" w:line="248" w:lineRule="auto"/>
        <w:tabs>
          <w:tab w:leader="none" w:pos="1763"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70" w:lineRule="exact"/>
        <w:rPr>
          <w:sz w:val="20"/>
          <w:szCs w:val="20"/>
          <w:color w:val="auto"/>
        </w:rPr>
      </w:pPr>
    </w:p>
    <w:p>
      <w:pPr>
        <w:ind w:left="1680" w:hanging="808"/>
        <w:spacing w:after="0"/>
        <w:tabs>
          <w:tab w:leader="none" w:pos="168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for Employee’s Breach.</w:t>
      </w:r>
    </w:p>
    <w:p>
      <w:pPr>
        <w:spacing w:after="0" w:line="206" w:lineRule="exact"/>
        <w:rPr>
          <w:sz w:val="20"/>
          <w:szCs w:val="20"/>
          <w:color w:val="auto"/>
        </w:rPr>
      </w:pPr>
    </w:p>
    <w:p>
      <w:pPr>
        <w:jc w:val="both"/>
        <w:ind w:firstLine="872"/>
        <w:spacing w:after="0" w:line="234" w:lineRule="auto"/>
        <w:tabs>
          <w:tab w:leader="none" w:pos="175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Times New Roman" w:cs="Times New Roman" w:eastAsia="Times New Roman" w:hAnsi="Times New Roman"/>
          <w:sz w:val="22"/>
          <w:szCs w:val="22"/>
          <w:b w:val="1"/>
          <w:bCs w:val="1"/>
          <w:color w:val="auto"/>
        </w:rPr>
        <w:t>(i) recover from Employee the value of any portion of the</w:t>
      </w:r>
    </w:p>
    <w:p>
      <w:pPr>
        <w:spacing w:after="0" w:line="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Award that has been paid or delivered; (ii) seek injunctive relief against Employee pursuant to the provisions of</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3" w:name="page94"/>
    <w:bookmarkEnd w:id="93"/>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71" w:lineRule="exact"/>
        <w:rPr>
          <w:sz w:val="20"/>
          <w:szCs w:val="20"/>
          <w:color w:val="auto"/>
        </w:rPr>
      </w:pPr>
    </w:p>
    <w:p>
      <w:pPr>
        <w:jc w:val="both"/>
        <w:ind w:firstLine="872"/>
        <w:spacing w:after="0" w:line="236" w:lineRule="auto"/>
        <w:tabs>
          <w:tab w:leader="none" w:pos="176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81" w:lineRule="exact"/>
        <w:rPr>
          <w:rFonts w:ascii="Times New Roman" w:cs="Times New Roman" w:eastAsia="Times New Roman" w:hAnsi="Times New Roman"/>
          <w:sz w:val="22"/>
          <w:szCs w:val="22"/>
          <w:color w:val="auto"/>
        </w:rPr>
      </w:pPr>
    </w:p>
    <w:p>
      <w:pPr>
        <w:jc w:val="both"/>
        <w:ind w:firstLine="872"/>
        <w:spacing w:after="0" w:line="239" w:lineRule="auto"/>
        <w:tabs>
          <w:tab w:leader="none" w:pos="175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180" w:lineRule="exact"/>
        <w:rPr>
          <w:rFonts w:ascii="Times New Roman" w:cs="Times New Roman" w:eastAsia="Times New Roman" w:hAnsi="Times New Roman"/>
          <w:sz w:val="22"/>
          <w:szCs w:val="22"/>
          <w:color w:val="auto"/>
        </w:rPr>
      </w:pPr>
    </w:p>
    <w:p>
      <w:pPr>
        <w:ind w:right="20" w:firstLine="872"/>
        <w:spacing w:after="0" w:line="258" w:lineRule="auto"/>
        <w:tabs>
          <w:tab w:leader="none" w:pos="176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the remedies contained in the Attachment II for violation of this Attachment II are not the exclusive remedies that the Company or an Affiliate may pursue.</w:t>
      </w:r>
    </w:p>
    <w:p>
      <w:pPr>
        <w:spacing w:after="0" w:line="158" w:lineRule="exact"/>
        <w:rPr>
          <w:sz w:val="20"/>
          <w:szCs w:val="20"/>
          <w:color w:val="auto"/>
        </w:rPr>
      </w:pPr>
    </w:p>
    <w:p>
      <w:pPr>
        <w:jc w:val="both"/>
        <w:ind w:right="20" w:firstLine="872"/>
        <w:spacing w:after="0" w:line="244" w:lineRule="auto"/>
        <w:tabs>
          <w:tab w:leader="none" w:pos="167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173"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2"/>
        <w:spacing w:after="0" w:line="239" w:lineRule="auto"/>
        <w:tabs>
          <w:tab w:leader="none" w:pos="175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 Employee’s duties for the Company or its Affiliates. Employee agrees not to enter into any agreement, whether oral or written, in conflict with this Attachment II.</w:t>
      </w:r>
    </w:p>
    <w:p>
      <w:pPr>
        <w:spacing w:after="0" w:line="180" w:lineRule="exact"/>
        <w:rPr>
          <w:rFonts w:ascii="Times New Roman" w:cs="Times New Roman" w:eastAsia="Times New Roman" w:hAnsi="Times New Roman"/>
          <w:sz w:val="22"/>
          <w:szCs w:val="22"/>
          <w:color w:val="auto"/>
        </w:rPr>
      </w:pPr>
    </w:p>
    <w:p>
      <w:pPr>
        <w:jc w:val="both"/>
        <w:ind w:firstLine="872"/>
        <w:spacing w:after="0" w:line="244" w:lineRule="auto"/>
        <w:tabs>
          <w:tab w:leader="none" w:pos="176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Attachment II may be enforced by, will inure to the benefit of, and be binding upon the Company, its successors, and assigns. This Agreement will also inure to the benefit of, and may be enforced by, the Company’s Affiliates. This Attachment II is binding upon Employee’s heirs and legal representatives.</w:t>
      </w:r>
    </w:p>
    <w:p>
      <w:pPr>
        <w:spacing w:after="0" w:line="173" w:lineRule="exact"/>
        <w:rPr>
          <w:rFonts w:ascii="Times New Roman" w:cs="Times New Roman" w:eastAsia="Times New Roman" w:hAnsi="Times New Roman"/>
          <w:sz w:val="22"/>
          <w:szCs w:val="22"/>
          <w:color w:val="auto"/>
        </w:rPr>
      </w:pPr>
    </w:p>
    <w:p>
      <w:pPr>
        <w:jc w:val="both"/>
        <w:ind w:right="20" w:firstLine="872"/>
        <w:spacing w:after="0" w:line="244" w:lineRule="auto"/>
        <w:tabs>
          <w:tab w:leader="none" w:pos="175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73" w:lineRule="exact"/>
        <w:rPr>
          <w:rFonts w:ascii="Times New Roman" w:cs="Times New Roman" w:eastAsia="Times New Roman" w:hAnsi="Times New Roman"/>
          <w:sz w:val="22"/>
          <w:szCs w:val="22"/>
          <w:color w:val="auto"/>
        </w:rPr>
      </w:pPr>
    </w:p>
    <w:p>
      <w:pPr>
        <w:ind w:firstLine="872"/>
        <w:spacing w:after="0" w:line="258" w:lineRule="auto"/>
        <w:tabs>
          <w:tab w:leader="none" w:pos="176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is employed by an Affiliate of the Company or by accepting a transfer to an Affiliate of the Company, Employee agrees to the automatic application of all of the terms</w:t>
      </w:r>
    </w:p>
    <w:p>
      <w:pPr>
        <w:spacing w:after="0" w:line="1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18</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4" w:name="page95"/>
    <w:bookmarkEnd w:id="94"/>
    <w:p>
      <w:pPr>
        <w:spacing w:after="0" w:line="282" w:lineRule="auto"/>
        <w:rPr>
          <w:sz w:val="20"/>
          <w:szCs w:val="20"/>
          <w:color w:val="auto"/>
        </w:rPr>
      </w:pPr>
      <w:r>
        <w:rPr>
          <w:rFonts w:ascii="Times New Roman" w:cs="Times New Roman" w:eastAsia="Times New Roman" w:hAnsi="Times New Roman"/>
          <w:sz w:val="21"/>
          <w:szCs w:val="21"/>
          <w:color w:val="auto"/>
        </w:rPr>
        <w:t>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135" w:lineRule="exact"/>
        <w:rPr>
          <w:sz w:val="20"/>
          <w:szCs w:val="20"/>
          <w:color w:val="auto"/>
        </w:rPr>
      </w:pPr>
    </w:p>
    <w:p>
      <w:pPr>
        <w:jc w:val="both"/>
        <w:ind w:firstLine="872"/>
        <w:spacing w:after="0" w:line="235" w:lineRule="auto"/>
        <w:tabs>
          <w:tab w:leader="none" w:pos="175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83" w:lineRule="exact"/>
        <w:rPr>
          <w:rFonts w:ascii="Times New Roman" w:cs="Times New Roman" w:eastAsia="Times New Roman" w:hAnsi="Times New Roman"/>
          <w:sz w:val="22"/>
          <w:szCs w:val="22"/>
          <w:color w:val="auto"/>
        </w:rPr>
      </w:pPr>
    </w:p>
    <w:p>
      <w:pPr>
        <w:jc w:val="both"/>
        <w:ind w:firstLine="872"/>
        <w:spacing w:after="0" w:line="239" w:lineRule="auto"/>
        <w:tabs>
          <w:tab w:leader="none" w:pos="1727"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this Attachment II supersede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19</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ectPr>
          <w:pgSz w:w="11900" w:h="16838" w:orient="portrait"/>
          <w:cols w:equalWidth="0" w:num="1">
            <w:col w:w="11240"/>
          </w:cols>
          <w:pgMar w:left="320" w:top="54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6226175</wp:posOffset>
            </wp:positionH>
            <wp:positionV relativeFrom="page">
              <wp:posOffset>88900</wp:posOffset>
            </wp:positionV>
            <wp:extent cx="1114425"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114425" cy="240030"/>
                    </a:xfrm>
                    <a:prstGeom prst="rect">
                      <a:avLst/>
                    </a:prstGeom>
                    <a:noFill/>
                  </pic:spPr>
                </pic:pic>
              </a:graphicData>
            </a:graphic>
          </wp:anchor>
        </w:drawing>
        <w:t>Exhibit 10.5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 ] PERFORMANCE SHARE UNIT AWARD AGREEMENT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(BASED ON RELATIVE TSR PERFORMANCE)</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under the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SCHLUMBERGER 2017 OMNIBUS STOCK INCENTIVE PLAN</w:t>
      </w:r>
    </w:p>
    <w:p>
      <w:pPr>
        <w:jc w:val="cente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u w:val="single" w:color="auto"/>
          <w:color w:val="auto"/>
        </w:rPr>
        <w:t>Includes Confidentiality, Intellectual Property, Non-Competition, and Non-Solicitation Provisions in Section 9 and</w:t>
      </w: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Attachment II</w:t>
      </w:r>
      <w:r>
        <w:rPr>
          <w:rFonts w:ascii="Times New Roman" w:cs="Times New Roman" w:eastAsia="Times New Roman" w:hAnsi="Times New Roman"/>
          <w:sz w:val="22"/>
          <w:szCs w:val="22"/>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Period: 202[ ], 202[ ] and 202[ ]</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Performance Share Unit Award Agreement (as may be amended, the “Agreement”) is granted to you (“Employee”) effective as of [ ], 202[ ] (the “Grant Date”) by Schlumberger Limited (the “Company”), pursuant to the Schlumberger 2017 Omnibus Stock Incentive Plan, as may be amended (the “Plan”).</w:t>
      </w:r>
    </w:p>
    <w:p>
      <w:pPr>
        <w:spacing w:after="0" w:line="173" w:lineRule="exact"/>
        <w:rPr>
          <w:sz w:val="20"/>
          <w:szCs w:val="20"/>
          <w:color w:val="auto"/>
        </w:rPr>
      </w:pPr>
    </w:p>
    <w:p>
      <w:pPr>
        <w:jc w:val="both"/>
        <w:ind w:firstLine="872"/>
        <w:spacing w:after="0" w:line="248" w:lineRule="auto"/>
        <w:tabs>
          <w:tab w:leader="none" w:pos="1674"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70" w:lineRule="exact"/>
        <w:rPr>
          <w:rFonts w:ascii="Times New Roman" w:cs="Times New Roman" w:eastAsia="Times New Roman" w:hAnsi="Times New Roman"/>
          <w:sz w:val="21"/>
          <w:szCs w:val="21"/>
          <w:color w:val="auto"/>
        </w:rPr>
      </w:pPr>
    </w:p>
    <w:p>
      <w:pPr>
        <w:ind w:firstLine="872"/>
        <w:spacing w:after="0" w:line="258" w:lineRule="auto"/>
        <w:tabs>
          <w:tab w:leader="none" w:pos="167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Performance Share Units</w:t>
      </w:r>
      <w:r>
        <w:rPr>
          <w:rFonts w:ascii="Times New Roman" w:cs="Times New Roman" w:eastAsia="Times New Roman" w:hAnsi="Times New Roman"/>
          <w:sz w:val="22"/>
          <w:szCs w:val="22"/>
          <w:color w:val="auto"/>
        </w:rPr>
        <w:t>. The period of time from and including January 20, 202[ ] to December 31, 202[ ] is the “Performance Period.” The Performance Share Units will vest as follows:</w:t>
      </w:r>
    </w:p>
    <w:p>
      <w:pPr>
        <w:spacing w:after="0" w:line="158" w:lineRule="exact"/>
        <w:rPr>
          <w:sz w:val="20"/>
          <w:szCs w:val="20"/>
          <w:color w:val="auto"/>
        </w:rPr>
      </w:pPr>
    </w:p>
    <w:p>
      <w:pPr>
        <w:jc w:val="both"/>
        <w:ind w:firstLine="872"/>
        <w:spacing w:after="0" w:line="246" w:lineRule="auto"/>
        <w:tabs>
          <w:tab w:leader="none" w:pos="1751"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Friday following the first meeting of the Compensation Committee of the Board of Directors of the Company (the “Committee”) in 202[ ], or as soon thereafter as reasonably practicable (such date, the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Vesting Date and has not experienced a Termination of Employment (as defined in Section 12(w) below) as of such date. Except as provided in Sections 2(b) and 2(c) below, if there is any Termination of Employment during the period from and between the Grant Date until and including the Vesting Date, Employee will immediately and automatically forfeit all Performance Share Units. The Committee may delegate, to an officer of the Company or to a subcommittee of the Committee, its authority to determine whether Employee has incurred a Termination of Employment, the cause of such termination or any related issue, and any such determination by the Committee or its delegate will be final and binding on all parties.</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96" w:name="page97"/>
    <w:bookmarkEnd w:id="96"/>
    <w:p>
      <w:pPr>
        <w:jc w:val="both"/>
        <w:ind w:firstLine="872"/>
        <w:spacing w:after="0" w:line="244" w:lineRule="auto"/>
        <w:tabs>
          <w:tab w:leader="none" w:pos="1763"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Employee’s Termination of Employment occurs due to Retirement (as defined in Section 12(p) below), then the Performance Share Units will vest in accordance with Section 2(a) above as if Employee had remained continuously employed by the Company or any of its Subsidiaries from the Grant Date through the Vesting Date.</w:t>
      </w:r>
    </w:p>
    <w:p>
      <w:pPr>
        <w:spacing w:after="0" w:line="173" w:lineRule="exact"/>
        <w:rPr>
          <w:rFonts w:ascii="Times New Roman" w:cs="Times New Roman" w:eastAsia="Times New Roman" w:hAnsi="Times New Roman"/>
          <w:sz w:val="22"/>
          <w:szCs w:val="22"/>
          <w:color w:val="auto"/>
        </w:rPr>
      </w:pPr>
    </w:p>
    <w:p>
      <w:pPr>
        <w:jc w:val="both"/>
        <w:ind w:firstLine="1400"/>
        <w:spacing w:after="0" w:line="248" w:lineRule="auto"/>
        <w:tabs>
          <w:tab w:leader="none" w:pos="2303"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Employee’s Termination of Employment occurs due to Early Retirement (as defined in Section 12(i) below) or Special Retirement (as defined in Section 12(s) below, then, subject to the approval of (x) the Committee, if Employee is an executive officer of the Company at the time of Employee’s election to retire, or (y) the Retirement Committee (as defined in Section 12(q)), if Employee is not an executive officer of the Company at the time of Employee’s election to retire, the Performance Share Units will vest in accordance with Section 2(a) above as if Employee had remained continuously employed by the Company or any of its Subsidiaries from the Grant Date through the Vesting Date. Any approval under clauses (x) or (y) may be granted or withheld in the sole discretion of the Committee or the Retirement Committee, as applicable.</w:t>
      </w:r>
    </w:p>
    <w:p>
      <w:pPr>
        <w:spacing w:after="0" w:line="170" w:lineRule="exact"/>
        <w:rPr>
          <w:rFonts w:ascii="Times New Roman" w:cs="Times New Roman" w:eastAsia="Times New Roman" w:hAnsi="Times New Roman"/>
          <w:sz w:val="21"/>
          <w:szCs w:val="21"/>
          <w:color w:val="auto"/>
        </w:rPr>
      </w:pPr>
    </w:p>
    <w:p>
      <w:pPr>
        <w:jc w:val="both"/>
        <w:ind w:firstLine="872"/>
        <w:spacing w:after="0" w:line="244" w:lineRule="auto"/>
        <w:tabs>
          <w:tab w:leader="none" w:pos="175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Vesting Date.</w:t>
      </w:r>
    </w:p>
    <w:p>
      <w:pPr>
        <w:spacing w:after="0" w:line="173" w:lineRule="exact"/>
        <w:rPr>
          <w:sz w:val="20"/>
          <w:szCs w:val="20"/>
          <w:color w:val="auto"/>
        </w:rPr>
      </w:pPr>
    </w:p>
    <w:p>
      <w:pPr>
        <w:jc w:val="both"/>
        <w:ind w:firstLine="872"/>
        <w:spacing w:after="0" w:line="238" w:lineRule="auto"/>
        <w:tabs>
          <w:tab w:leader="none" w:pos="167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Performance Share Units</w:t>
      </w:r>
      <w:r>
        <w:rPr>
          <w:rFonts w:ascii="Times New Roman" w:cs="Times New Roman" w:eastAsia="Times New Roman" w:hAnsi="Times New Roman"/>
          <w:sz w:val="22"/>
          <w:szCs w:val="22"/>
          <w:color w:val="auto"/>
        </w:rPr>
        <w:t>. Payment of vested Performance Share Units will be made in shares of Common Stock as soon as administratively practicable, but in no event later than 2-1/2 months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76"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Performance Share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2"/>
        <w:spacing w:after="0" w:line="238" w:lineRule="auto"/>
        <w:tabs>
          <w:tab w:leader="none" w:pos="175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the Performance Period and up to and including the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6" w:lineRule="exact"/>
        <w:rPr>
          <w:rFonts w:ascii="Times New Roman" w:cs="Times New Roman" w:eastAsia="Times New Roman" w:hAnsi="Times New Roman"/>
          <w:sz w:val="22"/>
          <w:szCs w:val="22"/>
          <w:color w:val="auto"/>
        </w:rPr>
      </w:pPr>
    </w:p>
    <w:p>
      <w:pPr>
        <w:jc w:val="both"/>
        <w:ind w:firstLine="872"/>
        <w:spacing w:after="0" w:line="238" w:lineRule="auto"/>
        <w:tabs>
          <w:tab w:leader="none" w:pos="176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in this Agreement to the contrary, if at any time during the Performance Period and up to and including the Vesting Date, Employee engages in Detrimental Activity (as defined in Section 12(f)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7" w:lineRule="exact"/>
        <w:rPr>
          <w:sz w:val="20"/>
          <w:szCs w:val="20"/>
          <w:color w:val="auto"/>
        </w:rPr>
      </w:pPr>
    </w:p>
    <w:p>
      <w:pPr>
        <w:ind w:left="1680" w:hanging="808"/>
        <w:spacing w:after="0"/>
        <w:tabs>
          <w:tab w:leader="none" w:pos="168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Performance Share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872"/>
        <w:spacing w:after="0" w:line="258" w:lineRule="auto"/>
        <w:tabs>
          <w:tab w:leader="none" w:pos="175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 Units granted hereunder to Employee may not be sold, assigned, transferred, pledged or otherwise encumbered, whether voluntarily or involuntarily, by operation</w:t>
      </w:r>
    </w:p>
    <w:p>
      <w:pPr>
        <w:spacing w:after="0" w:line="1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7" w:name="page98"/>
    <w:bookmarkEnd w:id="97"/>
    <w:p>
      <w:pPr>
        <w:jc w:val="both"/>
        <w:spacing w:after="0" w:line="239" w:lineRule="auto"/>
        <w:rPr>
          <w:sz w:val="20"/>
          <w:szCs w:val="20"/>
          <w:color w:val="auto"/>
        </w:rPr>
      </w:pPr>
      <w:r>
        <w:rPr>
          <w:rFonts w:ascii="Times New Roman" w:cs="Times New Roman" w:eastAsia="Times New Roman" w:hAnsi="Times New Roman"/>
          <w:sz w:val="22"/>
          <w:szCs w:val="22"/>
          <w:color w:val="auto"/>
        </w:rPr>
        <w:t>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0" w:lineRule="exact"/>
        <w:rPr>
          <w:sz w:val="20"/>
          <w:szCs w:val="20"/>
          <w:color w:val="auto"/>
        </w:rPr>
      </w:pPr>
    </w:p>
    <w:p>
      <w:pPr>
        <w:jc w:val="both"/>
        <w:ind w:firstLine="872"/>
        <w:spacing w:after="0" w:line="236" w:lineRule="auto"/>
        <w:tabs>
          <w:tab w:leader="none" w:pos="176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81" w:lineRule="exact"/>
        <w:rPr>
          <w:sz w:val="20"/>
          <w:szCs w:val="20"/>
          <w:color w:val="auto"/>
        </w:rPr>
      </w:pPr>
    </w:p>
    <w:p>
      <w:pPr>
        <w:jc w:val="both"/>
        <w:ind w:firstLine="872"/>
        <w:spacing w:after="0" w:line="244" w:lineRule="auto"/>
        <w:tabs>
          <w:tab w:leader="none" w:pos="167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73"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and Social Insurance Withholding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72"/>
        <w:spacing w:after="0" w:line="234" w:lineRule="auto"/>
        <w:tabs>
          <w:tab w:leader="none" w:pos="175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179" w:lineRule="exact"/>
        <w:rPr>
          <w:rFonts w:ascii="Times New Roman" w:cs="Times New Roman" w:eastAsia="Times New Roman" w:hAnsi="Times New Roman"/>
          <w:sz w:val="22"/>
          <w:szCs w:val="22"/>
          <w:color w:val="auto"/>
        </w:rPr>
      </w:pPr>
    </w:p>
    <w:p>
      <w:pPr>
        <w:jc w:val="both"/>
        <w:ind w:firstLine="872"/>
        <w:spacing w:after="0" w:line="235" w:lineRule="auto"/>
        <w:tabs>
          <w:tab w:leader="none" w:pos="1842"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 (iii) 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8" w:name="page99"/>
    <w:bookmarkEnd w:id="98"/>
    <w:p>
      <w:pPr>
        <w:jc w:val="both"/>
        <w:ind w:firstLine="872"/>
        <w:spacing w:after="0" w:line="245" w:lineRule="auto"/>
        <w:tabs>
          <w:tab w:leader="none" w:pos="1807"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77" w:lineRule="exact"/>
        <w:rPr>
          <w:sz w:val="20"/>
          <w:szCs w:val="20"/>
          <w:color w:val="auto"/>
        </w:rPr>
      </w:pPr>
    </w:p>
    <w:p>
      <w:pPr>
        <w:jc w:val="both"/>
        <w:ind w:firstLine="872"/>
        <w:spacing w:after="0" w:line="239" w:lineRule="auto"/>
        <w:tabs>
          <w:tab w:leader="none" w:pos="167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Capital Structure</w:t>
      </w:r>
      <w:r>
        <w:rPr>
          <w:rFonts w:ascii="Times New Roman" w:cs="Times New Roman" w:eastAsia="Times New Roman" w:hAnsi="Times New Roman"/>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76"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Intellectual  Property  and  Noncompetition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Employee  acknowledges  that</w:t>
      </w:r>
    </w:p>
    <w:p>
      <w:pPr>
        <w:spacing w:after="0" w:line="18" w:lineRule="exact"/>
        <w:rPr>
          <w:rFonts w:ascii="Times New Roman" w:cs="Times New Roman" w:eastAsia="Times New Roman" w:hAnsi="Times New Roman"/>
          <w:sz w:val="22"/>
          <w:szCs w:val="22"/>
          <w:color w:val="auto"/>
        </w:rPr>
      </w:pPr>
    </w:p>
    <w:p>
      <w:pPr>
        <w:jc w:val="both"/>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Employee is 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181" w:lineRule="exact"/>
        <w:rPr>
          <w:rFonts w:ascii="Times New Roman" w:cs="Times New Roman" w:eastAsia="Times New Roman" w:hAnsi="Times New Roman"/>
          <w:sz w:val="22"/>
          <w:szCs w:val="22"/>
          <w:color w:val="auto"/>
        </w:rPr>
      </w:pPr>
    </w:p>
    <w:p>
      <w:pPr>
        <w:jc w:val="both"/>
        <w:ind w:firstLine="872"/>
        <w:spacing w:after="0" w:line="236" w:lineRule="auto"/>
        <w:tabs>
          <w:tab w:leader="none" w:pos="178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Securities Laws</w:t>
      </w:r>
      <w:r>
        <w:rPr>
          <w:rFonts w:ascii="Times New Roman" w:cs="Times New Roman" w:eastAsia="Times New Roman" w:hAnsi="Times New Roman"/>
          <w:sz w:val="22"/>
          <w:szCs w:val="22"/>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81"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Rights</w:t>
      </w:r>
      <w:r>
        <w:rPr>
          <w:rFonts w:ascii="Times New Roman" w:cs="Times New Roman" w:eastAsia="Times New Roman" w:hAnsi="Times New Roman"/>
          <w:sz w:val="22"/>
          <w:szCs w:val="22"/>
          <w:color w:val="auto"/>
        </w:rPr>
        <w:t>. Nothing in this Agreement or the Plan may be construed to:</w:t>
      </w:r>
    </w:p>
    <w:p>
      <w:pPr>
        <w:spacing w:after="0" w:line="206" w:lineRule="exact"/>
        <w:rPr>
          <w:sz w:val="20"/>
          <w:szCs w:val="20"/>
          <w:color w:val="auto"/>
        </w:rPr>
      </w:pPr>
    </w:p>
    <w:p>
      <w:pPr>
        <w:ind w:right="20" w:firstLine="872"/>
        <w:spacing w:after="0" w:line="258" w:lineRule="auto"/>
        <w:tabs>
          <w:tab w:leader="none" w:pos="175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9" w:name="page100"/>
    <w:bookmarkEnd w:id="99"/>
    <w:p>
      <w:pPr>
        <w:ind w:left="-872" w:right="20" w:firstLine="872"/>
        <w:spacing w:after="0" w:line="258" w:lineRule="auto"/>
        <w:tabs>
          <w:tab w:leader="none" w:pos="892"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Employee or any other person or entity any interest in any fund or in any specified asset or assets of the Company (other than the Performance Share Units); or</w:t>
      </w:r>
    </w:p>
    <w:p>
      <w:pPr>
        <w:spacing w:after="0" w:line="158" w:lineRule="exact"/>
        <w:rPr>
          <w:rFonts w:ascii="Times New Roman" w:cs="Times New Roman" w:eastAsia="Times New Roman" w:hAnsi="Times New Roman"/>
          <w:sz w:val="22"/>
          <w:szCs w:val="22"/>
          <w:color w:val="auto"/>
        </w:rPr>
      </w:pPr>
    </w:p>
    <w:p>
      <w:pPr>
        <w:ind w:left="-872" w:firstLine="872"/>
        <w:spacing w:after="0" w:line="258" w:lineRule="auto"/>
        <w:tabs>
          <w:tab w:leader="none" w:pos="88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confer upon Employee or any other person or entity the right to continue in the employment or service of the Company or any Subsidiary.</w:t>
      </w:r>
    </w:p>
    <w:p>
      <w:pPr>
        <w:spacing w:after="0" w:line="158" w:lineRule="exact"/>
        <w:rPr>
          <w:sz w:val="20"/>
          <w:szCs w:val="20"/>
          <w:color w:val="auto"/>
        </w:rPr>
      </w:pPr>
    </w:p>
    <w:p>
      <w:pPr>
        <w:ind w:left="908" w:hanging="908"/>
        <w:spacing w:after="0"/>
        <w:tabs>
          <w:tab w:leader="none" w:pos="90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8" w:hanging="888"/>
        <w:spacing w:after="0"/>
        <w:tabs>
          <w:tab w:leader="none" w:pos="888"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is defined in the introduction.</w:t>
      </w:r>
    </w:p>
    <w:p>
      <w:pPr>
        <w:spacing w:after="0" w:line="206"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 Policy” is defined in Section 14.</w:t>
      </w:r>
    </w:p>
    <w:p>
      <w:pPr>
        <w:spacing w:after="0" w:line="206" w:lineRule="exact"/>
        <w:rPr>
          <w:rFonts w:ascii="Times New Roman" w:cs="Times New Roman" w:eastAsia="Times New Roman" w:hAnsi="Times New Roman"/>
          <w:sz w:val="22"/>
          <w:szCs w:val="22"/>
          <w:color w:val="auto"/>
        </w:rPr>
      </w:pPr>
    </w:p>
    <w:p>
      <w:pPr>
        <w:ind w:left="888" w:hanging="888"/>
        <w:spacing w:after="0"/>
        <w:tabs>
          <w:tab w:leader="none" w:pos="888"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is defined in Section 2(a).</w:t>
      </w:r>
    </w:p>
    <w:p>
      <w:pPr>
        <w:spacing w:after="0" w:line="206"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is defined in Section 1.</w:t>
      </w:r>
    </w:p>
    <w:p>
      <w:pPr>
        <w:spacing w:after="0" w:line="206" w:lineRule="exact"/>
        <w:rPr>
          <w:rFonts w:ascii="Times New Roman" w:cs="Times New Roman" w:eastAsia="Times New Roman" w:hAnsi="Times New Roman"/>
          <w:sz w:val="22"/>
          <w:szCs w:val="22"/>
          <w:color w:val="auto"/>
        </w:rPr>
      </w:pPr>
    </w:p>
    <w:p>
      <w:pPr>
        <w:ind w:left="888" w:hanging="888"/>
        <w:spacing w:after="0"/>
        <w:tabs>
          <w:tab w:leader="none" w:pos="888"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is defined in the introduction.</w:t>
      </w:r>
    </w:p>
    <w:p>
      <w:pPr>
        <w:spacing w:after="0" w:line="206" w:lineRule="exact"/>
        <w:rPr>
          <w:rFonts w:ascii="Times New Roman" w:cs="Times New Roman" w:eastAsia="Times New Roman" w:hAnsi="Times New Roman"/>
          <w:sz w:val="22"/>
          <w:szCs w:val="22"/>
          <w:color w:val="auto"/>
        </w:rPr>
      </w:pPr>
    </w:p>
    <w:p>
      <w:pPr>
        <w:jc w:val="both"/>
        <w:ind w:left="-872" w:firstLine="872"/>
        <w:spacing w:after="0" w:line="233" w:lineRule="auto"/>
        <w:tabs>
          <w:tab w:leader="none" w:pos="856"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any Direct Competitor (as defined in Section 12(g) below); (iii) engages or employs, or solicits or contacts with a view to the engagement or employment of, any employee of the Company or its Subsidiaries; (iv) canvasses, solicits, approaches or entices away or causes to be canvassed, solicited, approached or enticed away from the Company or its Subsidiaries any customer of any of such entities during the Performance Period and up to and including the Vesting Date; (v) is determined to have engaged (whether or not prior to Termination of Employment) in either gross misconduct or criminal activity that is, or that could reasonably be expected to be, harmful to the Company or a Subsidiary; or (vi) takes any action that otherwise harms, or that could reasonably be expected to harm, the business interests, reputation, or goodwill of the Company or its Subsidiaries. The Committee may delegate, to an 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179" w:lineRule="exact"/>
        <w:rPr>
          <w:rFonts w:ascii="Times New Roman" w:cs="Times New Roman" w:eastAsia="Times New Roman" w:hAnsi="Times New Roman"/>
          <w:sz w:val="22"/>
          <w:szCs w:val="22"/>
          <w:color w:val="auto"/>
        </w:rPr>
      </w:pPr>
    </w:p>
    <w:p>
      <w:pPr>
        <w:jc w:val="both"/>
        <w:ind w:left="-872" w:firstLine="872"/>
        <w:spacing w:after="0" w:line="255" w:lineRule="auto"/>
        <w:tabs>
          <w:tab w:leader="none" w:pos="892"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Competitor” means any of the following: (i) Halliburton Company, Weatherford International plc, Baker Hughes Company, TechnipFMC plc, NOV Inc., and any other oilfield equipment and services entity; and (ii) any entity engaged in seismic processing and reservoir geosciences services to the oil and natural gas industry, including in all cases in clause (i) and this clause (ii), any and all of their parents, subsidiaries, affiliates, joint ventures, divisions, successors, or assigns.</w:t>
      </w:r>
    </w:p>
    <w:p>
      <w:pPr>
        <w:spacing w:after="0" w:line="161" w:lineRule="exact"/>
        <w:rPr>
          <w:rFonts w:ascii="Times New Roman" w:cs="Times New Roman" w:eastAsia="Times New Roman" w:hAnsi="Times New Roman"/>
          <w:sz w:val="21"/>
          <w:szCs w:val="21"/>
          <w:color w:val="auto"/>
        </w:rPr>
      </w:pPr>
    </w:p>
    <w:p>
      <w:pPr>
        <w:jc w:val="both"/>
        <w:ind w:left="-872" w:firstLine="872"/>
        <w:spacing w:after="0" w:line="244" w:lineRule="auto"/>
        <w:tabs>
          <w:tab w:leader="none" w:pos="892"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76" w:lineRule="exact"/>
        <w:rPr>
          <w:sz w:val="20"/>
          <w:szCs w:val="20"/>
          <w:color w:val="auto"/>
        </w:rPr>
      </w:pPr>
    </w:p>
    <w:p>
      <w:pPr>
        <w:ind w:left="9648"/>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158115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28" w:right="339" w:bottom="1440" w:gutter="0" w:footer="0" w:header="0"/>
        </w:sectPr>
      </w:pPr>
    </w:p>
    <w:bookmarkStart w:id="100" w:name="page101"/>
    <w:bookmarkEnd w:id="100"/>
    <w:p>
      <w:pPr>
        <w:ind w:firstLine="872"/>
        <w:spacing w:after="0" w:line="258" w:lineRule="auto"/>
        <w:tabs>
          <w:tab w:leader="none" w:pos="1715"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“Early Retirement” means Employee’s voluntary election to retire from employment with the Company and its Subsidiaries at any time after Employee has reached both the age of 55 and 20 years of service.</w:t>
      </w:r>
    </w:p>
    <w:p>
      <w:pPr>
        <w:spacing w:after="0" w:line="158" w:lineRule="exact"/>
        <w:rPr>
          <w:rFonts w:ascii="Times New Roman" w:cs="Times New Roman" w:eastAsia="Times New Roman" w:hAnsi="Times New Roman"/>
          <w:sz w:val="22"/>
          <w:szCs w:val="22"/>
          <w:color w:val="auto"/>
        </w:rPr>
      </w:pPr>
    </w:p>
    <w:p>
      <w:pPr>
        <w:ind w:left="1720" w:hanging="848"/>
        <w:spacing w:after="0"/>
        <w:tabs>
          <w:tab w:leader="none" w:pos="172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is defined in the introduction.</w:t>
      </w:r>
    </w:p>
    <w:p>
      <w:pPr>
        <w:spacing w:after="0" w:line="206" w:lineRule="exact"/>
        <w:rPr>
          <w:rFonts w:ascii="Times New Roman" w:cs="Times New Roman" w:eastAsia="Times New Roman" w:hAnsi="Times New Roman"/>
          <w:sz w:val="22"/>
          <w:szCs w:val="22"/>
          <w:color w:val="auto"/>
        </w:rPr>
      </w:pPr>
    </w:p>
    <w:p>
      <w:pPr>
        <w:jc w:val="both"/>
        <w:ind w:firstLine="872"/>
        <w:spacing w:after="0" w:line="238" w:lineRule="auto"/>
        <w:tabs>
          <w:tab w:leader="none" w:pos="176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6" w:lineRule="exact"/>
        <w:rPr>
          <w:rFonts w:ascii="Times New Roman" w:cs="Times New Roman" w:eastAsia="Times New Roman" w:hAnsi="Times New Roman"/>
          <w:sz w:val="22"/>
          <w:szCs w:val="22"/>
          <w:color w:val="auto"/>
        </w:rPr>
      </w:pPr>
    </w:p>
    <w:p>
      <w:pPr>
        <w:ind w:left="1720" w:hanging="848"/>
        <w:spacing w:after="0"/>
        <w:tabs>
          <w:tab w:leader="none" w:pos="172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Date” is defined in the introduction.</w:t>
      </w:r>
    </w:p>
    <w:p>
      <w:pPr>
        <w:spacing w:after="0" w:line="206" w:lineRule="exact"/>
        <w:rPr>
          <w:rFonts w:ascii="Times New Roman" w:cs="Times New Roman" w:eastAsia="Times New Roman" w:hAnsi="Times New Roman"/>
          <w:sz w:val="22"/>
          <w:szCs w:val="22"/>
          <w:color w:val="auto"/>
        </w:rPr>
      </w:pPr>
    </w:p>
    <w:p>
      <w:pPr>
        <w:ind w:left="1840" w:hanging="968"/>
        <w:spacing w:after="0"/>
        <w:tabs>
          <w:tab w:leader="none" w:pos="18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Period” is defined in Section 2.</w:t>
      </w:r>
    </w:p>
    <w:p>
      <w:pPr>
        <w:spacing w:after="0" w:line="206"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 Units” is defined in Section 1.</w:t>
      </w:r>
    </w:p>
    <w:p>
      <w:pPr>
        <w:spacing w:after="0" w:line="206"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is defined in the introduction.</w:t>
      </w:r>
    </w:p>
    <w:p>
      <w:pPr>
        <w:spacing w:after="0" w:line="206" w:lineRule="exact"/>
        <w:rPr>
          <w:rFonts w:ascii="Times New Roman" w:cs="Times New Roman" w:eastAsia="Times New Roman" w:hAnsi="Times New Roman"/>
          <w:sz w:val="22"/>
          <w:szCs w:val="22"/>
          <w:color w:val="auto"/>
        </w:rPr>
      </w:pPr>
    </w:p>
    <w:p>
      <w:pPr>
        <w:ind w:firstLine="872"/>
        <w:spacing w:after="0" w:line="258" w:lineRule="auto"/>
        <w:tabs>
          <w:tab w:leader="none" w:pos="176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means Employee’s voluntary election to retire from employment with the Company and its Subsidiaries at any time after Employee has reached both the age of 60 and 25 years of service.</w:t>
      </w:r>
    </w:p>
    <w:p>
      <w:pPr>
        <w:spacing w:after="0" w:line="158" w:lineRule="exact"/>
        <w:rPr>
          <w:rFonts w:ascii="Times New Roman" w:cs="Times New Roman" w:eastAsia="Times New Roman" w:hAnsi="Times New Roman"/>
          <w:sz w:val="22"/>
          <w:szCs w:val="22"/>
          <w:color w:val="auto"/>
        </w:rPr>
      </w:pPr>
    </w:p>
    <w:p>
      <w:pPr>
        <w:ind w:firstLine="872"/>
        <w:spacing w:after="0" w:line="258" w:lineRule="auto"/>
        <w:tabs>
          <w:tab w:leader="none" w:pos="176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Committee” means a committee consisting of the Company’s Vice President of Human Resources, the HR Director Total Talent Management and the HR Director Total Rewards.</w:t>
      </w:r>
    </w:p>
    <w:p>
      <w:pPr>
        <w:spacing w:after="0" w:line="158" w:lineRule="exact"/>
        <w:rPr>
          <w:rFonts w:ascii="Times New Roman" w:cs="Times New Roman" w:eastAsia="Times New Roman" w:hAnsi="Times New Roman"/>
          <w:sz w:val="22"/>
          <w:szCs w:val="22"/>
          <w:color w:val="auto"/>
        </w:rPr>
      </w:pPr>
    </w:p>
    <w:p>
      <w:pPr>
        <w:ind w:left="1740" w:hanging="868"/>
        <w:spacing w:after="0"/>
        <w:tabs>
          <w:tab w:leader="none" w:pos="17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Date” is defined in Section 3.</w:t>
      </w:r>
    </w:p>
    <w:p>
      <w:pPr>
        <w:spacing w:after="0" w:line="206" w:lineRule="exact"/>
        <w:rPr>
          <w:rFonts w:ascii="Times New Roman" w:cs="Times New Roman" w:eastAsia="Times New Roman" w:hAnsi="Times New Roman"/>
          <w:sz w:val="22"/>
          <w:szCs w:val="22"/>
          <w:color w:val="auto"/>
        </w:rPr>
      </w:pPr>
    </w:p>
    <w:p>
      <w:pPr>
        <w:ind w:right="20" w:firstLine="872"/>
        <w:spacing w:after="0" w:line="258" w:lineRule="auto"/>
        <w:tabs>
          <w:tab w:leader="none" w:pos="1739"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Retirement” means Employee’s voluntary election to retire from employment with the Company and its Subsidiaries at any time after Employee has reached both the age of 50 and 10 years of service.</w:t>
      </w:r>
    </w:p>
    <w:p>
      <w:pPr>
        <w:spacing w:after="0" w:line="158" w:lineRule="exact"/>
        <w:rPr>
          <w:rFonts w:ascii="Times New Roman" w:cs="Times New Roman" w:eastAsia="Times New Roman" w:hAnsi="Times New Roman"/>
          <w:sz w:val="22"/>
          <w:szCs w:val="22"/>
          <w:color w:val="auto"/>
        </w:rPr>
      </w:pPr>
    </w:p>
    <w:p>
      <w:pPr>
        <w:jc w:val="both"/>
        <w:ind w:firstLine="872"/>
        <w:spacing w:after="0" w:line="239" w:lineRule="auto"/>
        <w:tabs>
          <w:tab w:leader="none" w:pos="1715"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80"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Date” is defined in Section 7(b).</w:t>
      </w:r>
    </w:p>
    <w:p>
      <w:pPr>
        <w:spacing w:after="0" w:line="206"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“Tax-Related Items” is defined in Section 7(a).</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1" w:name="page102"/>
    <w:bookmarkEnd w:id="101"/>
    <w:p>
      <w:pPr>
        <w:jc w:val="both"/>
        <w:ind w:left="-872" w:firstLine="872"/>
        <w:spacing w:after="0" w:line="239" w:lineRule="auto"/>
        <w:tabs>
          <w:tab w:leader="none" w:pos="94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Employment” means the voluntary or involuntary termination of Employee’s employment with the Company and its Subsidiaries for any reason; provided, however, that temporary absences from employment because of illness, vacation or leave of absence and transfers among the Company and its Subsidiaries will not constitute a Termination of Employment.</w:t>
      </w:r>
    </w:p>
    <w:p>
      <w:pPr>
        <w:spacing w:after="0" w:line="180"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is defined in Section 5(a).</w:t>
      </w:r>
    </w:p>
    <w:p>
      <w:pPr>
        <w:spacing w:after="0" w:line="206" w:lineRule="exact"/>
        <w:rPr>
          <w:rFonts w:ascii="Times New Roman" w:cs="Times New Roman" w:eastAsia="Times New Roman" w:hAnsi="Times New Roman"/>
          <w:sz w:val="22"/>
          <w:szCs w:val="22"/>
          <w:color w:val="auto"/>
        </w:rPr>
      </w:pPr>
    </w:p>
    <w:p>
      <w:pPr>
        <w:ind w:left="908" w:hanging="908"/>
        <w:spacing w:after="0"/>
        <w:tabs>
          <w:tab w:leader="none" w:pos="90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Date” is defined in Section 2(a).</w:t>
      </w:r>
    </w:p>
    <w:p>
      <w:pPr>
        <w:spacing w:after="0" w:line="206" w:lineRule="exact"/>
        <w:rPr>
          <w:sz w:val="20"/>
          <w:szCs w:val="20"/>
          <w:color w:val="auto"/>
        </w:rPr>
      </w:pPr>
    </w:p>
    <w:p>
      <w:pPr>
        <w:ind w:left="908" w:hanging="908"/>
        <w:spacing w:after="0"/>
        <w:tabs>
          <w:tab w:leader="none" w:pos="90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72" w:firstLine="872"/>
        <w:spacing w:after="0" w:line="282" w:lineRule="auto"/>
        <w:tabs>
          <w:tab w:leader="none" w:pos="88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34" w:lineRule="exact"/>
        <w:rPr>
          <w:rFonts w:ascii="Times New Roman" w:cs="Times New Roman" w:eastAsia="Times New Roman" w:hAnsi="Times New Roman"/>
          <w:sz w:val="21"/>
          <w:szCs w:val="21"/>
          <w:color w:val="auto"/>
        </w:rPr>
      </w:pPr>
    </w:p>
    <w:p>
      <w:pPr>
        <w:jc w:val="both"/>
        <w:ind w:left="-872" w:firstLine="872"/>
        <w:spacing w:after="0" w:line="244" w:lineRule="auto"/>
        <w:tabs>
          <w:tab w:leader="none" w:pos="89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73" w:lineRule="exact"/>
        <w:rPr>
          <w:rFonts w:ascii="Times New Roman" w:cs="Times New Roman" w:eastAsia="Times New Roman" w:hAnsi="Times New Roman"/>
          <w:sz w:val="22"/>
          <w:szCs w:val="22"/>
          <w:color w:val="auto"/>
        </w:rPr>
      </w:pPr>
    </w:p>
    <w:p>
      <w:pPr>
        <w:ind w:left="-872" w:firstLine="872"/>
        <w:spacing w:after="0" w:line="258" w:lineRule="auto"/>
        <w:tabs>
          <w:tab w:leader="none" w:pos="88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invalidity or unenforceability of any provision of this Agreement will not affect the validity or enforceability of any other provision of this Agreement.</w:t>
      </w:r>
    </w:p>
    <w:p>
      <w:pPr>
        <w:spacing w:after="0" w:line="158" w:lineRule="exact"/>
        <w:rPr>
          <w:rFonts w:ascii="Times New Roman" w:cs="Times New Roman" w:eastAsia="Times New Roman" w:hAnsi="Times New Roman"/>
          <w:sz w:val="22"/>
          <w:szCs w:val="22"/>
          <w:color w:val="auto"/>
        </w:rPr>
      </w:pPr>
    </w:p>
    <w:p>
      <w:pPr>
        <w:jc w:val="both"/>
        <w:ind w:left="-872" w:firstLine="872"/>
        <w:spacing w:after="0" w:line="244" w:lineRule="auto"/>
        <w:tabs>
          <w:tab w:leader="none" w:pos="89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73" w:lineRule="exact"/>
        <w:rPr>
          <w:rFonts w:ascii="Times New Roman" w:cs="Times New Roman" w:eastAsia="Times New Roman" w:hAnsi="Times New Roman"/>
          <w:sz w:val="22"/>
          <w:szCs w:val="22"/>
          <w:color w:val="auto"/>
        </w:rPr>
      </w:pPr>
    </w:p>
    <w:p>
      <w:pPr>
        <w:jc w:val="both"/>
        <w:ind w:left="-872" w:firstLine="872"/>
        <w:spacing w:after="0" w:line="244" w:lineRule="auto"/>
        <w:tabs>
          <w:tab w:leader="none" w:pos="88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73" w:lineRule="exact"/>
        <w:rPr>
          <w:rFonts w:ascii="Times New Roman" w:cs="Times New Roman" w:eastAsia="Times New Roman" w:hAnsi="Times New Roman"/>
          <w:sz w:val="22"/>
          <w:szCs w:val="22"/>
          <w:color w:val="auto"/>
        </w:rPr>
      </w:pPr>
    </w:p>
    <w:p>
      <w:pPr>
        <w:ind w:left="-872" w:right="20" w:firstLine="872"/>
        <w:spacing w:after="0" w:line="258" w:lineRule="auto"/>
        <w:tabs>
          <w:tab w:leader="none" w:pos="85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and the Company agree to execute such further instruments and to take such further action as may reasonably be necessary to carry out the intent of this Agreement.</w:t>
      </w:r>
    </w:p>
    <w:p>
      <w:pPr>
        <w:spacing w:after="0" w:line="158" w:lineRule="exact"/>
        <w:rPr>
          <w:rFonts w:ascii="Times New Roman" w:cs="Times New Roman" w:eastAsia="Times New Roman" w:hAnsi="Times New Roman"/>
          <w:sz w:val="22"/>
          <w:szCs w:val="22"/>
          <w:color w:val="auto"/>
        </w:rPr>
      </w:pPr>
    </w:p>
    <w:p>
      <w:pPr>
        <w:jc w:val="both"/>
        <w:ind w:left="-872" w:firstLine="872"/>
        <w:spacing w:after="0" w:line="235" w:lineRule="auto"/>
        <w:tabs>
          <w:tab w:leader="none" w:pos="89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 (A) 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81" w:lineRule="exact"/>
        <w:rPr>
          <w:sz w:val="20"/>
          <w:szCs w:val="20"/>
          <w:color w:val="auto"/>
        </w:rPr>
      </w:pPr>
    </w:p>
    <w:p>
      <w:pPr>
        <w:ind w:left="9648"/>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158115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28" w:right="339" w:bottom="1440" w:gutter="0" w:footer="0" w:header="0"/>
        </w:sectPr>
      </w:pPr>
    </w:p>
    <w:bookmarkStart w:id="102" w:name="page103"/>
    <w:bookmarkEnd w:id="102"/>
    <w:p>
      <w:pPr>
        <w:jc w:val="both"/>
        <w:ind w:firstLine="872"/>
        <w:spacing w:after="0" w:line="243" w:lineRule="auto"/>
        <w:tabs>
          <w:tab w:leader="none" w:pos="1763"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THE COMPANY HEREBY WAIVE, TO THE FULLEST EXTENT PERMITTED BY LAW, ANY RIGHT TO TRIAL BY JURY OF ANY CLAIM, DEMAND, ACTION, OR CAUSE OF ACTION ARISING OUT OF THIS AGREEMENT OR ANY ATTACHMENT THERETO.</w:t>
      </w:r>
    </w:p>
    <w:p>
      <w:pPr>
        <w:spacing w:after="0" w:line="187" w:lineRule="exact"/>
        <w:rPr>
          <w:sz w:val="20"/>
          <w:szCs w:val="20"/>
          <w:color w:val="auto"/>
        </w:rPr>
      </w:pPr>
    </w:p>
    <w:p>
      <w:pPr>
        <w:jc w:val="both"/>
        <w:ind w:firstLine="872"/>
        <w:spacing w:after="0" w:line="248" w:lineRule="auto"/>
        <w:tabs>
          <w:tab w:leader="none" w:pos="1782"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you are covered by the Clawback Policy. You acknowledge that if you are covered by such policy, the policy may result in the recoupment of the Performance Share Units, any shares of Common Stock delivered hereunder and any profits realized on the sale of such shares either before, on or after the date on which you become subject to such policy. In addition, by acceptance of this award, you agree that any prior awards that have been issued to you pursuant to the Plan or any other incentive plan of the Company are subject to the Clawback Policy.</w:t>
      </w:r>
    </w:p>
    <w:p>
      <w:pPr>
        <w:spacing w:after="0" w:line="170" w:lineRule="exact"/>
        <w:rPr>
          <w:rFonts w:ascii="Times New Roman" w:cs="Times New Roman" w:eastAsia="Times New Roman" w:hAnsi="Times New Roman"/>
          <w:sz w:val="21"/>
          <w:szCs w:val="21"/>
          <w:color w:val="auto"/>
        </w:rPr>
      </w:pPr>
    </w:p>
    <w:p>
      <w:pPr>
        <w:jc w:val="both"/>
        <w:ind w:firstLine="872"/>
        <w:spacing w:after="0" w:line="235" w:lineRule="auto"/>
        <w:tabs>
          <w:tab w:leader="none" w:pos="178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 of Award</w:t>
      </w:r>
      <w:r>
        <w:rPr>
          <w:rFonts w:ascii="Times New Roman" w:cs="Times New Roman" w:eastAsia="Times New Roman" w:hAnsi="Times New Roman"/>
          <w:sz w:val="22"/>
          <w:szCs w:val="22"/>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2"/>
          <w:szCs w:val="22"/>
          <w:b w:val="1"/>
          <w:bCs w:val="1"/>
          <w:color w:val="auto"/>
        </w:rPr>
        <w:t>ATTACHMENT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Conditions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Subject to the provisions of the Agreement and this Attachment I, vesting of the Performance Share Units is conditioned upon the Company’s achievement of certain performance conditions as set forth herein. At the conclusion of the Performance Period, the Committee will certify the Company’s cumulative TSR (as defined below) over the Performance Period and determine the Company’s Relative TSR Percentile Rank (as defined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Definitions</w:t>
      </w:r>
    </w:p>
    <w:p>
      <w:pPr>
        <w:spacing w:after="0" w:line="210"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color w:val="auto"/>
        </w:rPr>
        <w:t>“Total Shareholder Return” or “TSR” means the cumulative rate of return reflecting price appreciation plus reinvestment of dividends and the compounding effect of dividends paid on reinvested dividends. The Committee will utilize Standard &amp; Poor’s Compustat Database (or any successor database), or such other database or method as the Committee determines is appropriate in its discretion, to calculate any company’s TSR. The share price appreciation will be measured by the difference between the share price at the beginning of the Performance Period, which is calculated based on a 20-trading day closing price average for the first 20 days of the performance period and the last 20 days at the end of the Performance Period.</w:t>
      </w:r>
    </w:p>
    <w:p>
      <w:pPr>
        <w:spacing w:after="0" w:line="171"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“Relative TSR Percentile Rank” means the percentile rank of the TSRs among the Peer Group Members (as defined below) for the Performance Period. The Company’s Relative TSR Percentile Rank will be calculated by first determining the percentile rank of the Peer Group Members, excluding the Company, ranked from highest to lowest according to each such company’s cumulative TSR over the Performance Period. Then, if the Company’s TSR is equal to or exceeds the highest TSR among the Peer Group Members, the Company’s percentile will be equal to 100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If the Company’s TSR is equal to or below the lowest TSR among the Peer Group Members, the Company’s percentile will be equal to zero. Otherwise, the Company’s Relative TSR Percentile Rank will be determined based on interpolation as set forth below.</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“Peer Group Members” means the following comparators: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Performance/Payout</w:t>
      </w:r>
    </w:p>
    <w:p>
      <w:pPr>
        <w:spacing w:after="0" w:line="200" w:lineRule="exact"/>
        <w:rPr>
          <w:sz w:val="20"/>
          <w:szCs w:val="20"/>
          <w:color w:val="auto"/>
        </w:rPr>
      </w:pPr>
    </w:p>
    <w:p>
      <w:pPr>
        <w:spacing w:after="0" w:line="2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number of Performance Share Units that will vest on the Vesting Date will be equal to the product of (i) the target Performance Share Units and (ii) the Payout Factor for the Performance Period, determined using the performance/payout matrix below.</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9</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300"/>
        </w:trPr>
        <w:tc>
          <w:tcPr>
            <w:tcW w:w="3760" w:type="dxa"/>
            <w:vAlign w:val="bottom"/>
            <w:tcBorders>
              <w:top w:val="single" w:sz="8" w:color="auto"/>
              <w:left w:val="single" w:sz="8" w:color="auto"/>
              <w:right w:val="single" w:sz="8" w:color="auto"/>
            </w:tcBorders>
            <w:shd w:val="clear" w:color="auto" w:fill="D9D9D9"/>
          </w:tcPr>
          <w:p>
            <w:pPr>
              <w:ind w:left="1000"/>
              <w:spacing w:after="0"/>
              <w:rPr>
                <w:sz w:val="20"/>
                <w:szCs w:val="20"/>
                <w:color w:val="auto"/>
              </w:rPr>
            </w:pPr>
            <w:r>
              <w:rPr>
                <w:rFonts w:ascii="Times New Roman" w:cs="Times New Roman" w:eastAsia="Times New Roman" w:hAnsi="Times New Roman"/>
                <w:sz w:val="22"/>
                <w:szCs w:val="22"/>
                <w:b w:val="1"/>
                <w:bCs w:val="1"/>
                <w:color w:val="auto"/>
              </w:rPr>
              <w:t>Performance Level</w:t>
            </w:r>
          </w:p>
        </w:tc>
        <w:tc>
          <w:tcPr>
            <w:tcW w:w="180" w:type="dxa"/>
            <w:vAlign w:val="bottom"/>
            <w:tcBorders>
              <w:top w:val="single" w:sz="8" w:color="auto"/>
            </w:tcBorders>
            <w:shd w:val="clear" w:color="auto" w:fill="D9D9D9"/>
          </w:tcPr>
          <w:p>
            <w:pPr>
              <w:spacing w:after="0"/>
              <w:rPr>
                <w:sz w:val="24"/>
                <w:szCs w:val="24"/>
                <w:color w:val="auto"/>
              </w:rPr>
            </w:pPr>
          </w:p>
        </w:tc>
        <w:tc>
          <w:tcPr>
            <w:tcW w:w="3560" w:type="dxa"/>
            <w:vAlign w:val="bottom"/>
            <w:tcBorders>
              <w:top w:val="single" w:sz="8" w:color="auto"/>
              <w:right w:val="single" w:sz="8" w:color="auto"/>
            </w:tcBorders>
            <w:shd w:val="clear" w:color="auto" w:fill="D9D9D9"/>
          </w:tcPr>
          <w:p>
            <w:pPr>
              <w:ind w:left="280"/>
              <w:spacing w:after="0"/>
              <w:rPr>
                <w:sz w:val="20"/>
                <w:szCs w:val="20"/>
                <w:color w:val="auto"/>
              </w:rPr>
            </w:pPr>
            <w:r>
              <w:rPr>
                <w:rFonts w:ascii="Times New Roman" w:cs="Times New Roman" w:eastAsia="Times New Roman" w:hAnsi="Times New Roman"/>
                <w:sz w:val="22"/>
                <w:szCs w:val="22"/>
                <w:b w:val="1"/>
                <w:bCs w:val="1"/>
                <w:color w:val="auto"/>
              </w:rPr>
              <w:t>Relative TSR Percentile Rank</w:t>
            </w:r>
          </w:p>
        </w:tc>
        <w:tc>
          <w:tcPr>
            <w:tcW w:w="180" w:type="dxa"/>
            <w:vAlign w:val="bottom"/>
            <w:tcBorders>
              <w:top w:val="single" w:sz="8" w:color="auto"/>
            </w:tcBorders>
            <w:shd w:val="clear" w:color="auto" w:fill="D9D9D9"/>
          </w:tcPr>
          <w:p>
            <w:pPr>
              <w:spacing w:after="0"/>
              <w:rPr>
                <w:sz w:val="24"/>
                <w:szCs w:val="24"/>
                <w:color w:val="auto"/>
              </w:rPr>
            </w:pPr>
          </w:p>
        </w:tc>
        <w:tc>
          <w:tcPr>
            <w:tcW w:w="3560" w:type="dxa"/>
            <w:vAlign w:val="bottom"/>
            <w:tcBorders>
              <w:top w:val="single" w:sz="8" w:color="auto"/>
              <w:right w:val="single" w:sz="8" w:color="auto"/>
            </w:tcBorders>
            <w:shd w:val="clear" w:color="auto" w:fill="D9D9D9"/>
          </w:tcPr>
          <w:p>
            <w:pPr>
              <w:jc w:val="right"/>
              <w:ind w:right="1119"/>
              <w:spacing w:after="0"/>
              <w:rPr>
                <w:sz w:val="20"/>
                <w:szCs w:val="20"/>
                <w:color w:val="auto"/>
              </w:rPr>
            </w:pPr>
            <w:r>
              <w:rPr>
                <w:rFonts w:ascii="Times New Roman" w:cs="Times New Roman" w:eastAsia="Times New Roman" w:hAnsi="Times New Roman"/>
                <w:sz w:val="22"/>
                <w:szCs w:val="22"/>
                <w:b w:val="1"/>
                <w:bCs w:val="1"/>
                <w:color w:val="auto"/>
              </w:rPr>
              <w:t>Payout Factor</w:t>
            </w:r>
          </w:p>
        </w:tc>
      </w:tr>
      <w:tr>
        <w:trPr>
          <w:trHeight w:val="173"/>
        </w:trPr>
        <w:tc>
          <w:tcPr>
            <w:tcW w:w="376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80" w:type="dxa"/>
            <w:vAlign w:val="bottom"/>
            <w:tcBorders>
              <w:bottom w:val="single" w:sz="8" w:color="auto"/>
            </w:tcBorders>
            <w:shd w:val="clear" w:color="auto" w:fill="D9D9D9"/>
          </w:tcPr>
          <w:p>
            <w:pPr>
              <w:spacing w:after="0"/>
              <w:rPr>
                <w:sz w:val="15"/>
                <w:szCs w:val="15"/>
                <w:color w:val="auto"/>
              </w:rPr>
            </w:pPr>
          </w:p>
        </w:tc>
        <w:tc>
          <w:tcPr>
            <w:tcW w:w="3560" w:type="dxa"/>
            <w:vAlign w:val="bottom"/>
            <w:tcBorders>
              <w:bottom w:val="single" w:sz="8" w:color="auto"/>
              <w:right w:val="single" w:sz="8" w:color="auto"/>
            </w:tcBorders>
            <w:shd w:val="clear" w:color="auto" w:fill="D9D9D9"/>
          </w:tcPr>
          <w:p>
            <w:pPr>
              <w:spacing w:after="0"/>
              <w:rPr>
                <w:sz w:val="15"/>
                <w:szCs w:val="15"/>
                <w:color w:val="auto"/>
              </w:rPr>
            </w:pPr>
          </w:p>
        </w:tc>
        <w:tc>
          <w:tcPr>
            <w:tcW w:w="180" w:type="dxa"/>
            <w:vAlign w:val="bottom"/>
            <w:tcBorders>
              <w:bottom w:val="single" w:sz="8" w:color="auto"/>
            </w:tcBorders>
            <w:shd w:val="clear" w:color="auto" w:fill="D9D9D9"/>
          </w:tcPr>
          <w:p>
            <w:pPr>
              <w:spacing w:after="0"/>
              <w:rPr>
                <w:sz w:val="15"/>
                <w:szCs w:val="15"/>
                <w:color w:val="auto"/>
              </w:rPr>
            </w:pPr>
          </w:p>
        </w:tc>
        <w:tc>
          <w:tcPr>
            <w:tcW w:w="356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76"/>
        </w:trPr>
        <w:tc>
          <w:tcPr>
            <w:tcW w:w="3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Maximum</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percentile</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3560" w:type="dxa"/>
            <w:vAlign w:val="bottom"/>
            <w:tcBorders>
              <w:right w:val="single" w:sz="8" w:color="auto"/>
            </w:tcBorders>
          </w:tcPr>
          <w:p>
            <w:pPr>
              <w:jc w:val="right"/>
              <w:ind w:right="309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p>
        </w:tc>
      </w:tr>
      <w:tr>
        <w:trPr>
          <w:trHeight w:val="177"/>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r>
      <w:tr>
        <w:trPr>
          <w:trHeight w:val="276"/>
        </w:trPr>
        <w:tc>
          <w:tcPr>
            <w:tcW w:w="3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Target</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percentile</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3560" w:type="dxa"/>
            <w:vAlign w:val="bottom"/>
            <w:tcBorders>
              <w:right w:val="single" w:sz="8" w:color="auto"/>
            </w:tcBorders>
          </w:tcPr>
          <w:p>
            <w:pPr>
              <w:jc w:val="right"/>
              <w:ind w:right="309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p>
        </w:tc>
      </w:tr>
      <w:tr>
        <w:trPr>
          <w:trHeight w:val="177"/>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r>
      <w:tr>
        <w:trPr>
          <w:trHeight w:val="276"/>
        </w:trPr>
        <w:tc>
          <w:tcPr>
            <w:tcW w:w="3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Threshold</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percentile</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3560" w:type="dxa"/>
            <w:vAlign w:val="bottom"/>
            <w:tcBorders>
              <w:right w:val="single" w:sz="8" w:color="auto"/>
            </w:tcBorders>
          </w:tcPr>
          <w:p>
            <w:pPr>
              <w:jc w:val="right"/>
              <w:ind w:right="309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p>
        </w:tc>
      </w:tr>
      <w:tr>
        <w:trPr>
          <w:trHeight w:val="177"/>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40" w:type="dxa"/>
            <w:vAlign w:val="bottom"/>
            <w:tcBorders>
              <w:bottom w:val="single" w:sz="8" w:color="auto"/>
              <w:right w:val="single" w:sz="8" w:color="auto"/>
            </w:tcBorders>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r>
      <w:tr>
        <w:trPr>
          <w:trHeight w:val="276"/>
        </w:trPr>
        <w:tc>
          <w:tcPr>
            <w:tcW w:w="3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Below Threshold</w:t>
            </w:r>
          </w:p>
        </w:tc>
        <w:tc>
          <w:tcPr>
            <w:tcW w:w="37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 xml:space="preserve">Below </w:t>
            </w:r>
            <w:r>
              <w:rPr>
                <w:rFonts w:ascii="Times New Roman" w:cs="Times New Roman" w:eastAsia="Times New Roman" w:hAnsi="Times New Roman"/>
                <w:sz w:val="19"/>
                <w:szCs w:val="19"/>
                <w:color w:val="auto"/>
              </w:rPr>
              <w:t>[   ]</w:t>
            </w:r>
            <w:r>
              <w:rPr>
                <w:rFonts w:ascii="Times New Roman" w:cs="Times New Roman" w:eastAsia="Times New Roman" w:hAnsi="Times New Roman"/>
                <w:sz w:val="22"/>
                <w:szCs w:val="22"/>
                <w:color w:val="auto"/>
              </w:rPr>
              <w:t xml:space="preserve"> percentile</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3560" w:type="dxa"/>
            <w:vAlign w:val="bottom"/>
            <w:tcBorders>
              <w:right w:val="single" w:sz="8" w:color="auto"/>
            </w:tcBorders>
          </w:tcPr>
          <w:p>
            <w:pPr>
              <w:jc w:val="right"/>
              <w:ind w:right="309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p>
        </w:tc>
      </w:tr>
      <w:tr>
        <w:trPr>
          <w:trHeight w:val="177"/>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As demonstrated in the chart below, to the extent the Relative TSR Percentile Rank for the Performance Period is between specified performance levels, the portion of the target Performance Share Units that will vest will be determined using straight line interpolation;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maximum number of Performance Share Units that may become vested for the Performance Period will not exceed [ ]% of the target Performance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Changes in Peer Group Companies</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Unless the Committee determines otherwise in its discretion, then if, at any time during the Performance Period:</w:t>
      </w:r>
    </w:p>
    <w:p>
      <w:pPr>
        <w:spacing w:after="0" w:line="206" w:lineRule="exact"/>
        <w:rPr>
          <w:sz w:val="20"/>
          <w:szCs w:val="20"/>
          <w:color w:val="auto"/>
        </w:rPr>
      </w:pPr>
    </w:p>
    <w:p>
      <w:pPr>
        <w:jc w:val="both"/>
        <w:ind w:left="1300" w:hanging="442"/>
        <w:spacing w:after="0" w:line="238" w:lineRule="auto"/>
        <w:tabs>
          <w:tab w:leader="none" w:pos="13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Peer Group Member files for bankruptcy protection or ceases to be listed on a U.S. national exchange due to the failure to meet applicable listing requirements, then such member will be treated as having achieved the lowest possible Total Shareholder Return and Relative TSR Percentile Rank;</w:t>
      </w:r>
    </w:p>
    <w:p>
      <w:pPr>
        <w:jc w:val="both"/>
        <w:ind w:left="1300" w:hanging="442"/>
        <w:spacing w:after="0" w:line="234" w:lineRule="auto"/>
        <w:tabs>
          <w:tab w:leader="none" w:pos="13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Peer Group Member is acquired by, or completes a merger or other combination with, or has sold all or substantially all of its assets to, another Peer Group Member, the acquiring or surviving member, as applicable, will be included in the Relative TSR Percentile Rank, and the acquired or non-surviving member, as applicable, will not be included in the Relative TSR Percentile Rank for any of the Performance Period; or</w:t>
      </w:r>
    </w:p>
    <w:p>
      <w:pPr>
        <w:spacing w:after="0" w:line="18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10</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05" w:name="page106"/>
    <w:bookmarkEnd w:id="105"/>
    <w:p>
      <w:pPr>
        <w:jc w:val="both"/>
        <w:ind w:left="1300" w:hanging="442"/>
        <w:spacing w:after="0" w:line="239" w:lineRule="auto"/>
        <w:tabs>
          <w:tab w:leader="none" w:pos="13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Peer Group Member is acquired by, or completes a merger or other combination with, or has sold all or substantially all of its assets to, an entity that is not a Peer Group Member, and the Peer Group Member is not the surviving publicly-traded entity following the transaction, then neither (i) the acquirer or surviving entity, as applicable, nor (ii) the acquired or non-surviving member, as applicable, will be included in the Relative TSR</w:t>
      </w:r>
    </w:p>
    <w:p>
      <w:pPr>
        <w:sectPr>
          <w:pgSz w:w="11900" w:h="16838" w:orient="portrait"/>
          <w:cols w:equalWidth="0" w:num="1">
            <w:col w:w="11240"/>
          </w:cols>
          <w:pgMar w:left="320" w:top="328" w:right="339" w:bottom="1440" w:gutter="0" w:footer="0" w:header="0"/>
        </w:sectPr>
      </w:pP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Times New Roman" w:cs="Times New Roman" w:eastAsia="Times New Roman" w:hAnsi="Times New Roman"/>
          <w:sz w:val="22"/>
          <w:szCs w:val="22"/>
          <w:color w:val="auto"/>
        </w:rPr>
        <w:t>Percentile Rank.</w:t>
      </w:r>
    </w:p>
    <w:p>
      <w:pPr>
        <w:spacing w:after="0"/>
        <w:tabs>
          <w:tab w:leader="none" w:pos="6020" w:val="left"/>
        </w:tabs>
        <w:rPr>
          <w:sz w:val="20"/>
          <w:szCs w:val="20"/>
          <w:color w:val="auto"/>
        </w:rPr>
      </w:pPr>
      <w:r>
        <w:rPr>
          <w:rFonts w:ascii="Times New Roman" w:cs="Times New Roman" w:eastAsia="Times New Roman" w:hAnsi="Times New Roman"/>
          <w:sz w:val="22"/>
          <w:szCs w:val="22"/>
          <w:color w:val="auto"/>
        </w:rPr>
        <w:t>If more than two companies are removed, the [</w:t>
      </w:r>
      <w:r>
        <w:rPr>
          <w:sz w:val="20"/>
          <w:szCs w:val="20"/>
          <w:color w:val="auto"/>
        </w:rPr>
        <w:tab/>
      </w:r>
      <w:r>
        <w:rPr>
          <w:rFonts w:ascii="Times New Roman" w:cs="Times New Roman" w:eastAsia="Times New Roman" w:hAnsi="Times New Roman"/>
          <w:sz w:val="21"/>
          <w:szCs w:val="21"/>
          <w:color w:val="auto"/>
        </w:rPr>
        <w:t>] individual companies will become the peer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w:t>
      </w:r>
    </w:p>
    <w:p>
      <w:pPr>
        <w:spacing w:after="0" w:line="200" w:lineRule="exact"/>
        <w:rPr>
          <w:sz w:val="20"/>
          <w:szCs w:val="20"/>
          <w:color w:val="auto"/>
        </w:rPr>
      </w:pPr>
    </w:p>
    <w:p>
      <w:pPr>
        <w:sectPr>
          <w:pgSz w:w="11900" w:h="16838" w:orient="portrait"/>
          <w:cols w:equalWidth="0" w:num="2">
            <w:col w:w="940" w:space="360"/>
            <w:col w:w="9940"/>
          </w:cols>
          <w:pgMar w:left="320" w:top="328"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Interpretation</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the event of any ambiguity or discrepancy in this Agreement (including this Attachment I), the determination of the Committee shall be final and binding.</w:t>
      </w: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06" w:name="page107"/>
    <w:bookmarkEnd w:id="106"/>
    <w:p>
      <w:pPr>
        <w:jc w:val="center"/>
        <w:ind w:right="7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6226175</wp:posOffset>
            </wp:positionH>
            <wp:positionV relativeFrom="page">
              <wp:posOffset>88900</wp:posOffset>
            </wp:positionV>
            <wp:extent cx="1114425"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114425" cy="240030"/>
                    </a:xfrm>
                    <a:prstGeom prst="rect">
                      <a:avLst/>
                    </a:prstGeom>
                    <a:noFill/>
                  </pic:spPr>
                </pic:pic>
              </a:graphicData>
            </a:graphic>
          </wp:anchor>
        </w:drawing>
        <w:t>ATTACHMENT II</w:t>
      </w:r>
    </w:p>
    <w:p>
      <w:pPr>
        <w:spacing w:after="0" w:line="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22"/>
          <w:szCs w:val="22"/>
          <w:b w:val="1"/>
          <w:bCs w:val="1"/>
          <w:color w:val="auto"/>
        </w:rPr>
        <w:t>Confidential Information, Intellectual Property,</w:t>
      </w:r>
    </w:p>
    <w:p>
      <w:pPr>
        <w:jc w:val="center"/>
        <w:ind w:right="760"/>
        <w:spacing w:after="0" w:line="230" w:lineRule="auto"/>
        <w:rPr>
          <w:sz w:val="20"/>
          <w:szCs w:val="20"/>
          <w:color w:val="auto"/>
        </w:rPr>
      </w:pPr>
      <w:r>
        <w:rPr>
          <w:rFonts w:ascii="Times New Roman" w:cs="Times New Roman" w:eastAsia="Times New Roman" w:hAnsi="Times New Roman"/>
          <w:sz w:val="22"/>
          <w:szCs w:val="22"/>
          <w:b w:val="1"/>
          <w:bCs w:val="1"/>
          <w:color w:val="auto"/>
        </w:rPr>
        <w:t>Non-Compete and Non-Solicitation Agreement</w:t>
      </w:r>
    </w:p>
    <w:p>
      <w:pPr>
        <w:spacing w:after="0" w:line="1" w:lineRule="exact"/>
        <w:rPr>
          <w:sz w:val="20"/>
          <w:szCs w:val="20"/>
          <w:color w:val="auto"/>
        </w:rPr>
      </w:pPr>
    </w:p>
    <w:p>
      <w:pPr>
        <w:ind w:left="1120" w:hanging="809"/>
        <w:spacing w:after="0"/>
        <w:tabs>
          <w:tab w:leader="none" w:pos="112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firstLine="809"/>
        <w:spacing w:after="0" w:line="244" w:lineRule="auto"/>
        <w:tabs>
          <w:tab w:leader="none" w:pos="1693"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73" w:lineRule="exact"/>
        <w:rPr>
          <w:rFonts w:ascii="Times New Roman" w:cs="Times New Roman" w:eastAsia="Times New Roman" w:hAnsi="Times New Roman"/>
          <w:sz w:val="22"/>
          <w:szCs w:val="22"/>
          <w:color w:val="auto"/>
        </w:rPr>
      </w:pPr>
    </w:p>
    <w:p>
      <w:pPr>
        <w:jc w:val="both"/>
        <w:ind w:firstLine="809"/>
        <w:spacing w:after="0" w:line="233" w:lineRule="auto"/>
        <w:tabs>
          <w:tab w:leader="none" w:pos="1705"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79" w:lineRule="exact"/>
        <w:rPr>
          <w:rFonts w:ascii="Times New Roman" w:cs="Times New Roman" w:eastAsia="Times New Roman" w:hAnsi="Times New Roman"/>
          <w:sz w:val="22"/>
          <w:szCs w:val="22"/>
          <w:color w:val="auto"/>
        </w:rPr>
      </w:pPr>
    </w:p>
    <w:p>
      <w:pPr>
        <w:jc w:val="both"/>
        <w:ind w:firstLine="809"/>
        <w:spacing w:after="0" w:line="234" w:lineRule="auto"/>
        <w:tabs>
          <w:tab w:leader="none" w:pos="1693"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79" w:lineRule="exact"/>
        <w:rPr>
          <w:rFonts w:ascii="Times New Roman" w:cs="Times New Roman" w:eastAsia="Times New Roman" w:hAnsi="Times New Roman"/>
          <w:sz w:val="22"/>
          <w:szCs w:val="22"/>
          <w:color w:val="auto"/>
        </w:rPr>
      </w:pPr>
    </w:p>
    <w:p>
      <w:pPr>
        <w:jc w:val="both"/>
        <w:ind w:firstLine="809"/>
        <w:spacing w:after="0" w:line="244" w:lineRule="auto"/>
        <w:tabs>
          <w:tab w:leader="none" w:pos="1705"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“Intellectual Property” is all patents, trademarks, copyrights, trade secrets, Company Confidential Information, new or useful arts, ideas, discoveries, inventions, improvements, software, business information, lists, designs, drawings, writings,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158115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80"/>
          </w:cols>
          <w:pgMar w:left="1080" w:top="1134" w:right="339" w:bottom="1440" w:gutter="0" w:footer="0" w:header="0"/>
        </w:sectPr>
      </w:pPr>
    </w:p>
    <w:bookmarkStart w:id="107" w:name="page108"/>
    <w:bookmarkEnd w:id="107"/>
    <w:p>
      <w:pPr>
        <w:jc w:val="both"/>
        <w:ind w:left="540"/>
        <w:spacing w:after="0" w:line="239" w:lineRule="auto"/>
        <w:rPr>
          <w:sz w:val="20"/>
          <w:szCs w:val="20"/>
          <w:color w:val="auto"/>
        </w:rPr>
      </w:pPr>
      <w:r>
        <w:rPr>
          <w:rFonts w:ascii="Times New Roman" w:cs="Times New Roman" w:eastAsia="Times New Roman" w:hAnsi="Times New Roman"/>
          <w:sz w:val="22"/>
          <w:szCs w:val="22"/>
          <w:color w:val="auto"/>
        </w:rPr>
        <w:t>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80" w:lineRule="exact"/>
        <w:rPr>
          <w:sz w:val="20"/>
          <w:szCs w:val="20"/>
          <w:color w:val="auto"/>
        </w:rPr>
      </w:pPr>
    </w:p>
    <w:p>
      <w:pPr>
        <w:jc w:val="both"/>
        <w:ind w:left="540" w:firstLine="809"/>
        <w:spacing w:after="0" w:line="244" w:lineRule="auto"/>
        <w:tabs>
          <w:tab w:leader="none" w:pos="2233"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“Pre-existing Intellectual Property” is all Intellectual Property that was authored, conceived, developed, or reduced to practice by Employee before the term of Employee’s employment with the Company or any Affiliate began.</w:t>
      </w:r>
    </w:p>
    <w:p>
      <w:pPr>
        <w:spacing w:after="0" w:line="173" w:lineRule="exact"/>
        <w:rPr>
          <w:rFonts w:ascii="Times New Roman" w:cs="Times New Roman" w:eastAsia="Times New Roman" w:hAnsi="Times New Roman"/>
          <w:sz w:val="22"/>
          <w:szCs w:val="22"/>
          <w:color w:val="auto"/>
        </w:rPr>
      </w:pPr>
    </w:p>
    <w:p>
      <w:pPr>
        <w:jc w:val="both"/>
        <w:ind w:firstLine="851"/>
        <w:spacing w:after="0" w:line="239" w:lineRule="auto"/>
        <w:tabs>
          <w:tab w:leader="none" w:pos="1657"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Codes of Conduct</w:t>
      </w:r>
      <w:r>
        <w:rPr>
          <w:rFonts w:ascii="Times New Roman" w:cs="Times New Roman" w:eastAsia="Times New Roman" w:hAnsi="Times New Roman"/>
          <w:sz w:val="22"/>
          <w:szCs w:val="22"/>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80" w:lineRule="exact"/>
        <w:rPr>
          <w:rFonts w:ascii="Times New Roman" w:cs="Times New Roman" w:eastAsia="Times New Roman" w:hAnsi="Times New Roman"/>
          <w:sz w:val="22"/>
          <w:szCs w:val="22"/>
          <w:color w:val="auto"/>
        </w:rPr>
      </w:pPr>
    </w:p>
    <w:p>
      <w:pPr>
        <w:ind w:left="1660" w:hanging="809"/>
        <w:spacing w:after="0"/>
        <w:tabs>
          <w:tab w:leader="none" w:pos="166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540" w:firstLine="809"/>
        <w:spacing w:after="0" w:line="235" w:lineRule="auto"/>
        <w:tabs>
          <w:tab w:leader="none" w:pos="2233"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183" w:lineRule="exact"/>
        <w:rPr>
          <w:rFonts w:ascii="Times New Roman" w:cs="Times New Roman" w:eastAsia="Times New Roman" w:hAnsi="Times New Roman"/>
          <w:sz w:val="22"/>
          <w:szCs w:val="22"/>
          <w:color w:val="auto"/>
        </w:rPr>
      </w:pPr>
    </w:p>
    <w:p>
      <w:pPr>
        <w:jc w:val="both"/>
        <w:ind w:left="540" w:firstLine="809"/>
        <w:spacing w:after="0" w:line="244" w:lineRule="auto"/>
        <w:tabs>
          <w:tab w:leader="none" w:pos="2245"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73" w:lineRule="exact"/>
        <w:rPr>
          <w:rFonts w:ascii="Times New Roman" w:cs="Times New Roman" w:eastAsia="Times New Roman" w:hAnsi="Times New Roman"/>
          <w:sz w:val="22"/>
          <w:szCs w:val="22"/>
          <w:color w:val="auto"/>
        </w:rPr>
      </w:pPr>
    </w:p>
    <w:p>
      <w:pPr>
        <w:jc w:val="both"/>
        <w:ind w:left="540" w:firstLine="809"/>
        <w:spacing w:after="0" w:line="238" w:lineRule="auto"/>
        <w:tabs>
          <w:tab w:leader="none" w:pos="2233"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76" w:lineRule="exact"/>
        <w:rPr>
          <w:rFonts w:ascii="Times New Roman" w:cs="Times New Roman" w:eastAsia="Times New Roman" w:hAnsi="Times New Roman"/>
          <w:sz w:val="22"/>
          <w:szCs w:val="22"/>
          <w:color w:val="auto"/>
        </w:rPr>
      </w:pPr>
    </w:p>
    <w:p>
      <w:pPr>
        <w:jc w:val="both"/>
        <w:ind w:left="540" w:firstLine="809"/>
        <w:spacing w:after="0" w:line="235" w:lineRule="auto"/>
        <w:tabs>
          <w:tab w:leader="none" w:pos="2245"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158115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540" w:top="328" w:right="339" w:bottom="1440" w:gutter="0" w:footer="0" w:header="0"/>
        </w:sectPr>
      </w:pPr>
    </w:p>
    <w:bookmarkStart w:id="108" w:name="page109"/>
    <w:bookmarkEnd w:id="108"/>
    <w:p>
      <w:pPr>
        <w:spacing w:after="0" w:line="258" w:lineRule="auto"/>
        <w:rPr>
          <w:sz w:val="20"/>
          <w:szCs w:val="20"/>
          <w:color w:val="auto"/>
        </w:rPr>
      </w:pPr>
      <w:r>
        <w:rPr>
          <w:rFonts w:ascii="Times New Roman" w:cs="Times New Roman" w:eastAsia="Times New Roman" w:hAnsi="Times New Roman"/>
          <w:sz w:val="22"/>
          <w:szCs w:val="22"/>
          <w:color w:val="auto"/>
        </w:rPr>
        <w:t>accounts, memory cards, Zip discs, and any other similar media or means of transmitting, storing or archiving data outside systems supported by the Company or its Affiliate.</w:t>
      </w:r>
    </w:p>
    <w:p>
      <w:pPr>
        <w:spacing w:after="0" w:line="158" w:lineRule="exact"/>
        <w:rPr>
          <w:sz w:val="20"/>
          <w:szCs w:val="20"/>
          <w:color w:val="auto"/>
        </w:rPr>
      </w:pPr>
    </w:p>
    <w:p>
      <w:pPr>
        <w:jc w:val="both"/>
        <w:ind w:firstLine="809"/>
        <w:spacing w:after="0" w:line="238" w:lineRule="auto"/>
        <w:tabs>
          <w:tab w:leader="none" w:pos="1693"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6" w:lineRule="exact"/>
        <w:rPr>
          <w:rFonts w:ascii="Times New Roman" w:cs="Times New Roman" w:eastAsia="Times New Roman" w:hAnsi="Times New Roman"/>
          <w:sz w:val="22"/>
          <w:szCs w:val="22"/>
          <w:color w:val="auto"/>
        </w:rPr>
      </w:pPr>
    </w:p>
    <w:p>
      <w:pPr>
        <w:jc w:val="both"/>
        <w:ind w:firstLine="809"/>
        <w:spacing w:after="0" w:line="244" w:lineRule="auto"/>
        <w:tabs>
          <w:tab w:leader="none" w:pos="1669"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73" w:lineRule="exact"/>
        <w:rPr>
          <w:rFonts w:ascii="Times New Roman" w:cs="Times New Roman" w:eastAsia="Times New Roman" w:hAnsi="Times New Roman"/>
          <w:sz w:val="22"/>
          <w:szCs w:val="22"/>
          <w:color w:val="auto"/>
        </w:rPr>
      </w:pPr>
    </w:p>
    <w:p>
      <w:pPr>
        <w:ind w:left="1120" w:hanging="809"/>
        <w:spacing w:after="0"/>
        <w:tabs>
          <w:tab w:leader="none" w:pos="112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Intellectual Property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09"/>
        <w:spacing w:after="0" w:line="247" w:lineRule="auto"/>
        <w:tabs>
          <w:tab w:leader="none" w:pos="1693"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1" w:lineRule="exact"/>
        <w:rPr>
          <w:rFonts w:ascii="Times New Roman" w:cs="Times New Roman" w:eastAsia="Times New Roman" w:hAnsi="Times New Roman"/>
          <w:sz w:val="21"/>
          <w:szCs w:val="21"/>
          <w:color w:val="auto"/>
        </w:rPr>
      </w:pPr>
    </w:p>
    <w:p>
      <w:pPr>
        <w:jc w:val="both"/>
        <w:ind w:firstLine="809"/>
        <w:spacing w:after="0" w:line="235" w:lineRule="auto"/>
        <w:tabs>
          <w:tab w:leader="none" w:pos="1705"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78" w:lineRule="exact"/>
        <w:rPr>
          <w:rFonts w:ascii="Times New Roman" w:cs="Times New Roman" w:eastAsia="Times New Roman" w:hAnsi="Times New Roman"/>
          <w:sz w:val="22"/>
          <w:szCs w:val="22"/>
          <w:color w:val="auto"/>
        </w:rPr>
      </w:pPr>
    </w:p>
    <w:p>
      <w:pPr>
        <w:jc w:val="both"/>
        <w:ind w:firstLine="809"/>
        <w:spacing w:after="0" w:line="244" w:lineRule="auto"/>
        <w:tabs>
          <w:tab w:leader="none" w:pos="1693"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73" w:lineRule="exact"/>
        <w:rPr>
          <w:rFonts w:ascii="Times New Roman" w:cs="Times New Roman" w:eastAsia="Times New Roman" w:hAnsi="Times New Roman"/>
          <w:sz w:val="22"/>
          <w:szCs w:val="22"/>
          <w:color w:val="auto"/>
        </w:rPr>
      </w:pPr>
    </w:p>
    <w:p>
      <w:pPr>
        <w:jc w:val="both"/>
        <w:ind w:firstLine="809"/>
        <w:spacing w:after="0" w:line="244" w:lineRule="auto"/>
        <w:tabs>
          <w:tab w:leader="none" w:pos="1705"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must retain and prevent destruction of any material referenced in the IP Disclosure Form, including and not limited to photographs, drawings, schematics, diagrams, figures, testing and development logs, notes, journals, and results, applications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158115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80"/>
          </w:cols>
          <w:pgMar w:left="1080" w:top="328" w:right="339" w:bottom="1440" w:gutter="0" w:footer="0" w:header="0"/>
        </w:sectPr>
      </w:pPr>
    </w:p>
    <w:bookmarkStart w:id="109" w:name="page110"/>
    <w:bookmarkEnd w:id="109"/>
    <w:p>
      <w:pPr>
        <w:jc w:val="both"/>
        <w:spacing w:after="0" w:line="239" w:lineRule="auto"/>
        <w:rPr>
          <w:sz w:val="20"/>
          <w:szCs w:val="20"/>
          <w:color w:val="auto"/>
        </w:rPr>
      </w:pPr>
      <w:r>
        <w:rPr>
          <w:rFonts w:ascii="Times New Roman" w:cs="Times New Roman" w:eastAsia="Times New Roman" w:hAnsi="Times New Roman"/>
          <w:sz w:val="22"/>
          <w:szCs w:val="22"/>
          <w:color w:val="auto"/>
        </w:rPr>
        <w:t>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80" w:lineRule="exact"/>
        <w:rPr>
          <w:sz w:val="20"/>
          <w:szCs w:val="20"/>
          <w:color w:val="auto"/>
        </w:rPr>
      </w:pPr>
    </w:p>
    <w:p>
      <w:pPr>
        <w:jc w:val="both"/>
        <w:ind w:firstLine="809"/>
        <w:spacing w:after="0" w:line="249" w:lineRule="auto"/>
        <w:tabs>
          <w:tab w:leader="none" w:pos="1693"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70" w:lineRule="exact"/>
        <w:rPr>
          <w:rFonts w:ascii="Times New Roman" w:cs="Times New Roman" w:eastAsia="Times New Roman" w:hAnsi="Times New Roman"/>
          <w:sz w:val="21"/>
          <w:szCs w:val="21"/>
          <w:color w:val="auto"/>
        </w:rPr>
      </w:pPr>
    </w:p>
    <w:p>
      <w:pPr>
        <w:ind w:left="1120" w:hanging="801"/>
        <w:spacing w:after="0"/>
        <w:tabs>
          <w:tab w:leader="none" w:pos="112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Intellectual Property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09"/>
        <w:spacing w:after="0" w:line="235" w:lineRule="auto"/>
        <w:tabs>
          <w:tab w:leader="none" w:pos="1693"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78" w:lineRule="exact"/>
        <w:rPr>
          <w:rFonts w:ascii="Times New Roman" w:cs="Times New Roman" w:eastAsia="Times New Roman" w:hAnsi="Times New Roman"/>
          <w:sz w:val="22"/>
          <w:szCs w:val="22"/>
          <w:color w:val="auto"/>
        </w:rPr>
      </w:pPr>
    </w:p>
    <w:p>
      <w:pPr>
        <w:jc w:val="both"/>
        <w:ind w:firstLine="809"/>
        <w:spacing w:after="0" w:line="235" w:lineRule="auto"/>
        <w:tabs>
          <w:tab w:leader="none" w:pos="1705"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83" w:lineRule="exact"/>
        <w:rPr>
          <w:rFonts w:ascii="Times New Roman" w:cs="Times New Roman" w:eastAsia="Times New Roman" w:hAnsi="Times New Roman"/>
          <w:sz w:val="22"/>
          <w:szCs w:val="22"/>
          <w:color w:val="auto"/>
        </w:rPr>
      </w:pPr>
    </w:p>
    <w:p>
      <w:pPr>
        <w:jc w:val="both"/>
        <w:ind w:firstLine="809"/>
        <w:spacing w:after="0" w:line="244" w:lineRule="auto"/>
        <w:tabs>
          <w:tab w:leader="none" w:pos="1693"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73" w:lineRule="exact"/>
        <w:rPr>
          <w:rFonts w:ascii="Times New Roman" w:cs="Times New Roman" w:eastAsia="Times New Roman" w:hAnsi="Times New Roman"/>
          <w:sz w:val="22"/>
          <w:szCs w:val="22"/>
          <w:color w:val="auto"/>
        </w:rPr>
      </w:pPr>
    </w:p>
    <w:p>
      <w:pPr>
        <w:jc w:val="both"/>
        <w:ind w:firstLine="809"/>
        <w:spacing w:after="0" w:line="239" w:lineRule="auto"/>
        <w:tabs>
          <w:tab w:leader="none" w:pos="1705"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158115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80"/>
          </w:cols>
          <w:pgMar w:left="1080" w:top="328" w:right="339" w:bottom="1440" w:gutter="0" w:footer="0" w:header="0"/>
        </w:sectPr>
      </w:pPr>
    </w:p>
    <w:bookmarkStart w:id="110" w:name="page111"/>
    <w:bookmarkEnd w:id="110"/>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misrepresentation has been made. Employee is estopped from asserting waiver, and any waiver will be void and/or voidable, if the waiver is obtained in violation of this Attachment II, or obtained through fraud, negligence, failure to disclose, or incorrect, incomplete, or defective information on an IP Disclosure Form.</w:t>
      </w:r>
    </w:p>
    <w:p>
      <w:pPr>
        <w:spacing w:after="0" w:line="173" w:lineRule="exact"/>
        <w:rPr>
          <w:sz w:val="20"/>
          <w:szCs w:val="20"/>
          <w:color w:val="auto"/>
        </w:rPr>
      </w:pPr>
    </w:p>
    <w:p>
      <w:pPr>
        <w:ind w:left="1120" w:hanging="809"/>
        <w:spacing w:after="0"/>
        <w:tabs>
          <w:tab w:leader="none" w:pos="112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09"/>
        <w:spacing w:after="0" w:line="244" w:lineRule="auto"/>
        <w:tabs>
          <w:tab w:leader="none" w:pos="1693"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73" w:lineRule="exact"/>
        <w:rPr>
          <w:rFonts w:ascii="Times New Roman" w:cs="Times New Roman" w:eastAsia="Times New Roman" w:hAnsi="Times New Roman"/>
          <w:sz w:val="22"/>
          <w:szCs w:val="22"/>
          <w:color w:val="auto"/>
        </w:rPr>
      </w:pPr>
    </w:p>
    <w:p>
      <w:pPr>
        <w:jc w:val="both"/>
        <w:ind w:firstLine="809"/>
        <w:spacing w:after="0" w:line="233" w:lineRule="auto"/>
        <w:tabs>
          <w:tab w:leader="none" w:pos="1705"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74" w:lineRule="exact"/>
        <w:rPr>
          <w:sz w:val="20"/>
          <w:szCs w:val="20"/>
          <w:color w:val="auto"/>
        </w:rPr>
      </w:pPr>
    </w:p>
    <w:p>
      <w:pPr>
        <w:ind w:firstLine="809"/>
        <w:spacing w:after="0" w:line="258" w:lineRule="auto"/>
        <w:tabs>
          <w:tab w:leader="none" w:pos="1693"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attempted to place the most reasonable limitations on Employee’s subsequent employment opportunities consistent with the protection of the</w:t>
      </w:r>
    </w:p>
    <w:p>
      <w:pPr>
        <w:spacing w:after="0" w:line="1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158115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80"/>
          </w:cols>
          <w:pgMar w:left="1080" w:top="328" w:right="339" w:bottom="1440" w:gutter="0" w:footer="0" w:header="0"/>
        </w:sectPr>
      </w:pPr>
    </w:p>
    <w:bookmarkStart w:id="111" w:name="page112"/>
    <w:bookmarkEnd w:id="111"/>
    <w:p>
      <w:pPr>
        <w:jc w:val="both"/>
        <w:spacing w:after="0" w:line="233" w:lineRule="auto"/>
        <w:rPr>
          <w:sz w:val="20"/>
          <w:szCs w:val="20"/>
          <w:color w:val="auto"/>
        </w:rPr>
      </w:pPr>
      <w:r>
        <w:rPr>
          <w:rFonts w:ascii="Times New Roman" w:cs="Times New Roman" w:eastAsia="Times New Roman" w:hAnsi="Times New Roman"/>
          <w:sz w:val="22"/>
          <w:szCs w:val="22"/>
          <w:color w:val="auto"/>
        </w:rPr>
        <w:t>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87" w:lineRule="exact"/>
        <w:rPr>
          <w:sz w:val="20"/>
          <w:szCs w:val="20"/>
          <w:color w:val="auto"/>
        </w:rPr>
      </w:pPr>
    </w:p>
    <w:p>
      <w:pPr>
        <w:ind w:left="1120" w:hanging="809"/>
        <w:spacing w:after="0"/>
        <w:tabs>
          <w:tab w:leader="none" w:pos="11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09"/>
        <w:spacing w:after="0" w:line="234" w:lineRule="auto"/>
        <w:tabs>
          <w:tab w:leader="none" w:pos="1693"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83" w:lineRule="exact"/>
        <w:rPr>
          <w:rFonts w:ascii="Times New Roman" w:cs="Times New Roman" w:eastAsia="Times New Roman" w:hAnsi="Times New Roman"/>
          <w:sz w:val="22"/>
          <w:szCs w:val="22"/>
          <w:color w:val="auto"/>
        </w:rPr>
      </w:pPr>
    </w:p>
    <w:p>
      <w:pPr>
        <w:jc w:val="both"/>
        <w:ind w:firstLine="809"/>
        <w:spacing w:after="0" w:line="235" w:lineRule="auto"/>
        <w:tabs>
          <w:tab w:leader="none" w:pos="1705"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78" w:lineRule="exact"/>
        <w:rPr>
          <w:rFonts w:ascii="Times New Roman" w:cs="Times New Roman" w:eastAsia="Times New Roman" w:hAnsi="Times New Roman"/>
          <w:sz w:val="22"/>
          <w:szCs w:val="22"/>
          <w:color w:val="auto"/>
        </w:rPr>
      </w:pPr>
    </w:p>
    <w:p>
      <w:pPr>
        <w:ind w:left="1120" w:hanging="809"/>
        <w:spacing w:after="0"/>
        <w:tabs>
          <w:tab w:leader="none" w:pos="11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for Employee’s Breach</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09"/>
        <w:spacing w:after="0" w:line="239" w:lineRule="auto"/>
        <w:tabs>
          <w:tab w:leader="none" w:pos="1693"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158115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80"/>
          </w:cols>
          <w:pgMar w:left="1080" w:top="328" w:right="339" w:bottom="1440" w:gutter="0" w:footer="0" w:header="0"/>
        </w:sectPr>
      </w:pPr>
    </w:p>
    <w:bookmarkStart w:id="112" w:name="page113"/>
    <w:bookmarkEnd w:id="112"/>
    <w:p>
      <w:pPr>
        <w:jc w:val="both"/>
        <w:ind w:left="540"/>
        <w:spacing w:after="0" w:line="235" w:lineRule="auto"/>
        <w:rPr>
          <w:sz w:val="20"/>
          <w:szCs w:val="20"/>
          <w:color w:val="auto"/>
        </w:rPr>
      </w:pPr>
      <w:r>
        <w:rPr>
          <w:rFonts w:ascii="Times New Roman" w:cs="Times New Roman" w:eastAsia="Times New Roman" w:hAnsi="Times New Roman"/>
          <w:sz w:val="22"/>
          <w:szCs w:val="22"/>
          <w:color w:val="auto"/>
        </w:rPr>
        <w:t xml:space="preserve">Information, 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Times New Roman" w:cs="Times New Roman" w:eastAsia="Times New Roman" w:hAnsi="Times New Roman"/>
          <w:sz w:val="22"/>
          <w:szCs w:val="22"/>
          <w:b w:val="1"/>
          <w:bCs w:val="1"/>
          <w:color w:val="auto"/>
        </w:rPr>
        <w:t>(i) recover from Employee the value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any portion of the Award that has been paid or delivered; (ii) seek injunctive relief against Employee pursuant to the provisions of 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78" w:lineRule="exact"/>
        <w:rPr>
          <w:sz w:val="20"/>
          <w:szCs w:val="20"/>
          <w:color w:val="auto"/>
        </w:rPr>
      </w:pPr>
    </w:p>
    <w:p>
      <w:pPr>
        <w:jc w:val="both"/>
        <w:ind w:left="540" w:firstLine="809"/>
        <w:spacing w:after="0" w:line="235" w:lineRule="auto"/>
        <w:tabs>
          <w:tab w:leader="none" w:pos="2245"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83" w:lineRule="exact"/>
        <w:rPr>
          <w:rFonts w:ascii="Times New Roman" w:cs="Times New Roman" w:eastAsia="Times New Roman" w:hAnsi="Times New Roman"/>
          <w:sz w:val="22"/>
          <w:szCs w:val="22"/>
          <w:color w:val="auto"/>
        </w:rPr>
      </w:pPr>
    </w:p>
    <w:p>
      <w:pPr>
        <w:jc w:val="both"/>
        <w:ind w:left="540" w:firstLine="809"/>
        <w:spacing w:after="0" w:line="239" w:lineRule="auto"/>
        <w:tabs>
          <w:tab w:leader="none" w:pos="2233"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180" w:lineRule="exact"/>
        <w:rPr>
          <w:rFonts w:ascii="Times New Roman" w:cs="Times New Roman" w:eastAsia="Times New Roman" w:hAnsi="Times New Roman"/>
          <w:sz w:val="22"/>
          <w:szCs w:val="22"/>
          <w:color w:val="auto"/>
        </w:rPr>
      </w:pPr>
    </w:p>
    <w:p>
      <w:pPr>
        <w:ind w:left="540" w:firstLine="809"/>
        <w:spacing w:after="0" w:line="258" w:lineRule="auto"/>
        <w:tabs>
          <w:tab w:leader="none" w:pos="2245"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the remedies contained in the Attachment II for violation of this Attachment II are not the exclusive remedies that the Company or an Affiliate may pursue.</w:t>
      </w:r>
    </w:p>
    <w:p>
      <w:pPr>
        <w:spacing w:after="0" w:line="158" w:lineRule="exact"/>
        <w:rPr>
          <w:rFonts w:ascii="Times New Roman" w:cs="Times New Roman" w:eastAsia="Times New Roman" w:hAnsi="Times New Roman"/>
          <w:sz w:val="22"/>
          <w:szCs w:val="22"/>
          <w:color w:val="auto"/>
        </w:rPr>
      </w:pPr>
    </w:p>
    <w:p>
      <w:pPr>
        <w:jc w:val="both"/>
        <w:ind w:firstLine="851"/>
        <w:spacing w:after="0" w:line="244" w:lineRule="auto"/>
        <w:tabs>
          <w:tab w:leader="none" w:pos="1657"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173" w:lineRule="exact"/>
        <w:rPr>
          <w:rFonts w:ascii="Times New Roman" w:cs="Times New Roman" w:eastAsia="Times New Roman" w:hAnsi="Times New Roman"/>
          <w:sz w:val="22"/>
          <w:szCs w:val="22"/>
          <w:color w:val="auto"/>
        </w:rPr>
      </w:pPr>
    </w:p>
    <w:p>
      <w:pPr>
        <w:ind w:left="1760" w:hanging="909"/>
        <w:spacing w:after="0"/>
        <w:tabs>
          <w:tab w:leader="none" w:pos="176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540" w:firstLine="809"/>
        <w:spacing w:after="0" w:line="255" w:lineRule="auto"/>
        <w:tabs>
          <w:tab w:leader="none" w:pos="2233"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 Employee’s duties for the Company or its Affiliates. Employee agrees not to enter into any agreement, whether oral or written, in conflict with this Attachment II.</w:t>
      </w:r>
    </w:p>
    <w:p>
      <w:pPr>
        <w:spacing w:after="0" w:line="161" w:lineRule="exact"/>
        <w:rPr>
          <w:rFonts w:ascii="Times New Roman" w:cs="Times New Roman" w:eastAsia="Times New Roman" w:hAnsi="Times New Roman"/>
          <w:sz w:val="21"/>
          <w:szCs w:val="21"/>
          <w:color w:val="auto"/>
        </w:rPr>
      </w:pPr>
    </w:p>
    <w:p>
      <w:pPr>
        <w:jc w:val="both"/>
        <w:ind w:left="540" w:firstLine="809"/>
        <w:spacing w:after="0" w:line="244" w:lineRule="auto"/>
        <w:tabs>
          <w:tab w:leader="none" w:pos="2245"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Attachment II may be enforced by, will inure to the benefit of, and be binding upon the Company, its successors, and assigns. This Agreement will also inure to the benefit of, and may be enforced by, the Company’s Affiliates. This Attachment II is binding upon Employee’s heirs and legal representatives.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18</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158115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540" w:top="328" w:right="339" w:bottom="1440" w:gutter="0" w:footer="0" w:header="0"/>
        </w:sectPr>
      </w:pPr>
    </w:p>
    <w:bookmarkStart w:id="113" w:name="page114"/>
    <w:bookmarkEnd w:id="113"/>
    <w:p>
      <w:pPr>
        <w:jc w:val="both"/>
        <w:ind w:left="-360" w:firstLine="809"/>
        <w:spacing w:after="0" w:line="244" w:lineRule="auto"/>
        <w:tabs>
          <w:tab w:leader="none" w:pos="133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73" w:lineRule="exact"/>
        <w:rPr>
          <w:rFonts w:ascii="Times New Roman" w:cs="Times New Roman" w:eastAsia="Times New Roman" w:hAnsi="Times New Roman"/>
          <w:sz w:val="22"/>
          <w:szCs w:val="22"/>
          <w:color w:val="auto"/>
        </w:rPr>
      </w:pPr>
    </w:p>
    <w:p>
      <w:pPr>
        <w:jc w:val="both"/>
        <w:ind w:left="-360" w:firstLine="809"/>
        <w:spacing w:after="0" w:line="239" w:lineRule="auto"/>
        <w:tabs>
          <w:tab w:leader="none" w:pos="134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is employed by an Affiliate of the Company or by accepting a transfer to an Affiliate of the Company, Employee agrees to the automatic application of all of the terms 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180" w:lineRule="exact"/>
        <w:rPr>
          <w:rFonts w:ascii="Times New Roman" w:cs="Times New Roman" w:eastAsia="Times New Roman" w:hAnsi="Times New Roman"/>
          <w:sz w:val="22"/>
          <w:szCs w:val="22"/>
          <w:color w:val="auto"/>
        </w:rPr>
      </w:pPr>
    </w:p>
    <w:p>
      <w:pPr>
        <w:jc w:val="both"/>
        <w:ind w:left="-360" w:firstLine="809"/>
        <w:spacing w:after="0" w:line="235" w:lineRule="auto"/>
        <w:tabs>
          <w:tab w:leader="none" w:pos="133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78" w:lineRule="exact"/>
        <w:rPr>
          <w:rFonts w:ascii="Times New Roman" w:cs="Times New Roman" w:eastAsia="Times New Roman" w:hAnsi="Times New Roman"/>
          <w:sz w:val="22"/>
          <w:szCs w:val="22"/>
          <w:color w:val="auto"/>
        </w:rPr>
      </w:pPr>
    </w:p>
    <w:p>
      <w:pPr>
        <w:jc w:val="both"/>
        <w:ind w:left="-360" w:firstLine="809"/>
        <w:spacing w:after="0" w:line="239" w:lineRule="auto"/>
        <w:tabs>
          <w:tab w:leader="none" w:pos="130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this Attachment II supersede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19</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19</w:t>
      </w:r>
    </w:p>
    <w:p>
      <w:pPr>
        <w:sectPr>
          <w:pgSz w:w="11900" w:h="16838" w:orient="portrait"/>
          <w:cols w:equalWidth="0" w:num="1">
            <w:col w:w="10120"/>
          </w:cols>
          <w:pgMar w:left="1440" w:top="32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22</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Issuers of Registered Guaranteed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(i) SISA was the issuer of its 3.650% Senior Notes due 2023 and 2.650% Senior Notes due 2030 (together, the “SISA Notes”), and</w:t>
      </w:r>
    </w:p>
    <w:p>
      <w:pPr>
        <w:spacing w:after="0" w:line="27" w:lineRule="exact"/>
        <w:rPr>
          <w:sz w:val="20"/>
          <w:szCs w:val="20"/>
          <w:color w:val="auto"/>
        </w:rPr>
      </w:pPr>
    </w:p>
    <w:p>
      <w:pPr>
        <w:ind w:firstLine="8"/>
        <w:spacing w:after="0" w:line="260" w:lineRule="auto"/>
        <w:tabs>
          <w:tab w:leader="none" w:pos="27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SFCL was the issuer of its 1.400% Senior Notes due 2025 (the “SFCL Notes”). The Guarantor fully and unconditionally guarantees the SISA Notes and the SFCL Notes on a senior unsecured basis.</w:t>
      </w:r>
    </w:p>
    <w:p>
      <w:pPr>
        <w:sectPr>
          <w:pgSz w:w="11900" w:h="16838" w:orient="portrait"/>
          <w:cols w:equalWidth="0" w:num="1">
            <w:col w:w="11240"/>
          </w:cols>
          <w:pgMar w:left="320" w:top="33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Le Peuch, certify that:</w:t>
      </w:r>
    </w:p>
    <w:p>
      <w:pPr>
        <w:spacing w:after="0" w:line="117" w:lineRule="exact"/>
        <w:rPr>
          <w:sz w:val="20"/>
          <w:szCs w:val="20"/>
          <w:color w:val="auto"/>
        </w:rPr>
      </w:pPr>
    </w:p>
    <w:p>
      <w:pPr>
        <w:ind w:left="560" w:hanging="178"/>
        <w:spacing w:after="0"/>
        <w:tabs>
          <w:tab w:leader="none" w:pos="5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N.V. (Schlumberger Limited);</w:t>
      </w:r>
    </w:p>
    <w:p>
      <w:pPr>
        <w:spacing w:after="0" w:line="117" w:lineRule="exact"/>
        <w:rPr>
          <w:rFonts w:ascii="Times New Roman" w:cs="Times New Roman" w:eastAsia="Times New Roman" w:hAnsi="Times New Roman"/>
          <w:sz w:val="18"/>
          <w:szCs w:val="18"/>
          <w:color w:val="auto"/>
        </w:rPr>
      </w:pPr>
    </w:p>
    <w:p>
      <w:pPr>
        <w:ind w:firstLine="382"/>
        <w:spacing w:after="0" w:line="282" w:lineRule="auto"/>
        <w:tabs>
          <w:tab w:leader="none" w:pos="56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82"/>
        <w:spacing w:after="0" w:line="282" w:lineRule="auto"/>
        <w:tabs>
          <w:tab w:leader="none" w:pos="56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82"/>
        <w:spacing w:after="0" w:line="266" w:lineRule="auto"/>
        <w:tabs>
          <w:tab w:leader="none" w:pos="57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382"/>
        <w:spacing w:after="0" w:line="282" w:lineRule="auto"/>
        <w:tabs>
          <w:tab w:leader="none" w:pos="55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2022</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Olivier Le Peuch</w:t>
            </w:r>
          </w:p>
        </w:tc>
      </w:tr>
      <w:tr>
        <w:trPr>
          <w:trHeight w:val="191"/>
        </w:trPr>
        <w:tc>
          <w:tcPr>
            <w:tcW w:w="6740" w:type="dxa"/>
            <w:vAlign w:val="bottom"/>
          </w:tcPr>
          <w:p>
            <w:pPr>
              <w:spacing w:after="0"/>
              <w:rPr>
                <w:sz w:val="16"/>
                <w:szCs w:val="16"/>
                <w:color w:val="auto"/>
              </w:rPr>
            </w:pPr>
          </w:p>
        </w:tc>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Olivier Le Peuch</w:t>
            </w:r>
          </w:p>
        </w:tc>
      </w:tr>
      <w:tr>
        <w:trPr>
          <w:trHeight w:val="234"/>
        </w:trPr>
        <w:tc>
          <w:tcPr>
            <w:tcW w:w="67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49"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Stephane Biguet, certify that:</w:t>
      </w:r>
    </w:p>
    <w:p>
      <w:pPr>
        <w:spacing w:after="0" w:line="117" w:lineRule="exact"/>
        <w:rPr>
          <w:sz w:val="20"/>
          <w:szCs w:val="20"/>
          <w:color w:val="auto"/>
        </w:rPr>
      </w:pPr>
    </w:p>
    <w:p>
      <w:pPr>
        <w:ind w:left="560" w:hanging="178"/>
        <w:spacing w:after="0"/>
        <w:tabs>
          <w:tab w:leader="none" w:pos="5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N.V. (Schlumberger Limited);</w:t>
      </w:r>
    </w:p>
    <w:p>
      <w:pPr>
        <w:spacing w:after="0" w:line="117" w:lineRule="exact"/>
        <w:rPr>
          <w:rFonts w:ascii="Times New Roman" w:cs="Times New Roman" w:eastAsia="Times New Roman" w:hAnsi="Times New Roman"/>
          <w:sz w:val="18"/>
          <w:szCs w:val="18"/>
          <w:color w:val="auto"/>
        </w:rPr>
      </w:pPr>
    </w:p>
    <w:p>
      <w:pPr>
        <w:ind w:firstLine="382"/>
        <w:spacing w:after="0" w:line="282" w:lineRule="auto"/>
        <w:tabs>
          <w:tab w:leader="none" w:pos="56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82"/>
        <w:spacing w:after="0" w:line="282" w:lineRule="auto"/>
        <w:tabs>
          <w:tab w:leader="none" w:pos="56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82"/>
        <w:spacing w:after="0" w:line="266" w:lineRule="auto"/>
        <w:tabs>
          <w:tab w:leader="none" w:pos="57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382"/>
        <w:spacing w:after="0" w:line="282" w:lineRule="auto"/>
        <w:tabs>
          <w:tab w:leader="none" w:pos="55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Date: April </w:t>
            </w:r>
            <w:r>
              <w:rPr>
                <w:rFonts w:ascii="Times New Roman" w:cs="Times New Roman" w:eastAsia="Times New Roman" w:hAnsi="Times New Roman"/>
                <w:sz w:val="19"/>
                <w:szCs w:val="19"/>
                <w:color w:val="auto"/>
              </w:rPr>
              <w:t>27</w:t>
            </w:r>
            <w:r>
              <w:rPr>
                <w:rFonts w:ascii="Times New Roman" w:cs="Times New Roman" w:eastAsia="Times New Roman" w:hAnsi="Times New Roman"/>
                <w:sz w:val="18"/>
                <w:szCs w:val="18"/>
                <w:color w:val="auto"/>
              </w:rPr>
              <w:t>, 2022</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Stephane Biguet</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Stephane Biguet</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549"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March 31, 2022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8" w:lineRule="exact"/>
        <w:rPr>
          <w:sz w:val="20"/>
          <w:szCs w:val="20"/>
          <w:color w:val="auto"/>
        </w:rPr>
      </w:pPr>
    </w:p>
    <w:p>
      <w:pPr>
        <w:ind w:left="1000" w:hanging="493"/>
        <w:spacing w:after="0" w:line="282" w:lineRule="auto"/>
        <w:tabs>
          <w:tab w:leader="none" w:pos="10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2022</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Olivier Le Peuch</w:t>
            </w:r>
          </w:p>
        </w:tc>
      </w:tr>
      <w:tr>
        <w:trPr>
          <w:trHeight w:val="191"/>
        </w:trPr>
        <w:tc>
          <w:tcPr>
            <w:tcW w:w="5340" w:type="dxa"/>
            <w:vAlign w:val="bottom"/>
          </w:tcPr>
          <w:p>
            <w:pPr>
              <w:spacing w:after="0"/>
              <w:rPr>
                <w:sz w:val="16"/>
                <w:szCs w:val="16"/>
                <w:color w:val="auto"/>
              </w:rPr>
            </w:pP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Olivier Le Peuch</w:t>
            </w:r>
          </w:p>
        </w:tc>
      </w:tr>
      <w:tr>
        <w:trPr>
          <w:trHeight w:val="234"/>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49"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March 31, 2022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8" w:lineRule="exact"/>
        <w:rPr>
          <w:sz w:val="20"/>
          <w:szCs w:val="20"/>
          <w:color w:val="auto"/>
        </w:rPr>
      </w:pPr>
    </w:p>
    <w:p>
      <w:pPr>
        <w:ind w:left="1000" w:hanging="493"/>
        <w:spacing w:after="0" w:line="282" w:lineRule="auto"/>
        <w:tabs>
          <w:tab w:leader="none" w:pos="10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2022</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Stephane Biguet</w:t>
            </w:r>
          </w:p>
        </w:tc>
      </w:tr>
      <w:tr>
        <w:trPr>
          <w:trHeight w:val="191"/>
        </w:trPr>
        <w:tc>
          <w:tcPr>
            <w:tcW w:w="5340" w:type="dxa"/>
            <w:vAlign w:val="bottom"/>
          </w:tcPr>
          <w:p>
            <w:pPr>
              <w:spacing w:after="0"/>
              <w:rPr>
                <w:sz w:val="16"/>
                <w:szCs w:val="16"/>
                <w:color w:val="auto"/>
              </w:rPr>
            </w:pP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Stephane Biguet</w:t>
            </w:r>
          </w:p>
        </w:tc>
      </w:tr>
      <w:tr>
        <w:trPr>
          <w:trHeight w:val="234"/>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49"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5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table that follows reflects citations, orders, violations and proposed assessments issued by the Mine Safety and Health Administration (the “MSHA”) to indirect subsidiaries of Schlumberger. The disclosure is with respect to the three months ended March 31, 2022. Due to timing and other factors, the data may not agree with the mine data retrieval system maintained by the MSHA at www.MSHA.gov.</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whole dollars</w:t>
      </w:r>
      <w:r>
        <w:rPr>
          <w:rFonts w:ascii="Times New Roman" w:cs="Times New Roman" w:eastAsia="Times New Roman" w:hAnsi="Times New Roman"/>
          <w:sz w:val="18"/>
          <w:szCs w:val="18"/>
          <w:color w:val="auto"/>
        </w:rPr>
        <w:t>)</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Received</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Received</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Notice of</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Notice of</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Potential to</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Pattern of</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Have</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Legal</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Total</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Violations</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Pattern</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Actions</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Legal</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3"/>
              </w:rPr>
              <w:t>Total Dollar</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Number</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Under</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Under</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Pending as</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Actions</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Legal Actions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Section</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104(d)</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w:t>
            </w:r>
          </w:p>
        </w:tc>
        <w:tc>
          <w:tcPr>
            <w:tcW w:w="6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Section</w:t>
            </w:r>
          </w:p>
        </w:tc>
        <w:tc>
          <w:tcPr>
            <w:tcW w:w="104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Value of MSHA</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of Mining</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 Last</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Initiated</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Resolved</w:t>
            </w:r>
          </w:p>
        </w:tc>
        <w:tc>
          <w:tcPr>
            <w:tcW w:w="0" w:type="dxa"/>
            <w:vAlign w:val="bottom"/>
          </w:tcPr>
          <w:p>
            <w:pPr>
              <w:spacing w:after="0"/>
              <w:rPr>
                <w:sz w:val="1"/>
                <w:szCs w:val="1"/>
                <w:color w:val="auto"/>
              </w:rPr>
            </w:pPr>
          </w:p>
        </w:tc>
      </w:tr>
      <w:tr>
        <w:trPr>
          <w:trHeight w:val="135"/>
        </w:trPr>
        <w:tc>
          <w:tcPr>
            <w:tcW w:w="19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Mine or Operating Name/</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 104</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104(b)</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Citations</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 xml:space="preserve">110(b) </w:t>
            </w:r>
            <w:r>
              <w:rPr>
                <w:rFonts w:ascii="Times New Roman" w:cs="Times New Roman" w:eastAsia="Times New Roman" w:hAnsi="Times New Roman"/>
                <w:sz w:val="10"/>
                <w:szCs w:val="10"/>
                <w:color w:val="auto"/>
              </w:rPr>
              <w:t>(2)</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107(a)</w:t>
            </w:r>
          </w:p>
        </w:tc>
        <w:tc>
          <w:tcPr>
            <w:tcW w:w="104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6"/>
              </w:rPr>
              <w:t>Assessments</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Related</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104(e)</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104(e)</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Day</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During</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During</w:t>
            </w:r>
          </w:p>
        </w:tc>
        <w:tc>
          <w:tcPr>
            <w:tcW w:w="0" w:type="dxa"/>
            <w:vAlign w:val="bottom"/>
          </w:tcPr>
          <w:p>
            <w:pPr>
              <w:spacing w:after="0"/>
              <w:rPr>
                <w:sz w:val="1"/>
                <w:szCs w:val="1"/>
                <w:color w:val="auto"/>
              </w:rPr>
            </w:pPr>
          </w:p>
        </w:tc>
      </w:tr>
      <w:tr>
        <w:trPr>
          <w:trHeight w:val="153"/>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MSHA Identification Number</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S&amp;S Citations</w:t>
            </w: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Orders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and Orders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Violations</w:t>
            </w: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Orders</w:t>
            </w:r>
          </w:p>
        </w:tc>
        <w:tc>
          <w:tcPr>
            <w:tcW w:w="104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color w:val="auto"/>
              </w:rPr>
              <w:t xml:space="preserve">Proposed </w:t>
            </w:r>
            <w:r>
              <w:rPr>
                <w:rFonts w:ascii="Times New Roman" w:cs="Times New Roman" w:eastAsia="Times New Roman" w:hAnsi="Times New Roman"/>
                <w:sz w:val="10"/>
                <w:szCs w:val="10"/>
                <w:color w:val="auto"/>
              </w:rPr>
              <w:t>(1)</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Fatalities</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(yes/no)</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(yes/no)</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of Period</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Period</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Period</w:t>
            </w:r>
          </w:p>
        </w:tc>
        <w:tc>
          <w:tcPr>
            <w:tcW w:w="0" w:type="dxa"/>
            <w:vAlign w:val="bottom"/>
          </w:tcPr>
          <w:p>
            <w:pPr>
              <w:spacing w:after="0"/>
              <w:rPr>
                <w:sz w:val="1"/>
                <w:szCs w:val="1"/>
                <w:color w:val="auto"/>
              </w:rPr>
            </w:pPr>
          </w:p>
        </w:tc>
      </w:tr>
      <w:tr>
        <w:trPr>
          <w:trHeight w:val="275"/>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Amelia Barite Plant/1600825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2"/>
              </w:rPr>
              <w:t>$604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81"/>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Battle Mountain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auto"/>
                <w:w w:val="99"/>
              </w:rPr>
              <w:t xml:space="preserve">─ </w:t>
            </w:r>
            <w:r>
              <w:rPr>
                <w:rFonts w:ascii="Times New Roman" w:cs="Times New Roman" w:eastAsia="Times New Roman" w:hAnsi="Times New Roman"/>
                <w:sz w:val="10"/>
                <w:szCs w:val="10"/>
                <w:color w:val="auto"/>
                <w:w w:val="99"/>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Grinding Plant/2600828</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w w:val="98"/>
              </w:rPr>
              <w:t>Greybull Milling Operation/4800602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rPr>
              <w:t>$1,685</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64"/>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w w:val="98"/>
              </w:rPr>
              <w:t>Greybull Mining Operation/4800603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51"/>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Greystone Mine/2600411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4"/>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Mountain Springs</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Beneficiation Plant/2601390</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460" w:right="80" w:hanging="371"/>
        <w:spacing w:after="0" w:line="224" w:lineRule="auto"/>
        <w:tabs>
          <w:tab w:leader="none" w:pos="460" w:val="left"/>
        </w:tabs>
        <w:numPr>
          <w:ilvl w:val="0"/>
          <w:numId w:val="22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Amounts included are the total dollar value of proposed assessments received from MSHA on or before March 31, 2022, regardless of whether the assessment has been challenged or appealed, for citations and orders occurring during the quarter ended March 31, 2022.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2" w:lineRule="exact"/>
        <w:rPr>
          <w:rFonts w:ascii="Times New Roman" w:cs="Times New Roman" w:eastAsia="Times New Roman" w:hAnsi="Times New Roman"/>
          <w:sz w:val="28"/>
          <w:szCs w:val="28"/>
          <w:color w:val="auto"/>
          <w:vertAlign w:val="superscript"/>
        </w:rPr>
      </w:pPr>
    </w:p>
    <w:p>
      <w:pPr>
        <w:ind w:left="460" w:hanging="371"/>
        <w:spacing w:after="0" w:line="183" w:lineRule="auto"/>
        <w:tabs>
          <w:tab w:leader="none" w:pos="460" w:val="left"/>
        </w:tabs>
        <w:numPr>
          <w:ilvl w:val="0"/>
          <w:numId w:val="2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As of March 31, 2022, MSHA had not yet proposed an assessment for two S&amp;S citations and one non-S&amp;S citations at Battle Mountain Grinding Plant/2600828.</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1)"/>
      <w:numFmt w:val="decimal"/>
      <w:start w:val="1"/>
    </w:lvl>
  </w:abstractNum>
  <w:abstractNum w:abstractNumId="3">
    <w:nsid w:val="39B7AAA2"/>
    <w:multiLevelType w:val="hybridMultilevel"/>
    <w:lvl w:ilvl="0">
      <w:lvlJc w:val="left"/>
      <w:lvlText w:val="%1."/>
      <w:numFmt w:val="decimal"/>
      <w:start w:val="1"/>
    </w:lvl>
  </w:abstractNum>
  <w:abstractNum w:abstractNumId="4">
    <w:nsid w:val="2B0D8DBE"/>
    <w:multiLevelType w:val="hybridMultilevel"/>
    <w:lvl w:ilvl="0">
      <w:lvlJc w:val="left"/>
      <w:lvlText w:val="%1."/>
      <w:numFmt w:val="decimal"/>
      <w:start w:val="2"/>
    </w:lvl>
  </w:abstractNum>
  <w:abstractNum w:abstractNumId="5">
    <w:nsid w:val="6C80EC70"/>
    <w:multiLevelType w:val="hybridMultilevel"/>
    <w:lvl w:ilvl="0">
      <w:lvlJc w:val="left"/>
      <w:lvlText w:val="%1."/>
      <w:numFmt w:val="decimal"/>
      <w:start w:val="3"/>
    </w:lvl>
  </w:abstractNum>
  <w:abstractNum w:abstractNumId="6">
    <w:nsid w:val="379E21B5"/>
    <w:multiLevelType w:val="hybridMultilevel"/>
    <w:lvl w:ilvl="0">
      <w:lvlJc w:val="left"/>
      <w:lvlText w:val="%1."/>
      <w:numFmt w:val="decimal"/>
      <w:start w:val="4"/>
    </w:lvl>
  </w:abstractNum>
  <w:abstractNum w:abstractNumId="7">
    <w:nsid w:val="69E373"/>
    <w:multiLevelType w:val="hybridMultilevel"/>
    <w:lvl w:ilvl="0">
      <w:lvlJc w:val="left"/>
      <w:lvlText w:val="%1."/>
      <w:numFmt w:val="decimal"/>
      <w:start w:val="6"/>
    </w:lvl>
  </w:abstractNum>
  <w:abstractNum w:abstractNumId="8">
    <w:nsid w:val="2C27173B"/>
    <w:multiLevelType w:val="hybridMultilevel"/>
    <w:lvl w:ilvl="0">
      <w:lvlJc w:val="left"/>
      <w:lvlText w:val="%1."/>
      <w:numFmt w:val="decimal"/>
      <w:start w:val="7"/>
    </w:lvl>
  </w:abstractNum>
  <w:abstractNum w:abstractNumId="9">
    <w:nsid w:val="4C9B0904"/>
    <w:multiLevelType w:val="hybridMultilevel"/>
    <w:lvl w:ilvl="0">
      <w:lvlJc w:val="left"/>
      <w:lvlText w:val="%1."/>
      <w:numFmt w:val="decimal"/>
      <w:start w:val="8"/>
    </w:lvl>
  </w:abstractNum>
  <w:abstractNum w:abstractNumId="10">
    <w:nsid w:val="6AA7B75C"/>
    <w:multiLevelType w:val="hybridMultilevel"/>
    <w:lvl w:ilvl="0">
      <w:lvlJc w:val="left"/>
      <w:lvlText w:val="%1."/>
      <w:numFmt w:val="decimal"/>
      <w:start w:val="9"/>
    </w:lvl>
  </w:abstractNum>
  <w:abstractNum w:abstractNumId="11">
    <w:nsid w:val="1DF029D3"/>
    <w:multiLevelType w:val="hybridMultilevel"/>
    <w:lvl w:ilvl="0">
      <w:lvlJc w:val="left"/>
      <w:lvlText w:val="%1."/>
      <w:numFmt w:val="decimal"/>
      <w:start w:val="10"/>
    </w:lvl>
  </w:abstractNum>
  <w:abstractNum w:abstractNumId="12">
    <w:nsid w:val="5675FF36"/>
    <w:multiLevelType w:val="hybridMultilevel"/>
    <w:lvl w:ilvl="0">
      <w:lvlJc w:val="left"/>
      <w:lvlText w:val="(%1)"/>
      <w:numFmt w:val="decimal"/>
      <w:start w:val="1"/>
    </w:lvl>
  </w:abstractNum>
  <w:abstractNum w:abstractNumId="13">
    <w:nsid w:val="3DD15094"/>
    <w:multiLevelType w:val="hybridMultilevel"/>
    <w:lvl w:ilvl="0">
      <w:lvlJc w:val="left"/>
      <w:lvlText w:val="(%1)"/>
      <w:numFmt w:val="decimal"/>
      <w:start w:val="1"/>
    </w:lvl>
  </w:abstractNum>
  <w:abstractNum w:abstractNumId="14">
    <w:nsid w:val="3DB012B3"/>
    <w:multiLevelType w:val="hybridMultilevel"/>
    <w:lvl w:ilvl="0">
      <w:lvlJc w:val="left"/>
      <w:lvlText w:val="(%1)"/>
      <w:numFmt w:val="decimal"/>
      <w:start w:val="1"/>
    </w:lvl>
  </w:abstractNum>
  <w:abstractNum w:abstractNumId="15">
    <w:nsid w:val="2708C9AF"/>
    <w:multiLevelType w:val="hybridMultilevel"/>
    <w:lvl w:ilvl="0">
      <w:lvlJc w:val="left"/>
      <w:lvlText w:val="(%1)"/>
      <w:numFmt w:val="decimal"/>
      <w:start w:val="1"/>
    </w:lvl>
  </w:abstractNum>
  <w:abstractNum w:abstractNumId="16">
    <w:nsid w:val="5B25ACE2"/>
    <w:multiLevelType w:val="hybridMultilevel"/>
    <w:lvl w:ilvl="0">
      <w:lvlJc w:val="left"/>
      <w:lvlText w:val="•"/>
      <w:numFmt w:val="bullet"/>
      <w:start w:val="1"/>
    </w:lvl>
  </w:abstractNum>
  <w:abstractNum w:abstractNumId="17">
    <w:nsid w:val="175DFCF0"/>
    <w:multiLevelType w:val="hybridMultilevel"/>
    <w:lvl w:ilvl="0">
      <w:lvlJc w:val="left"/>
      <w:lvlText w:val="•"/>
      <w:numFmt w:val="bullet"/>
      <w:start w:val="1"/>
    </w:lvl>
  </w:abstractNum>
  <w:abstractNum w:abstractNumId="18">
    <w:nsid w:val="4F97E3E4"/>
    <w:multiLevelType w:val="hybridMultilevel"/>
    <w:lvl w:ilvl="0">
      <w:lvlJc w:val="left"/>
      <w:lvlText w:val="*"/>
      <w:numFmt w:val="bullet"/>
      <w:start w:val="1"/>
    </w:lvl>
  </w:abstractNum>
  <w:abstractNum w:abstractNumId="19">
    <w:nsid w:val="53B0A9E"/>
    <w:multiLevelType w:val="hybridMultilevel"/>
    <w:lvl w:ilvl="0">
      <w:lvlJc w:val="left"/>
      <w:lvlText w:val="**"/>
      <w:numFmt w:val="bullet"/>
      <w:start w:val="1"/>
    </w:lvl>
  </w:abstractNum>
  <w:abstractNum w:abstractNumId="20">
    <w:nsid w:val="34FD6B4F"/>
    <w:multiLevelType w:val="hybridMultilevel"/>
    <w:lvl w:ilvl="0">
      <w:lvlJc w:val="left"/>
      <w:lvlText w:val="*"/>
      <w:numFmt w:val="bullet"/>
      <w:start w:val="1"/>
    </w:lvl>
  </w:abstractNum>
  <w:abstractNum w:abstractNumId="21">
    <w:nsid w:val="5915FF32"/>
    <w:multiLevelType w:val="hybridMultilevel"/>
    <w:lvl w:ilvl="0">
      <w:lvlJc w:val="left"/>
      <w:lvlText w:val="*"/>
      <w:numFmt w:val="bullet"/>
      <w:start w:val="1"/>
    </w:lvl>
  </w:abstractNum>
  <w:abstractNum w:abstractNumId="22">
    <w:nsid w:val="56438D15"/>
    <w:multiLevelType w:val="hybridMultilevel"/>
    <w:lvl w:ilvl="0">
      <w:lvlJc w:val="left"/>
      <w:lvlText w:val="**"/>
      <w:numFmt w:val="bullet"/>
      <w:start w:val="1"/>
    </w:lvl>
    <w:lvl w:ilvl="1">
      <w:lvlJc w:val="left"/>
      <w:lvlText w:val="(+)"/>
      <w:numFmt w:val="bullet"/>
      <w:start w:val="1"/>
    </w:lvl>
  </w:abstractNum>
  <w:abstractNum w:abstractNumId="23">
    <w:nsid w:val="519E3149"/>
    <w:multiLevelType w:val="hybridMultilevel"/>
    <w:lvl w:ilvl="0">
      <w:lvlJc w:val="left"/>
      <w:lvlText w:val="%1."/>
      <w:numFmt w:val="decimal"/>
      <w:start w:val="1"/>
    </w:lvl>
  </w:abstractNum>
  <w:abstractNum w:abstractNumId="24">
    <w:nsid w:val="2C6E4AFD"/>
    <w:multiLevelType w:val="hybridMultilevel"/>
    <w:lvl w:ilvl="0">
      <w:lvlJc w:val="left"/>
      <w:lvlText w:val="%1."/>
      <w:numFmt w:val="decimal"/>
      <w:start w:val="3"/>
    </w:lvl>
    <w:lvl w:ilvl="1">
      <w:lvlJc w:val="left"/>
      <w:lvlText w:val="(%2)"/>
      <w:numFmt w:val="lowerLetter"/>
      <w:start w:val="1"/>
    </w:lvl>
  </w:abstractNum>
  <w:abstractNum w:abstractNumId="25">
    <w:nsid w:val="17A1B582"/>
    <w:multiLevelType w:val="hybridMultilevel"/>
    <w:lvl w:ilvl="0">
      <w:lvlJc w:val="left"/>
      <w:lvlText w:val="(%1)"/>
      <w:numFmt w:val="lowerLetter"/>
      <w:start w:val="2"/>
    </w:lvl>
    <w:lvl w:ilvl="1">
      <w:lvlJc w:val="left"/>
      <w:lvlText w:val="(%2)"/>
      <w:numFmt w:val="lowerRoman"/>
      <w:start w:val="1"/>
    </w:lvl>
  </w:abstractNum>
  <w:abstractNum w:abstractNumId="26">
    <w:nsid w:val="4DF72E4E"/>
    <w:multiLevelType w:val="hybridMultilevel"/>
    <w:lvl w:ilvl="0">
      <w:lvlJc w:val="left"/>
      <w:lvlText w:val="%1"/>
      <w:numFmt w:val="lowerLetter"/>
      <w:start w:val="1"/>
    </w:lvl>
    <w:lvl w:ilvl="1">
      <w:lvlJc w:val="left"/>
      <w:lvlText w:val="(%2)"/>
      <w:numFmt w:val="lowerRoman"/>
      <w:start w:val="2"/>
    </w:lvl>
  </w:abstractNum>
  <w:abstractNum w:abstractNumId="27">
    <w:nsid w:val="5046B5A9"/>
    <w:multiLevelType w:val="hybridMultilevel"/>
    <w:lvl w:ilvl="0">
      <w:lvlJc w:val="left"/>
      <w:lvlText w:val="(%1)"/>
      <w:numFmt w:val="lowerLetter"/>
      <w:start w:val="5"/>
    </w:lvl>
    <w:lvl w:ilvl="1">
      <w:lvlJc w:val="left"/>
      <w:lvlText w:val="%2"/>
      <w:numFmt w:val="lowerRoman"/>
      <w:start w:val="1"/>
    </w:lvl>
  </w:abstractNum>
  <w:abstractNum w:abstractNumId="28">
    <w:nsid w:val="5D888A08"/>
    <w:multiLevelType w:val="hybridMultilevel"/>
    <w:lvl w:ilvl="0">
      <w:lvlJc w:val="left"/>
      <w:lvlText w:val="%1"/>
      <w:numFmt w:val="decimal"/>
      <w:start w:val="1"/>
    </w:lvl>
    <w:lvl w:ilvl="1">
      <w:lvlJc w:val="left"/>
      <w:lvlText w:val="(%2)"/>
      <w:numFmt w:val="lowerLetter"/>
      <w:start w:val="6"/>
    </w:lvl>
  </w:abstractNum>
  <w:abstractNum w:abstractNumId="29">
    <w:nsid w:val="2A082C70"/>
    <w:multiLevelType w:val="hybridMultilevel"/>
    <w:lvl w:ilvl="0">
      <w:lvlJc w:val="left"/>
      <w:lvlText w:val="%1."/>
      <w:numFmt w:val="decimal"/>
      <w:start w:val="4"/>
    </w:lvl>
    <w:lvl w:ilvl="1">
      <w:lvlJc w:val="left"/>
      <w:lvlText w:val="%2"/>
      <w:numFmt w:val="lowerLetter"/>
      <w:start w:val="1"/>
    </w:lvl>
  </w:abstractNum>
  <w:abstractNum w:abstractNumId="30">
    <w:nsid w:val="5EC6AFD4"/>
    <w:multiLevelType w:val="hybridMultilevel"/>
    <w:lvl w:ilvl="0">
      <w:lvlJc w:val="left"/>
      <w:lvlText w:val="(%1)"/>
      <w:numFmt w:val="lowerRoman"/>
      <w:start w:val="4"/>
    </w:lvl>
    <w:lvl w:ilvl="1">
      <w:lvlJc w:val="left"/>
      <w:lvlText w:val="(%2)"/>
      <w:numFmt w:val="lowerLetter"/>
      <w:start w:val="1"/>
    </w:lvl>
  </w:abstractNum>
  <w:abstractNum w:abstractNumId="31">
    <w:nsid w:val="19E21BB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2">
    <w:nsid w:val="75E0858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3">
    <w:nsid w:val="57A61A29"/>
    <w:multiLevelType w:val="hybridMultilevel"/>
    <w:lvl w:ilvl="0">
      <w:lvlJc w:val="left"/>
      <w:lvlText w:val="(%1)"/>
      <w:numFmt w:val="lowerLetter"/>
      <w:start w:val="2"/>
    </w:lvl>
  </w:abstractNum>
  <w:abstractNum w:abstractNumId="34">
    <w:nsid w:val="5399C654"/>
    <w:multiLevelType w:val="hybridMultilevel"/>
    <w:lvl w:ilvl="0">
      <w:lvlJc w:val="left"/>
      <w:lvlText w:val="(%1)"/>
      <w:numFmt w:val="lowerRoman"/>
      <w:start w:val="1"/>
    </w:lvl>
  </w:abstractNum>
  <w:abstractNum w:abstractNumId="35">
    <w:nsid w:val="20EE1348"/>
    <w:multiLevelType w:val="hybridMultilevel"/>
    <w:lvl w:ilvl="0">
      <w:lvlJc w:val="left"/>
      <w:lvlText w:val="(%1)"/>
      <w:numFmt w:val="upperLetter"/>
      <w:start w:val="1"/>
    </w:lvl>
  </w:abstractNum>
  <w:abstractNum w:abstractNumId="36">
    <w:nsid w:val="4427069A"/>
    <w:multiLevelType w:val="hybridMultilevel"/>
    <w:lvl w:ilvl="0">
      <w:lvlJc w:val="left"/>
      <w:lvlText w:val="•"/>
      <w:numFmt w:val="bullet"/>
      <w:start w:val="1"/>
    </w:lvl>
  </w:abstractNum>
  <w:abstractNum w:abstractNumId="37">
    <w:nsid w:val="B37E80A"/>
    <w:multiLevelType w:val="hybridMultilevel"/>
    <w:lvl w:ilvl="0">
      <w:lvlJc w:val="left"/>
      <w:lvlText w:val="•"/>
      <w:numFmt w:val="bullet"/>
      <w:start w:val="1"/>
    </w:lvl>
  </w:abstractNum>
  <w:abstractNum w:abstractNumId="38">
    <w:nsid w:val="2157F6BC"/>
    <w:multiLevelType w:val="hybridMultilevel"/>
    <w:lvl w:ilvl="0">
      <w:lvlJc w:val="left"/>
      <w:lvlText w:val="(%1)"/>
      <w:numFmt w:val="upperLetter"/>
      <w:start w:val="2"/>
    </w:lvl>
  </w:abstractNum>
  <w:abstractNum w:abstractNumId="39">
    <w:nsid w:val="704E1DD5"/>
    <w:multiLevelType w:val="hybridMultilevel"/>
    <w:lvl w:ilvl="0">
      <w:lvlJc w:val="left"/>
      <w:lvlText w:val="(%1)"/>
      <w:numFmt w:val="lowerRoman"/>
      <w:start w:val="2"/>
    </w:lvl>
  </w:abstractNum>
  <w:abstractNum w:abstractNumId="40">
    <w:nsid w:val="57D2F10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8"/>
    </w:lvl>
  </w:abstractNum>
  <w:abstractNum w:abstractNumId="41">
    <w:nsid w:val="BFFAE18"/>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42">
    <w:nsid w:val="E3E47A8"/>
    <w:multiLevelType w:val="hybridMultilevel"/>
    <w:lvl w:ilvl="0">
      <w:lvlJc w:val="left"/>
      <w:lvlText w:val="%1."/>
      <w:numFmt w:val="decimal"/>
      <w:start w:val="6"/>
    </w:lvl>
  </w:abstractNum>
  <w:abstractNum w:abstractNumId="43">
    <w:nsid w:val="2E48F044"/>
    <w:multiLevelType w:val="hybridMultilevel"/>
    <w:lvl w:ilvl="0">
      <w:lvlJc w:val="left"/>
      <w:lvlText w:val="%1."/>
      <w:numFmt w:val="decimal"/>
      <w:start w:val="8"/>
    </w:lvl>
  </w:abstractNum>
  <w:abstractNum w:abstractNumId="44">
    <w:nsid w:val="49D0FEAC"/>
    <w:multiLevelType w:val="hybridMultilevel"/>
    <w:lvl w:ilvl="0">
      <w:lvlJc w:val="left"/>
      <w:lvlText w:val="%1."/>
      <w:numFmt w:val="decimal"/>
      <w:start w:val="9"/>
    </w:lvl>
  </w:abstractNum>
  <w:abstractNum w:abstractNumId="45">
    <w:nsid w:val="4BEE5A5B"/>
    <w:multiLevelType w:val="hybridMultilevel"/>
    <w:lvl w:ilvl="0">
      <w:lvlJc w:val="left"/>
      <w:lvlText w:val="%1."/>
      <w:numFmt w:val="decimal"/>
      <w:start w:val="12"/>
    </w:lvl>
  </w:abstractNum>
  <w:abstractNum w:abstractNumId="46">
    <w:nsid w:val="5551B9F3"/>
    <w:multiLevelType w:val="hybridMultilevel"/>
    <w:lvl w:ilvl="0">
      <w:lvlJc w:val="left"/>
      <w:lvlText w:val="%1."/>
      <w:numFmt w:val="decimal"/>
      <w:start w:val="15"/>
    </w:lvl>
  </w:abstractNum>
  <w:abstractNum w:abstractNumId="47">
    <w:nsid w:val="24F6AB8E"/>
    <w:multiLevelType w:val="hybridMultilevel"/>
    <w:lvl w:ilvl="0">
      <w:lvlJc w:val="left"/>
      <w:lvlText w:val="%1."/>
      <w:numFmt w:val="upperLetter"/>
      <w:start w:val="9"/>
    </w:lvl>
  </w:abstractNum>
  <w:abstractNum w:abstractNumId="48">
    <w:nsid w:val="634C574C"/>
    <w:multiLevelType w:val="hybridMultilevel"/>
    <w:lvl w:ilvl="0">
      <w:lvlJc w:val="left"/>
      <w:lvlText w:val="%1."/>
      <w:numFmt w:val="upperLetter"/>
      <w:start w:val="35"/>
    </w:lvl>
  </w:abstractNum>
  <w:abstractNum w:abstractNumId="49">
    <w:nsid w:val="24E99DD7"/>
    <w:multiLevelType w:val="hybridMultilevel"/>
    <w:lvl w:ilvl="0">
      <w:lvlJc w:val="left"/>
      <w:lvlText w:val="(%1)"/>
      <w:numFmt w:val="decimal"/>
      <w:start w:val="1"/>
    </w:lvl>
  </w:abstractNum>
  <w:abstractNum w:abstractNumId="50">
    <w:nsid w:val="2A31B62D"/>
    <w:multiLevelType w:val="hybridMultilevel"/>
    <w:lvl w:ilvl="0">
      <w:lvlJc w:val="left"/>
      <w:lvlText w:val="(%1)"/>
      <w:numFmt w:val="decimal"/>
      <w:start w:val="2"/>
    </w:lvl>
  </w:abstractNum>
  <w:abstractNum w:abstractNumId="51">
    <w:nsid w:val="1849C29B"/>
    <w:multiLevelType w:val="hybridMultilevel"/>
    <w:lvl w:ilvl="0">
      <w:lvlJc w:val="left"/>
      <w:lvlText w:val="•"/>
      <w:numFmt w:val="bullet"/>
      <w:start w:val="1"/>
    </w:lvl>
  </w:abstractNum>
  <w:abstractNum w:abstractNumId="52">
    <w:nsid w:val="7DFF9D09"/>
    <w:multiLevelType w:val="hybridMultilevel"/>
    <w:lvl w:ilvl="0">
      <w:lvlJc w:val="left"/>
      <w:lvlText w:val="%1."/>
      <w:numFmt w:val="upperLetter"/>
      <w:start w:val="61"/>
    </w:lvl>
  </w:abstractNum>
  <w:abstractNum w:abstractNumId="53">
    <w:nsid w:val="754342"/>
    <w:multiLevelType w:val="hybridMultilevel"/>
    <w:lvl w:ilvl="0">
      <w:lvlJc w:val="left"/>
      <w:lvlText w:val="%1"/>
      <w:numFmt w:val="upperLetter"/>
      <w:start w:val="1"/>
    </w:lvl>
    <w:lvl w:ilvl="1">
      <w:lvlJc w:val="left"/>
      <w:lvlText w:val="(%2)"/>
      <w:numFmt w:val="lowerRoman"/>
      <w:start w:val="1"/>
    </w:lvl>
  </w:abstractNum>
  <w:abstractNum w:abstractNumId="54">
    <w:nsid w:val="69E7F3E5"/>
    <w:multiLevelType w:val="hybridMultilevel"/>
    <w:lvl w:ilvl="0">
      <w:lvlJc w:val="left"/>
      <w:lvlText w:val="%1."/>
      <w:numFmt w:val="upperLetter"/>
      <w:start w:val="22"/>
    </w:lvl>
    <w:lvl w:ilvl="1">
      <w:lvlJc w:val="left"/>
      <w:lvlText w:val="%2"/>
      <w:numFmt w:val="lowerRoman"/>
      <w:start w:val="1"/>
    </w:lvl>
  </w:abstractNum>
  <w:abstractNum w:abstractNumId="55">
    <w:nsid w:val="2A6DE806"/>
    <w:multiLevelType w:val="hybridMultilevel"/>
    <w:lvl w:ilvl="0">
      <w:lvlJc w:val="left"/>
      <w:lvlText w:val="(%1)"/>
      <w:numFmt w:val="lowerRoman"/>
      <w:start w:val="1"/>
    </w:lvl>
    <w:lvl w:ilvl="1">
      <w:lvlJc w:val="left"/>
      <w:lvlText w:val="(%2)"/>
      <w:numFmt w:val="upperLetter"/>
      <w:start w:val="1"/>
    </w:lvl>
  </w:abstractNum>
  <w:abstractNum w:abstractNumId="56">
    <w:nsid w:val="1816F8C4"/>
    <w:multiLevelType w:val="hybridMultilevel"/>
    <w:lvl w:ilvl="0">
      <w:lvlJc w:val="left"/>
      <w:lvlText w:val="(%1)"/>
      <w:numFmt w:val="lowerRoman"/>
      <w:start w:val="1"/>
    </w:lvl>
  </w:abstractNum>
  <w:abstractNum w:abstractNumId="57">
    <w:nsid w:val="37DF2233"/>
    <w:multiLevelType w:val="hybridMultilevel"/>
    <w:lvl w:ilvl="0">
      <w:lvlJc w:val="left"/>
      <w:lvlText w:val="%1."/>
      <w:numFmt w:val="upperLetter"/>
      <w:start w:val="24"/>
    </w:lvl>
  </w:abstractNum>
  <w:abstractNum w:abstractNumId="58">
    <w:nsid w:val="7AB49DAF"/>
    <w:multiLevelType w:val="hybridMultilevel"/>
    <w:lvl w:ilvl="0">
      <w:lvlJc w:val="left"/>
      <w:lvlText w:val="%1."/>
      <w:numFmt w:val="decimal"/>
      <w:start w:val="1"/>
    </w:lvl>
  </w:abstractNum>
  <w:abstractNum w:abstractNumId="59">
    <w:nsid w:val="759F82CD"/>
    <w:multiLevelType w:val="hybridMultilevel"/>
    <w:lvl w:ilvl="0">
      <w:lvlJc w:val="left"/>
      <w:lvlText w:val="%1."/>
      <w:numFmt w:val="decimal"/>
      <w:start w:val="3"/>
    </w:lvl>
    <w:lvl w:ilvl="1">
      <w:lvlJc w:val="left"/>
      <w:lvlText w:val="(%2)"/>
      <w:numFmt w:val="lowerLetter"/>
      <w:start w:val="1"/>
    </w:lvl>
  </w:abstractNum>
  <w:abstractNum w:abstractNumId="60">
    <w:nsid w:val="61E74EA3"/>
    <w:multiLevelType w:val="hybridMultilevel"/>
    <w:lvl w:ilvl="0">
      <w:lvlJc w:val="left"/>
      <w:lvlText w:val="(%1)"/>
      <w:numFmt w:val="lowerLetter"/>
      <w:start w:val="3"/>
    </w:lvl>
    <w:lvl w:ilvl="1">
      <w:lvlJc w:val="left"/>
      <w:lvlText w:val="(%2)"/>
      <w:numFmt w:val="lowerRoman"/>
      <w:start w:val="1"/>
    </w:lvl>
  </w:abstractNum>
  <w:abstractNum w:abstractNumId="61">
    <w:nsid w:val="597B4D8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62">
    <w:nsid w:val="F819E7F"/>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63">
    <w:nsid w:val="57C7D42D"/>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64">
    <w:nsid w:val="312167AD"/>
    <w:multiLevelType w:val="hybridMultilevel"/>
    <w:lvl w:ilvl="0">
      <w:lvlJc w:val="left"/>
      <w:lvlText w:val="(%1)"/>
      <w:numFmt w:val="lowerRoman"/>
      <w:start w:val="4"/>
    </w:lvl>
    <w:lvl w:ilvl="1">
      <w:lvlJc w:val="left"/>
      <w:lvlText w:val="(%2)"/>
      <w:numFmt w:val="lowerLetter"/>
      <w:start w:val="1"/>
    </w:lvl>
  </w:abstractNum>
  <w:abstractNum w:abstractNumId="65">
    <w:nsid w:val="631B64D4"/>
    <w:multiLevelType w:val="hybridMultilevel"/>
    <w:lvl w:ilvl="0">
      <w:lvlJc w:val="left"/>
      <w:lvlText w:val="(%1)"/>
      <w:numFmt w:val="lowerLetter"/>
      <w:start w:val="2"/>
    </w:lvl>
    <w:lvl w:ilvl="1">
      <w:lvlJc w:val="left"/>
      <w:lvlText w:val="(%2)"/>
      <w:numFmt w:val="lowerRoman"/>
      <w:start w:val="1"/>
    </w:lvl>
  </w:abstractNum>
  <w:abstractNum w:abstractNumId="66">
    <w:nsid w:val="78B5E77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67">
    <w:nsid w:val="75486E47"/>
    <w:multiLevelType w:val="hybridMultilevel"/>
    <w:lvl w:ilvl="0">
      <w:lvlJc w:val="left"/>
      <w:lvlText w:val="(%1)"/>
      <w:numFmt w:val="upperLetter"/>
      <w:start w:val="1"/>
    </w:lvl>
  </w:abstractNum>
  <w:abstractNum w:abstractNumId="68">
    <w:nsid w:val="6E534CDE"/>
    <w:multiLevelType w:val="hybridMultilevel"/>
    <w:lvl w:ilvl="0">
      <w:lvlJc w:val="left"/>
      <w:lvlText w:val="•"/>
      <w:numFmt w:val="bullet"/>
      <w:start w:val="1"/>
    </w:lvl>
  </w:abstractNum>
  <w:abstractNum w:abstractNumId="69">
    <w:nsid w:val="1A0DDE32"/>
    <w:multiLevelType w:val="hybridMultilevel"/>
    <w:lvl w:ilvl="0">
      <w:lvlJc w:val="left"/>
      <w:lvlText w:val="(%1)"/>
      <w:numFmt w:val="upperLetter"/>
      <w:start w:val="2"/>
    </w:lvl>
  </w:abstractNum>
  <w:abstractNum w:abstractNumId="70">
    <w:nsid w:val="65968C1C"/>
    <w:multiLevelType w:val="hybridMultilevel"/>
    <w:lvl w:ilvl="0">
      <w:lvlJc w:val="left"/>
      <w:lvlText w:val="(%1)"/>
      <w:numFmt w:val="upperLetter"/>
      <w:start w:val="3"/>
    </w:lvl>
  </w:abstractNum>
  <w:abstractNum w:abstractNumId="71">
    <w:nsid w:val="46263DEC"/>
    <w:multiLevelType w:val="hybridMultilevel"/>
    <w:lvl w:ilvl="0">
      <w:lvlJc w:val="left"/>
      <w:lvlText w:val="(%1)"/>
      <w:numFmt w:val="lowerRoman"/>
      <w:start w:val="2"/>
    </w:lvl>
  </w:abstractNum>
  <w:abstractNum w:abstractNumId="72">
    <w:nsid w:val="260D8C4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73">
    <w:nsid w:val="73D4D3C4"/>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74">
    <w:nsid w:val="746F2E3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5">
    <w:nsid w:val="6FDE8AF6"/>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76">
    <w:nsid w:val="3FC32E2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77">
    <w:nsid w:val="49C0E823"/>
    <w:multiLevelType w:val="hybridMultilevel"/>
    <w:lvl w:ilvl="0">
      <w:lvlJc w:val="left"/>
      <w:lvlText w:val="%1."/>
      <w:numFmt w:val="decimal"/>
      <w:start w:val="8"/>
    </w:lvl>
  </w:abstractNum>
  <w:abstractNum w:abstractNumId="78">
    <w:nsid w:val="14D53685"/>
    <w:multiLevelType w:val="hybridMultilevel"/>
    <w:lvl w:ilvl="0">
      <w:lvlJc w:val="left"/>
      <w:lvlText w:val="%1."/>
      <w:numFmt w:val="decimal"/>
      <w:start w:val="12"/>
    </w:lvl>
  </w:abstractNum>
  <w:abstractNum w:abstractNumId="79">
    <w:nsid w:val="230F856C"/>
    <w:multiLevelType w:val="hybridMultilevel"/>
    <w:lvl w:ilvl="0">
      <w:lvlJc w:val="left"/>
      <w:lvlText w:val="%1."/>
      <w:numFmt w:val="decimal"/>
      <w:start w:val="13"/>
    </w:lvl>
  </w:abstractNum>
  <w:abstractNum w:abstractNumId="80">
    <w:nsid w:val="6EAA85FB"/>
    <w:multiLevelType w:val="hybridMultilevel"/>
    <w:lvl w:ilvl="0">
      <w:lvlJc w:val="left"/>
      <w:lvlText w:val="%1."/>
      <w:numFmt w:val="decimal"/>
      <w:start w:val="17"/>
    </w:lvl>
  </w:abstractNum>
  <w:abstractNum w:abstractNumId="81">
    <w:nsid w:val="3F06ECB2"/>
    <w:multiLevelType w:val="hybridMultilevel"/>
    <w:lvl w:ilvl="0">
      <w:lvlJc w:val="left"/>
      <w:lvlText w:val="%1."/>
      <w:numFmt w:val="upperLetter"/>
      <w:start w:val="9"/>
    </w:lvl>
  </w:abstractNum>
  <w:abstractNum w:abstractNumId="82">
    <w:nsid w:val="3B594807"/>
    <w:multiLevelType w:val="hybridMultilevel"/>
    <w:lvl w:ilvl="0">
      <w:lvlJc w:val="left"/>
      <w:lvlText w:val="%1."/>
      <w:numFmt w:val="upperLetter"/>
      <w:start w:val="35"/>
    </w:lvl>
  </w:abstractNum>
  <w:abstractNum w:abstractNumId="83">
    <w:nsid w:val="6CAA2304"/>
    <w:multiLevelType w:val="hybridMultilevel"/>
    <w:lvl w:ilvl="0">
      <w:lvlJc w:val="left"/>
      <w:lvlText w:val="(%1)"/>
      <w:numFmt w:val="decimal"/>
      <w:start w:val="1"/>
    </w:lvl>
  </w:abstractNum>
  <w:abstractNum w:abstractNumId="84">
    <w:nsid w:val="3F7C2FF4"/>
    <w:multiLevelType w:val="hybridMultilevel"/>
    <w:lvl w:ilvl="0">
      <w:lvlJc w:val="left"/>
      <w:lvlText w:val="(%1)"/>
      <w:numFmt w:val="decimal"/>
      <w:start w:val="2"/>
    </w:lvl>
  </w:abstractNum>
  <w:abstractNum w:abstractNumId="85">
    <w:nsid w:val="25413BEC"/>
    <w:multiLevelType w:val="hybridMultilevel"/>
    <w:lvl w:ilvl="0">
      <w:lvlJc w:val="left"/>
      <w:lvlText w:val="•"/>
      <w:numFmt w:val="bullet"/>
      <w:start w:val="1"/>
    </w:lvl>
  </w:abstractNum>
  <w:abstractNum w:abstractNumId="86">
    <w:nsid w:val="17180B0B"/>
    <w:multiLevelType w:val="hybridMultilevel"/>
    <w:lvl w:ilvl="0">
      <w:lvlJc w:val="left"/>
      <w:lvlText w:val="%1."/>
      <w:numFmt w:val="upperLetter"/>
      <w:start w:val="61"/>
    </w:lvl>
  </w:abstractNum>
  <w:abstractNum w:abstractNumId="87">
    <w:nsid w:val="579328B9"/>
    <w:multiLevelType w:val="hybridMultilevel"/>
    <w:lvl w:ilvl="0">
      <w:lvlJc w:val="left"/>
      <w:lvlText w:val="(%1)"/>
      <w:numFmt w:val="lowerRoman"/>
      <w:start w:val="1"/>
    </w:lvl>
  </w:abstractNum>
  <w:abstractNum w:abstractNumId="88">
    <w:nsid w:val="5D205E20"/>
    <w:multiLevelType w:val="hybridMultilevel"/>
    <w:lvl w:ilvl="0">
      <w:lvlJc w:val="left"/>
      <w:lvlText w:val="%1"/>
      <w:numFmt w:val="upperLetter"/>
      <w:start w:val="1"/>
    </w:lvl>
    <w:lvl w:ilvl="1">
      <w:lvlJc w:val="left"/>
      <w:lvlText w:val="(%2)"/>
      <w:numFmt w:val="lowerRoman"/>
      <w:start w:val="2"/>
    </w:lvl>
  </w:abstractNum>
  <w:abstractNum w:abstractNumId="89">
    <w:nsid w:val="11CCA8BA"/>
    <w:multiLevelType w:val="hybridMultilevel"/>
    <w:lvl w:ilvl="0">
      <w:lvlJc w:val="left"/>
      <w:lvlText w:val="%1."/>
      <w:numFmt w:val="upperLetter"/>
      <w:start w:val="22"/>
    </w:lvl>
    <w:lvl w:ilvl="1">
      <w:lvlJc w:val="left"/>
      <w:lvlText w:val="%2"/>
      <w:numFmt w:val="lowerRoman"/>
      <w:start w:val="1"/>
    </w:lvl>
  </w:abstractNum>
  <w:abstractNum w:abstractNumId="90">
    <w:nsid w:val="4D32AB86"/>
    <w:multiLevelType w:val="hybridMultilevel"/>
    <w:lvl w:ilvl="0">
      <w:lvlJc w:val="left"/>
      <w:lvlText w:val="(%1)"/>
      <w:numFmt w:val="lowerRoman"/>
      <w:start w:val="1"/>
    </w:lvl>
    <w:lvl w:ilvl="1">
      <w:lvlJc w:val="left"/>
      <w:lvlText w:val="(%2)"/>
      <w:numFmt w:val="upperLetter"/>
      <w:start w:val="1"/>
    </w:lvl>
  </w:abstractNum>
  <w:abstractNum w:abstractNumId="91">
    <w:nsid w:val="3F07ACC3"/>
    <w:multiLevelType w:val="hybridMultilevel"/>
    <w:lvl w:ilvl="0">
      <w:lvlJc w:val="left"/>
      <w:lvlText w:val="(%1)"/>
      <w:numFmt w:val="lowerRoman"/>
      <w:start w:val="1"/>
    </w:lvl>
  </w:abstractNum>
  <w:abstractNum w:abstractNumId="92">
    <w:nsid w:val="6B47F63E"/>
    <w:multiLevelType w:val="hybridMultilevel"/>
    <w:lvl w:ilvl="0">
      <w:lvlJc w:val="left"/>
      <w:lvlText w:val="%1."/>
      <w:numFmt w:val="upperLetter"/>
      <w:start w:val="24"/>
    </w:lvl>
  </w:abstractNum>
  <w:abstractNum w:abstractNumId="93">
    <w:nsid w:val="5CB44A05"/>
    <w:multiLevelType w:val="hybridMultilevel"/>
    <w:lvl w:ilvl="0">
      <w:lvlJc w:val="left"/>
      <w:lvlText w:val="%1."/>
      <w:numFmt w:val="decimal"/>
      <w:start w:val="1"/>
    </w:lvl>
  </w:abstractNum>
  <w:abstractNum w:abstractNumId="94">
    <w:nsid w:val="16CF80F1"/>
    <w:multiLevelType w:val="hybridMultilevel"/>
    <w:lvl w:ilvl="0">
      <w:lvlJc w:val="left"/>
      <w:lvlText w:val="(%1)"/>
      <w:numFmt w:val="lowerLetter"/>
      <w:start w:val="1"/>
    </w:lvl>
  </w:abstractNum>
  <w:abstractNum w:abstractNumId="95">
    <w:nsid w:val="1C695DEC"/>
    <w:multiLevelType w:val="hybridMultilevel"/>
    <w:lvl w:ilvl="0">
      <w:lvlJc w:val="left"/>
      <w:lvlText w:val="(%1)"/>
      <w:numFmt w:val="lowerLetter"/>
      <w:start w:val="2"/>
    </w:lvl>
  </w:abstractNum>
  <w:abstractNum w:abstractNumId="96">
    <w:nsid w:val="3FCFAED9"/>
    <w:multiLevelType w:val="hybridMultilevel"/>
    <w:lvl w:ilvl="0">
      <w:lvlJc w:val="left"/>
      <w:lvlText w:val="%1"/>
      <w:numFmt w:val="lowerLetter"/>
      <w:start w:val="1"/>
    </w:lvl>
    <w:lvl w:ilvl="1">
      <w:lvlJc w:val="left"/>
      <w:lvlText w:val="(%2)"/>
      <w:numFmt w:val="lowerLetter"/>
      <w:start w:val="35"/>
    </w:lvl>
  </w:abstractNum>
  <w:abstractNum w:abstractNumId="97">
    <w:nsid w:val="F856867"/>
    <w:multiLevelType w:val="hybridMultilevel"/>
    <w:lvl w:ilvl="0">
      <w:lvlJc w:val="left"/>
      <w:lvlText w:val="(%1)"/>
      <w:numFmt w:val="lowerLetter"/>
      <w:start w:val="3"/>
    </w:lvl>
    <w:lvl w:ilvl="1">
      <w:lvlJc w:val="left"/>
      <w:lvlText w:val="%2"/>
      <w:numFmt w:val="lowerLetter"/>
      <w:start w:val="1"/>
    </w:lvl>
  </w:abstractNum>
  <w:abstractNum w:abstractNumId="98">
    <w:nsid w:val="11B1CC33"/>
    <w:multiLevelType w:val="hybridMultilevel"/>
    <w:lvl w:ilvl="0">
      <w:lvlJc w:val="left"/>
      <w:lvlText w:val="%1."/>
      <w:numFmt w:val="decimal"/>
      <w:start w:val="3"/>
    </w:lvl>
  </w:abstractNum>
  <w:abstractNum w:abstractNumId="99">
    <w:nsid w:val="2E22FBB7"/>
    <w:multiLevelType w:val="hybridMultilevel"/>
    <w:lvl w:ilvl="0">
      <w:lvlJc w:val="left"/>
      <w:lvlText w:val="(%1)"/>
      <w:numFmt w:val="lowerLetter"/>
      <w:start w:val="1"/>
    </w:lvl>
  </w:abstractNum>
  <w:abstractNum w:abstractNumId="100">
    <w:nsid w:val="29934699"/>
    <w:multiLevelType w:val="hybridMultilevel"/>
    <w:lvl w:ilvl="0">
      <w:lvlJc w:val="left"/>
      <w:lvlText w:val="%1."/>
      <w:numFmt w:val="decimal"/>
      <w:start w:val="5"/>
    </w:lvl>
  </w:abstractNum>
  <w:abstractNum w:abstractNumId="101">
    <w:nsid w:val="77485850"/>
    <w:multiLevelType w:val="hybridMultilevel"/>
    <w:lvl w:ilvl="0">
      <w:lvlJc w:val="left"/>
      <w:lvlText w:val="(%1)"/>
      <w:numFmt w:val="lowerLetter"/>
      <w:start w:val="1"/>
    </w:lvl>
  </w:abstractNum>
  <w:abstractNum w:abstractNumId="102">
    <w:nsid w:val="744939A3"/>
    <w:multiLevelType w:val="hybridMultilevel"/>
    <w:lvl w:ilvl="0">
      <w:lvlJc w:val="left"/>
      <w:lvlText w:val="%1."/>
      <w:numFmt w:val="decimal"/>
      <w:start w:val="6"/>
    </w:lvl>
  </w:abstractNum>
  <w:abstractNum w:abstractNumId="103">
    <w:nsid w:val="4FA0D2E3"/>
    <w:multiLevelType w:val="hybridMultilevel"/>
    <w:lvl w:ilvl="0">
      <w:lvlJc w:val="left"/>
      <w:lvlText w:val="(%1)"/>
      <w:numFmt w:val="lowerLetter"/>
      <w:start w:val="1"/>
    </w:lvl>
  </w:abstractNum>
  <w:abstractNum w:abstractNumId="104">
    <w:nsid w:val="6B1D2C14"/>
    <w:multiLevelType w:val="hybridMultilevel"/>
    <w:lvl w:ilvl="0">
      <w:lvlJc w:val="left"/>
      <w:lvlText w:val="(%1)"/>
      <w:numFmt w:val="lowerLetter"/>
      <w:start w:val="3"/>
    </w:lvl>
  </w:abstractNum>
  <w:abstractNum w:abstractNumId="105">
    <w:nsid w:val="68B867D3"/>
    <w:multiLevelType w:val="hybridMultilevel"/>
    <w:lvl w:ilvl="0">
      <w:lvlJc w:val="left"/>
      <w:lvlText w:val="%1."/>
      <w:numFmt w:val="decimal"/>
      <w:start w:val="8"/>
    </w:lvl>
  </w:abstractNum>
  <w:abstractNum w:abstractNumId="106">
    <w:nsid w:val="3F7F5DD9"/>
    <w:multiLevelType w:val="hybridMultilevel"/>
    <w:lvl w:ilvl="0">
      <w:lvlJc w:val="left"/>
      <w:lvlText w:val="(%1)"/>
      <w:numFmt w:val="lowerLetter"/>
      <w:start w:val="1"/>
    </w:lvl>
  </w:abstractNum>
  <w:abstractNum w:abstractNumId="107">
    <w:nsid w:val="2AE05A34"/>
    <w:multiLevelType w:val="hybridMultilevel"/>
    <w:lvl w:ilvl="0">
      <w:lvlJc w:val="left"/>
      <w:lvlText w:val="(%1)"/>
      <w:numFmt w:val="lowerLetter"/>
      <w:start w:val="2"/>
    </w:lvl>
  </w:abstractNum>
  <w:abstractNum w:abstractNumId="108">
    <w:nsid w:val="32794FF7"/>
    <w:multiLevelType w:val="hybridMultilevel"/>
    <w:lvl w:ilvl="0">
      <w:lvlJc w:val="left"/>
      <w:lvlText w:val="%1."/>
      <w:numFmt w:val="decimal"/>
      <w:start w:val="12"/>
    </w:lvl>
  </w:abstractNum>
  <w:abstractNum w:abstractNumId="109">
    <w:nsid w:val="5454945E"/>
    <w:multiLevelType w:val="hybridMultilevel"/>
    <w:lvl w:ilvl="0">
      <w:lvlJc w:val="left"/>
      <w:lvlText w:val="%1"/>
      <w:numFmt w:val="upperLetter"/>
      <w:start w:val="1"/>
    </w:lvl>
    <w:lvl w:ilvl="1">
      <w:lvlJc w:val="left"/>
      <w:lvlText w:val="(%2)"/>
      <w:numFmt w:val="lowerLetter"/>
      <w:start w:val="1"/>
    </w:lvl>
  </w:abstractNum>
  <w:abstractNum w:abstractNumId="110">
    <w:nsid w:val="4DEFDFA0"/>
    <w:multiLevelType w:val="hybridMultilevel"/>
    <w:lvl w:ilvl="0">
      <w:lvlJc w:val="left"/>
      <w:lvlText w:val="(%1)"/>
      <w:numFmt w:val="lowerLetter"/>
      <w:start w:val="9"/>
    </w:lvl>
  </w:abstractNum>
  <w:abstractNum w:abstractNumId="111">
    <w:nsid w:val="2123D5F2"/>
    <w:multiLevelType w:val="hybridMultilevel"/>
    <w:lvl w:ilvl="0">
      <w:lvlJc w:val="left"/>
      <w:lvlText w:val="(%1)"/>
      <w:numFmt w:val="lowerLetter"/>
      <w:start w:val="24"/>
    </w:lvl>
  </w:abstractNum>
  <w:abstractNum w:abstractNumId="112">
    <w:nsid w:val="135B8110"/>
    <w:multiLevelType w:val="hybridMultilevel"/>
    <w:lvl w:ilvl="0">
      <w:lvlJc w:val="left"/>
      <w:lvlText w:val="%1."/>
      <w:numFmt w:val="decimal"/>
      <w:start w:val="13"/>
    </w:lvl>
  </w:abstractNum>
  <w:abstractNum w:abstractNumId="113">
    <w:nsid w:val="94927A8"/>
    <w:multiLevelType w:val="hybridMultilevel"/>
    <w:lvl w:ilvl="0">
      <w:lvlJc w:val="left"/>
      <w:lvlText w:val="(%1)"/>
      <w:numFmt w:val="lowerLetter"/>
      <w:start w:val="1"/>
    </w:lvl>
  </w:abstractNum>
  <w:abstractNum w:abstractNumId="114">
    <w:nsid w:val="DCDF8F6"/>
    <w:multiLevelType w:val="hybridMultilevel"/>
    <w:lvl w:ilvl="0">
      <w:lvlJc w:val="left"/>
      <w:lvlText w:val="%1."/>
      <w:numFmt w:val="decimal"/>
      <w:start w:val="14"/>
    </w:lvl>
  </w:abstractNum>
  <w:abstractNum w:abstractNumId="115">
    <w:nsid w:val="52D7B105"/>
    <w:multiLevelType w:val="hybridMultilevel"/>
    <w:lvl w:ilvl="0">
      <w:lvlJc w:val="left"/>
      <w:lvlText w:val="%1."/>
      <w:numFmt w:val="decimal"/>
      <w:start w:val="1"/>
    </w:lvl>
  </w:abstractNum>
  <w:abstractNum w:abstractNumId="116">
    <w:nsid w:val="2E8A6394"/>
    <w:multiLevelType w:val="hybridMultilevel"/>
    <w:lvl w:ilvl="0">
      <w:lvlJc w:val="left"/>
      <w:lvlText w:val="(%1)"/>
      <w:numFmt w:val="lowerLetter"/>
      <w:start w:val="1"/>
    </w:lvl>
  </w:abstractNum>
  <w:abstractNum w:abstractNumId="117">
    <w:nsid w:val="24E60401"/>
    <w:multiLevelType w:val="hybridMultilevel"/>
    <w:lvl w:ilvl="0">
      <w:lvlJc w:val="left"/>
      <w:lvlText w:val="(%1)"/>
      <w:numFmt w:val="lowerLetter"/>
      <w:start w:val="4"/>
    </w:lvl>
  </w:abstractNum>
  <w:abstractNum w:abstractNumId="118">
    <w:nsid w:val="2A6AD9BE"/>
    <w:multiLevelType w:val="hybridMultilevel"/>
    <w:lvl w:ilvl="0">
      <w:lvlJc w:val="left"/>
      <w:lvlText w:val="%1."/>
      <w:numFmt w:val="decimal"/>
      <w:start w:val="2"/>
    </w:lvl>
  </w:abstractNum>
  <w:abstractNum w:abstractNumId="119">
    <w:nsid w:val="BAAC1B4"/>
    <w:multiLevelType w:val="hybridMultilevel"/>
    <w:lvl w:ilvl="0">
      <w:lvlJc w:val="left"/>
      <w:lvlText w:val="(%1)"/>
      <w:numFmt w:val="lowerLetter"/>
      <w:start w:val="1"/>
    </w:lvl>
  </w:abstractNum>
  <w:abstractNum w:abstractNumId="120">
    <w:nsid w:val="36B2ACBC"/>
    <w:multiLevelType w:val="hybridMultilevel"/>
    <w:lvl w:ilvl="0">
      <w:lvlJc w:val="left"/>
      <w:lvlText w:val="(%1)"/>
      <w:numFmt w:val="lowerLetter"/>
      <w:start w:val="5"/>
    </w:lvl>
  </w:abstractNum>
  <w:abstractNum w:abstractNumId="121">
    <w:nsid w:val="779D8544"/>
    <w:multiLevelType w:val="hybridMultilevel"/>
    <w:lvl w:ilvl="0">
      <w:lvlJc w:val="left"/>
      <w:lvlText w:val="%1."/>
      <w:numFmt w:val="decimal"/>
      <w:start w:val="4"/>
    </w:lvl>
  </w:abstractNum>
  <w:abstractNum w:abstractNumId="122">
    <w:nsid w:val="4AB26E78"/>
    <w:multiLevelType w:val="hybridMultilevel"/>
    <w:lvl w:ilvl="0">
      <w:lvlJc w:val="left"/>
      <w:lvlText w:val="(%1)"/>
      <w:numFmt w:val="lowerLetter"/>
      <w:start w:val="1"/>
    </w:lvl>
  </w:abstractNum>
  <w:abstractNum w:abstractNumId="123">
    <w:nsid w:val="21FAA2FA"/>
    <w:multiLevelType w:val="hybridMultilevel"/>
    <w:lvl w:ilvl="0">
      <w:lvlJc w:val="left"/>
      <w:lvlText w:val="(%1)"/>
      <w:numFmt w:val="lowerLetter"/>
      <w:start w:val="4"/>
    </w:lvl>
  </w:abstractNum>
  <w:abstractNum w:abstractNumId="124">
    <w:nsid w:val="5451CF49"/>
    <w:multiLevelType w:val="hybridMultilevel"/>
    <w:lvl w:ilvl="0">
      <w:lvlJc w:val="left"/>
      <w:lvlText w:val="%1."/>
      <w:numFmt w:val="decimal"/>
      <w:start w:val="5"/>
    </w:lvl>
  </w:abstractNum>
  <w:abstractNum w:abstractNumId="125">
    <w:nsid w:val="6181EF69"/>
    <w:multiLevelType w:val="hybridMultilevel"/>
    <w:lvl w:ilvl="0">
      <w:lvlJc w:val="left"/>
      <w:lvlText w:val="(%1)"/>
      <w:numFmt w:val="lowerLetter"/>
      <w:start w:val="1"/>
    </w:lvl>
  </w:abstractNum>
  <w:abstractNum w:abstractNumId="126">
    <w:nsid w:val="3E6400E6"/>
    <w:multiLevelType w:val="hybridMultilevel"/>
    <w:lvl w:ilvl="0">
      <w:lvlJc w:val="left"/>
      <w:lvlText w:val="(%1)"/>
      <w:numFmt w:val="lowerLetter"/>
      <w:start w:val="4"/>
    </w:lvl>
  </w:abstractNum>
  <w:abstractNum w:abstractNumId="127">
    <w:nsid w:val="14217E23"/>
    <w:multiLevelType w:val="hybridMultilevel"/>
    <w:lvl w:ilvl="0">
      <w:lvlJc w:val="left"/>
      <w:lvlText w:val="%1."/>
      <w:numFmt w:val="decimal"/>
      <w:start w:val="6"/>
    </w:lvl>
  </w:abstractNum>
  <w:abstractNum w:abstractNumId="128">
    <w:nsid w:val="710757D0"/>
    <w:multiLevelType w:val="hybridMultilevel"/>
    <w:lvl w:ilvl="0">
      <w:lvlJc w:val="left"/>
      <w:lvlText w:val="(%1)"/>
      <w:numFmt w:val="lowerLetter"/>
      <w:start w:val="1"/>
    </w:lvl>
  </w:abstractNum>
  <w:abstractNum w:abstractNumId="129">
    <w:nsid w:val="5015CD1A"/>
    <w:multiLevelType w:val="hybridMultilevel"/>
    <w:lvl w:ilvl="0">
      <w:lvlJc w:val="left"/>
      <w:lvlText w:val="(%1)"/>
      <w:numFmt w:val="lowerLetter"/>
      <w:start w:val="3"/>
    </w:lvl>
  </w:abstractNum>
  <w:abstractNum w:abstractNumId="130">
    <w:nsid w:val="424479DA"/>
    <w:multiLevelType w:val="hybridMultilevel"/>
    <w:lvl w:ilvl="0">
      <w:lvlJc w:val="left"/>
      <w:lvlText w:val="%1."/>
      <w:numFmt w:val="decimal"/>
      <w:start w:val="7"/>
    </w:lvl>
  </w:abstractNum>
  <w:abstractNum w:abstractNumId="131">
    <w:nsid w:val="1A9A9E69"/>
    <w:multiLevelType w:val="hybridMultilevel"/>
    <w:lvl w:ilvl="0">
      <w:lvlJc w:val="left"/>
      <w:lvlText w:val="(%1)"/>
      <w:numFmt w:val="lowerLetter"/>
      <w:start w:val="1"/>
    </w:lvl>
  </w:abstractNum>
  <w:abstractNum w:abstractNumId="132">
    <w:nsid w:val="475E256A"/>
    <w:multiLevelType w:val="hybridMultilevel"/>
    <w:lvl w:ilvl="0">
      <w:lvlJc w:val="left"/>
      <w:lvlText w:val="%1."/>
      <w:numFmt w:val="decimal"/>
      <w:start w:val="8"/>
    </w:lvl>
  </w:abstractNum>
  <w:abstractNum w:abstractNumId="133">
    <w:nsid w:val="368DB37E"/>
    <w:multiLevelType w:val="hybridMultilevel"/>
    <w:lvl w:ilvl="0">
      <w:lvlJc w:val="left"/>
      <w:lvlText w:val="(%1)"/>
      <w:numFmt w:val="lowerLetter"/>
      <w:start w:val="1"/>
    </w:lvl>
  </w:abstractNum>
  <w:abstractNum w:abstractNumId="134">
    <w:nsid w:val="6A3B714C"/>
    <w:multiLevelType w:val="hybridMultilevel"/>
    <w:lvl w:ilvl="0">
      <w:lvlJc w:val="left"/>
      <w:lvlText w:val="(%1)"/>
      <w:numFmt w:val="lowerLetter"/>
      <w:start w:val="2"/>
    </w:lvl>
  </w:abstractNum>
  <w:abstractNum w:abstractNumId="135">
    <w:nsid w:val="327B517E"/>
    <w:multiLevelType w:val="hybridMultilevel"/>
    <w:lvl w:ilvl="0">
      <w:lvlJc w:val="left"/>
      <w:lvlText w:val="%1."/>
      <w:numFmt w:val="decimal"/>
      <w:start w:val="9"/>
    </w:lvl>
  </w:abstractNum>
  <w:abstractNum w:abstractNumId="136">
    <w:nsid w:val="1F461B51"/>
    <w:multiLevelType w:val="hybridMultilevel"/>
    <w:lvl w:ilvl="0">
      <w:lvlJc w:val="left"/>
      <w:lvlText w:val="(%1)"/>
      <w:numFmt w:val="lowerLetter"/>
      <w:start w:val="1"/>
    </w:lvl>
  </w:abstractNum>
  <w:abstractNum w:abstractNumId="137">
    <w:nsid w:val="29BACF25"/>
    <w:multiLevelType w:val="hybridMultilevel"/>
    <w:lvl w:ilvl="0">
      <w:lvlJc w:val="left"/>
      <w:lvlText w:val="(%1)"/>
      <w:numFmt w:val="lowerLetter"/>
      <w:start w:val="3"/>
    </w:lvl>
  </w:abstractNum>
  <w:abstractNum w:abstractNumId="138">
    <w:nsid w:val="5D5BABB3"/>
    <w:multiLevelType w:val="hybridMultilevel"/>
    <w:lvl w:ilvl="0">
      <w:lvlJc w:val="left"/>
      <w:lvlText w:val="%1."/>
      <w:numFmt w:val="decimal"/>
      <w:start w:val="1"/>
    </w:lvl>
  </w:abstractNum>
  <w:abstractNum w:abstractNumId="139">
    <w:nsid w:val="51BF6B48"/>
    <w:multiLevelType w:val="hybridMultilevel"/>
    <w:lvl w:ilvl="0">
      <w:lvlJc w:val="left"/>
      <w:lvlText w:val="(%1)"/>
      <w:numFmt w:val="lowerLetter"/>
      <w:start w:val="1"/>
    </w:lvl>
  </w:abstractNum>
  <w:abstractNum w:abstractNumId="140">
    <w:nsid w:val="7E0F6384"/>
    <w:multiLevelType w:val="hybridMultilevel"/>
    <w:lvl w:ilvl="0">
      <w:lvlJc w:val="left"/>
      <w:lvlText w:val="(%1)"/>
      <w:numFmt w:val="lowerLetter"/>
      <w:start w:val="2"/>
    </w:lvl>
    <w:lvl w:ilvl="1">
      <w:lvlJc w:val="left"/>
      <w:lvlText w:val="(%2)"/>
      <w:numFmt w:val="lowerLetter"/>
      <w:start w:val="35"/>
    </w:lvl>
  </w:abstractNum>
  <w:abstractNum w:abstractNumId="141">
    <w:nsid w:val="2B4B8B53"/>
    <w:multiLevelType w:val="hybridMultilevel"/>
    <w:lvl w:ilvl="0">
      <w:lvlJc w:val="left"/>
      <w:lvlText w:val="%1."/>
      <w:numFmt w:val="decimal"/>
      <w:start w:val="3"/>
    </w:lvl>
  </w:abstractNum>
  <w:abstractNum w:abstractNumId="142">
    <w:nsid w:val="72E3413A"/>
    <w:multiLevelType w:val="hybridMultilevel"/>
    <w:lvl w:ilvl="0">
      <w:lvlJc w:val="left"/>
      <w:lvlText w:val="(%1)"/>
      <w:numFmt w:val="lowerLetter"/>
      <w:start w:val="1"/>
    </w:lvl>
  </w:abstractNum>
  <w:abstractNum w:abstractNumId="143">
    <w:nsid w:val="116AE494"/>
    <w:multiLevelType w:val="hybridMultilevel"/>
    <w:lvl w:ilvl="0">
      <w:lvlJc w:val="left"/>
      <w:lvlText w:val="(%1)"/>
      <w:numFmt w:val="lowerLetter"/>
      <w:start w:val="2"/>
    </w:lvl>
  </w:abstractNum>
  <w:abstractNum w:abstractNumId="144">
    <w:nsid w:val="3494B2FB"/>
    <w:multiLevelType w:val="hybridMultilevel"/>
    <w:lvl w:ilvl="0">
      <w:lvlJc w:val="left"/>
      <w:lvlText w:val="%1."/>
      <w:numFmt w:val="decimal"/>
      <w:start w:val="5"/>
    </w:lvl>
  </w:abstractNum>
  <w:abstractNum w:abstractNumId="145">
    <w:nsid w:val="B13A31"/>
    <w:multiLevelType w:val="hybridMultilevel"/>
    <w:lvl w:ilvl="0">
      <w:lvlJc w:val="left"/>
      <w:lvlText w:val="(%1)"/>
      <w:numFmt w:val="lowerLetter"/>
      <w:start w:val="1"/>
    </w:lvl>
  </w:abstractNum>
  <w:abstractNum w:abstractNumId="146">
    <w:nsid w:val="64429599"/>
    <w:multiLevelType w:val="hybridMultilevel"/>
    <w:lvl w:ilvl="0">
      <w:lvlJc w:val="left"/>
      <w:lvlText w:val="%1."/>
      <w:numFmt w:val="decimal"/>
      <w:start w:val="6"/>
    </w:lvl>
  </w:abstractNum>
  <w:abstractNum w:abstractNumId="147">
    <w:nsid w:val="631F1690"/>
    <w:multiLevelType w:val="hybridMultilevel"/>
    <w:lvl w:ilvl="0">
      <w:lvlJc w:val="left"/>
      <w:lvlText w:val="(%1)"/>
      <w:numFmt w:val="lowerLetter"/>
      <w:start w:val="1"/>
    </w:lvl>
  </w:abstractNum>
  <w:abstractNum w:abstractNumId="148">
    <w:nsid w:val="25973E32"/>
    <w:multiLevelType w:val="hybridMultilevel"/>
    <w:lvl w:ilvl="0">
      <w:lvlJc w:val="left"/>
      <w:lvlText w:val="(%1)"/>
      <w:numFmt w:val="lowerLetter"/>
      <w:start w:val="2"/>
    </w:lvl>
  </w:abstractNum>
  <w:abstractNum w:abstractNumId="149">
    <w:nsid w:val="EAD6F57"/>
    <w:multiLevelType w:val="hybridMultilevel"/>
    <w:lvl w:ilvl="0">
      <w:lvlJc w:val="left"/>
      <w:lvlText w:val="%1."/>
      <w:numFmt w:val="decimal"/>
      <w:start w:val="8"/>
    </w:lvl>
  </w:abstractNum>
  <w:abstractNum w:abstractNumId="150">
    <w:nsid w:val="6EC9D844"/>
    <w:multiLevelType w:val="hybridMultilevel"/>
    <w:lvl w:ilvl="0">
      <w:lvlJc w:val="left"/>
      <w:lvlText w:val="%1."/>
      <w:numFmt w:val="decimal"/>
      <w:start w:val="10"/>
    </w:lvl>
  </w:abstractNum>
  <w:abstractNum w:abstractNumId="151">
    <w:nsid w:val="5C49EAEE"/>
    <w:multiLevelType w:val="hybridMultilevel"/>
    <w:lvl w:ilvl="0">
      <w:lvlJc w:val="left"/>
      <w:lvlText w:val="(%1)"/>
      <w:numFmt w:val="lowerLetter"/>
      <w:start w:val="1"/>
    </w:lvl>
  </w:abstractNum>
  <w:abstractNum w:abstractNumId="152">
    <w:nsid w:val="64AF49B"/>
    <w:multiLevelType w:val="hybridMultilevel"/>
    <w:lvl w:ilvl="0">
      <w:lvlJc w:val="left"/>
      <w:lvlText w:val="%1."/>
      <w:numFmt w:val="decimal"/>
      <w:start w:val="12"/>
    </w:lvl>
  </w:abstractNum>
  <w:abstractNum w:abstractNumId="153">
    <w:nsid w:val="397C46BC"/>
    <w:multiLevelType w:val="hybridMultilevel"/>
    <w:lvl w:ilvl="0">
      <w:lvlJc w:val="left"/>
      <w:lvlText w:val="%1"/>
      <w:numFmt w:val="upperLetter"/>
      <w:start w:val="1"/>
    </w:lvl>
    <w:lvl w:ilvl="1">
      <w:lvlJc w:val="left"/>
      <w:lvlText w:val="(%2)"/>
      <w:numFmt w:val="lowerLetter"/>
      <w:start w:val="1"/>
    </w:lvl>
  </w:abstractNum>
  <w:abstractNum w:abstractNumId="154">
    <w:nsid w:val="7E448DE9"/>
    <w:multiLevelType w:val="hybridMultilevel"/>
    <w:lvl w:ilvl="0">
      <w:lvlJc w:val="left"/>
      <w:lvlText w:val="(%1)"/>
      <w:numFmt w:val="lowerLetter"/>
      <w:start w:val="7"/>
    </w:lvl>
  </w:abstractNum>
  <w:abstractNum w:abstractNumId="155">
    <w:nsid w:val="5A9CC3E5"/>
    <w:multiLevelType w:val="hybridMultilevel"/>
    <w:lvl w:ilvl="0">
      <w:lvlJc w:val="left"/>
      <w:lvlText w:val="(%1)"/>
      <w:numFmt w:val="lowerLetter"/>
      <w:start w:val="20"/>
    </w:lvl>
  </w:abstractNum>
  <w:abstractNum w:abstractNumId="156">
    <w:nsid w:val="1AFE3625"/>
    <w:multiLevelType w:val="hybridMultilevel"/>
    <w:lvl w:ilvl="0">
      <w:lvlJc w:val="left"/>
      <w:lvlText w:val="%1."/>
      <w:numFmt w:val="decimal"/>
      <w:start w:val="13"/>
    </w:lvl>
  </w:abstractNum>
  <w:abstractNum w:abstractNumId="157">
    <w:nsid w:val="3CA88ECF"/>
    <w:multiLevelType w:val="hybridMultilevel"/>
    <w:lvl w:ilvl="0">
      <w:lvlJc w:val="left"/>
      <w:lvlText w:val="(%1)"/>
      <w:numFmt w:val="lowerLetter"/>
      <w:start w:val="1"/>
    </w:lvl>
  </w:abstractNum>
  <w:abstractNum w:abstractNumId="158">
    <w:nsid w:val="6EBE4208"/>
    <w:multiLevelType w:val="hybridMultilevel"/>
    <w:lvl w:ilvl="0">
      <w:lvlJc w:val="left"/>
      <w:lvlText w:val="(%1)"/>
      <w:numFmt w:val="lowerLetter"/>
      <w:start w:val="6"/>
    </w:lvl>
  </w:abstractNum>
  <w:abstractNum w:abstractNumId="159">
    <w:nsid w:val="C058DF5"/>
    <w:multiLevelType w:val="hybridMultilevel"/>
    <w:lvl w:ilvl="0">
      <w:lvlJc w:val="left"/>
      <w:lvlText w:val="%1."/>
      <w:numFmt w:val="decimal"/>
      <w:start w:val="14"/>
    </w:lvl>
  </w:abstractNum>
  <w:abstractNum w:abstractNumId="160">
    <w:nsid w:val="CBE5BE9"/>
    <w:multiLevelType w:val="hybridMultilevel"/>
    <w:lvl w:ilvl="0">
      <w:lvlJc w:val="left"/>
      <w:lvlText w:val="%1."/>
      <w:numFmt w:val="decimal"/>
      <w:start w:val="15"/>
    </w:lvl>
  </w:abstractNum>
  <w:abstractNum w:abstractNumId="161">
    <w:nsid w:val="3102BBE2"/>
    <w:multiLevelType w:val="hybridMultilevel"/>
    <w:lvl w:ilvl="0">
      <w:lvlJc w:val="left"/>
      <w:lvlText w:val="(%1)"/>
      <w:numFmt w:val="lowerLetter"/>
      <w:start w:val="1"/>
    </w:lvl>
  </w:abstractNum>
  <w:abstractNum w:abstractNumId="162">
    <w:nsid w:val="26A02C5E"/>
    <w:multiLevelType w:val="hybridMultilevel"/>
    <w:lvl w:ilvl="0">
      <w:lvlJc w:val="left"/>
      <w:lvlText w:val="(%1)"/>
      <w:numFmt w:val="lowerRoman"/>
      <w:start w:val="2"/>
    </w:lvl>
  </w:abstractNum>
  <w:abstractNum w:abstractNumId="163">
    <w:nsid w:val="541C8153"/>
    <w:multiLevelType w:val="hybridMultilevel"/>
    <w:lvl w:ilvl="0">
      <w:lvlJc w:val="left"/>
      <w:lvlText w:val="%1."/>
      <w:numFmt w:val="decimal"/>
      <w:start w:val="1"/>
    </w:lvl>
  </w:abstractNum>
  <w:abstractNum w:abstractNumId="164">
    <w:nsid w:val="67906F60"/>
    <w:multiLevelType w:val="hybridMultilevel"/>
    <w:lvl w:ilvl="0">
      <w:lvlJc w:val="left"/>
      <w:lvlText w:val="(%1)"/>
      <w:numFmt w:val="lowerLetter"/>
      <w:start w:val="1"/>
    </w:lvl>
  </w:abstractNum>
  <w:abstractNum w:abstractNumId="165">
    <w:nsid w:val="10DB9DAA"/>
    <w:multiLevelType w:val="hybridMultilevel"/>
    <w:lvl w:ilvl="0">
      <w:lvlJc w:val="left"/>
      <w:lvlText w:val="(%1)"/>
      <w:numFmt w:val="lowerLetter"/>
      <w:start w:val="5"/>
    </w:lvl>
  </w:abstractNum>
  <w:abstractNum w:abstractNumId="166">
    <w:nsid w:val="697D2D2"/>
    <w:multiLevelType w:val="hybridMultilevel"/>
    <w:lvl w:ilvl="0">
      <w:lvlJc w:val="left"/>
      <w:lvlText w:val="%1."/>
      <w:numFmt w:val="decimal"/>
      <w:start w:val="2"/>
    </w:lvl>
  </w:abstractNum>
  <w:abstractNum w:abstractNumId="167">
    <w:nsid w:val="6D68AB2"/>
    <w:multiLevelType w:val="hybridMultilevel"/>
    <w:lvl w:ilvl="0">
      <w:lvlJc w:val="left"/>
      <w:lvlText w:val="(%1)"/>
      <w:numFmt w:val="lowerLetter"/>
      <w:start w:val="1"/>
    </w:lvl>
  </w:abstractNum>
  <w:abstractNum w:abstractNumId="168">
    <w:nsid w:val="3A966CD0"/>
    <w:multiLevelType w:val="hybridMultilevel"/>
    <w:lvl w:ilvl="0">
      <w:lvlJc w:val="left"/>
      <w:lvlText w:val="(%1)"/>
      <w:numFmt w:val="lowerLetter"/>
      <w:start w:val="5"/>
    </w:lvl>
  </w:abstractNum>
  <w:abstractNum w:abstractNumId="169">
    <w:nsid w:val="63F37E85"/>
    <w:multiLevelType w:val="hybridMultilevel"/>
    <w:lvl w:ilvl="0">
      <w:lvlJc w:val="left"/>
      <w:lvlText w:val="%1."/>
      <w:numFmt w:val="decimal"/>
      <w:start w:val="4"/>
    </w:lvl>
  </w:abstractNum>
  <w:abstractNum w:abstractNumId="170">
    <w:nsid w:val="5895F5FA"/>
    <w:multiLevelType w:val="hybridMultilevel"/>
    <w:lvl w:ilvl="0">
      <w:lvlJc w:val="left"/>
      <w:lvlText w:val="(%1)"/>
      <w:numFmt w:val="lowerLetter"/>
      <w:start w:val="1"/>
    </w:lvl>
  </w:abstractNum>
  <w:abstractNum w:abstractNumId="171">
    <w:nsid w:val="38A5D054"/>
    <w:multiLevelType w:val="hybridMultilevel"/>
    <w:lvl w:ilvl="0">
      <w:lvlJc w:val="left"/>
      <w:lvlText w:val="(%1)"/>
      <w:numFmt w:val="lowerLetter"/>
      <w:start w:val="5"/>
    </w:lvl>
  </w:abstractNum>
  <w:abstractNum w:abstractNumId="172">
    <w:nsid w:val="F3F09D8"/>
    <w:multiLevelType w:val="hybridMultilevel"/>
    <w:lvl w:ilvl="0">
      <w:lvlJc w:val="left"/>
      <w:lvlText w:val="%1."/>
      <w:numFmt w:val="decimal"/>
      <w:start w:val="5"/>
    </w:lvl>
  </w:abstractNum>
  <w:abstractNum w:abstractNumId="173">
    <w:nsid w:val="4B793735"/>
    <w:multiLevelType w:val="hybridMultilevel"/>
    <w:lvl w:ilvl="0">
      <w:lvlJc w:val="left"/>
      <w:lvlText w:val="(%1)"/>
      <w:numFmt w:val="lowerLetter"/>
      <w:start w:val="1"/>
    </w:lvl>
  </w:abstractNum>
  <w:abstractNum w:abstractNumId="174">
    <w:nsid w:val="4A10B4E8"/>
    <w:multiLevelType w:val="hybridMultilevel"/>
    <w:lvl w:ilvl="0">
      <w:lvlJc w:val="left"/>
      <w:lvlText w:val="%1."/>
      <w:numFmt w:val="decimal"/>
      <w:start w:val="6"/>
    </w:lvl>
  </w:abstractNum>
  <w:abstractNum w:abstractNumId="175">
    <w:nsid w:val="43D3BCD4"/>
    <w:multiLevelType w:val="hybridMultilevel"/>
    <w:lvl w:ilvl="0">
      <w:lvlJc w:val="left"/>
      <w:lvlText w:val="(%1)"/>
      <w:numFmt w:val="lowerLetter"/>
      <w:start w:val="1"/>
    </w:lvl>
  </w:abstractNum>
  <w:abstractNum w:abstractNumId="176">
    <w:nsid w:val="4C2A7166"/>
    <w:multiLevelType w:val="hybridMultilevel"/>
    <w:lvl w:ilvl="0">
      <w:lvlJc w:val="left"/>
      <w:lvlText w:val="(%1)"/>
      <w:numFmt w:val="lowerLetter"/>
      <w:start w:val="3"/>
    </w:lvl>
  </w:abstractNum>
  <w:abstractNum w:abstractNumId="177">
    <w:nsid w:val="2E534A82"/>
    <w:multiLevelType w:val="hybridMultilevel"/>
    <w:lvl w:ilvl="0">
      <w:lvlJc w:val="left"/>
      <w:lvlText w:val="%1."/>
      <w:numFmt w:val="decimal"/>
      <w:start w:val="7"/>
    </w:lvl>
  </w:abstractNum>
  <w:abstractNum w:abstractNumId="178">
    <w:nsid w:val="26F2D364"/>
    <w:multiLevelType w:val="hybridMultilevel"/>
    <w:lvl w:ilvl="0">
      <w:lvlJc w:val="left"/>
      <w:lvlText w:val="(%1)"/>
      <w:numFmt w:val="lowerLetter"/>
      <w:start w:val="1"/>
    </w:lvl>
  </w:abstractNum>
  <w:abstractNum w:abstractNumId="179">
    <w:nsid w:val="71C1AF98"/>
    <w:multiLevelType w:val="hybridMultilevel"/>
    <w:lvl w:ilvl="0">
      <w:lvlJc w:val="left"/>
      <w:lvlText w:val="%1."/>
      <w:numFmt w:val="decimal"/>
      <w:start w:val="8"/>
    </w:lvl>
  </w:abstractNum>
  <w:abstractNum w:abstractNumId="180">
    <w:nsid w:val="3D00B9D9"/>
    <w:multiLevelType w:val="hybridMultilevel"/>
    <w:lvl w:ilvl="0">
      <w:lvlJc w:val="left"/>
      <w:lvlText w:val="(%1)"/>
      <w:numFmt w:val="lowerLetter"/>
      <w:start w:val="1"/>
    </w:lvl>
  </w:abstractNum>
  <w:abstractNum w:abstractNumId="181">
    <w:nsid w:val="15BCABA8"/>
    <w:multiLevelType w:val="hybridMultilevel"/>
    <w:lvl w:ilvl="0">
      <w:lvlJc w:val="left"/>
      <w:lvlText w:val="(%1)"/>
      <w:numFmt w:val="lowerLetter"/>
      <w:start w:val="2"/>
    </w:lvl>
  </w:abstractNum>
  <w:abstractNum w:abstractNumId="182">
    <w:nsid w:val="4E0B9A87"/>
    <w:multiLevelType w:val="hybridMultilevel"/>
    <w:lvl w:ilvl="0">
      <w:lvlJc w:val="left"/>
      <w:lvlText w:val="%1."/>
      <w:numFmt w:val="decimal"/>
      <w:start w:val="9"/>
    </w:lvl>
  </w:abstractNum>
  <w:abstractNum w:abstractNumId="183">
    <w:nsid w:val="434BAE75"/>
    <w:multiLevelType w:val="hybridMultilevel"/>
    <w:lvl w:ilvl="0">
      <w:lvlJc w:val="left"/>
      <w:lvlText w:val="(%1)"/>
      <w:numFmt w:val="lowerLetter"/>
      <w:start w:val="1"/>
    </w:lvl>
  </w:abstractNum>
  <w:abstractNum w:abstractNumId="184">
    <w:nsid w:val="4F38F265"/>
    <w:multiLevelType w:val="hybridMultilevel"/>
    <w:lvl w:ilvl="0">
      <w:lvlJc w:val="left"/>
      <w:lvlText w:val="(%1)"/>
      <w:numFmt w:val="lowerLetter"/>
      <w:start w:val="5"/>
    </w:lvl>
  </w:abstractNum>
  <w:abstractNum w:abstractNumId="185">
    <w:nsid w:val="4C502870"/>
    <w:multiLevelType w:val="hybridMultilevel"/>
    <w:lvl w:ilvl="0">
      <w:lvlJc w:val="left"/>
      <w:lvlText w:val="%1."/>
      <w:numFmt w:val="decimal"/>
      <w:start w:val="1"/>
    </w:lvl>
  </w:abstractNum>
  <w:abstractNum w:abstractNumId="186">
    <w:nsid w:val="1DE8725A"/>
    <w:multiLevelType w:val="hybridMultilevel"/>
    <w:lvl w:ilvl="0">
      <w:lvlJc w:val="left"/>
      <w:lvlText w:val="(%1)"/>
      <w:numFmt w:val="lowerLetter"/>
      <w:start w:val="1"/>
    </w:lvl>
  </w:abstractNum>
  <w:abstractNum w:abstractNumId="187">
    <w:nsid w:val="6A37288A"/>
    <w:multiLevelType w:val="hybridMultilevel"/>
    <w:lvl w:ilvl="0">
      <w:lvlJc w:val="left"/>
      <w:lvlText w:val="(%1)"/>
      <w:numFmt w:val="lowerLetter"/>
      <w:start w:val="2"/>
    </w:lvl>
    <w:lvl w:ilvl="1">
      <w:lvlJc w:val="left"/>
      <w:lvlText w:val="(%2)"/>
      <w:numFmt w:val="lowerLetter"/>
      <w:start w:val="35"/>
    </w:lvl>
  </w:abstractNum>
  <w:abstractNum w:abstractNumId="188">
    <w:nsid w:val="8F8B73F"/>
    <w:multiLevelType w:val="hybridMultilevel"/>
    <w:lvl w:ilvl="0">
      <w:lvlJc w:val="left"/>
      <w:lvlText w:val="%1."/>
      <w:numFmt w:val="decimal"/>
      <w:start w:val="3"/>
    </w:lvl>
  </w:abstractNum>
  <w:abstractNum w:abstractNumId="189">
    <w:nsid w:val="CA6B462"/>
    <w:multiLevelType w:val="hybridMultilevel"/>
    <w:lvl w:ilvl="0">
      <w:lvlJc w:val="left"/>
      <w:lvlText w:val="(%1)"/>
      <w:numFmt w:val="lowerLetter"/>
      <w:start w:val="1"/>
    </w:lvl>
  </w:abstractNum>
  <w:abstractNum w:abstractNumId="190">
    <w:nsid w:val="763CB680"/>
    <w:multiLevelType w:val="hybridMultilevel"/>
    <w:lvl w:ilvl="0">
      <w:lvlJc w:val="left"/>
      <w:lvlText w:val="%1."/>
      <w:numFmt w:val="decimal"/>
      <w:start w:val="5"/>
    </w:lvl>
  </w:abstractNum>
  <w:abstractNum w:abstractNumId="191">
    <w:nsid w:val="15B71329"/>
    <w:multiLevelType w:val="hybridMultilevel"/>
    <w:lvl w:ilvl="0">
      <w:lvlJc w:val="left"/>
      <w:lvlText w:val="(%1)"/>
      <w:numFmt w:val="lowerLetter"/>
      <w:start w:val="1"/>
    </w:lvl>
  </w:abstractNum>
  <w:abstractNum w:abstractNumId="192">
    <w:nsid w:val="3DA97044"/>
    <w:multiLevelType w:val="hybridMultilevel"/>
    <w:lvl w:ilvl="0">
      <w:lvlJc w:val="left"/>
      <w:lvlText w:val="(%1)"/>
      <w:numFmt w:val="lowerLetter"/>
      <w:start w:val="2"/>
    </w:lvl>
  </w:abstractNum>
  <w:abstractNum w:abstractNumId="193">
    <w:nsid w:val="1CDCE2DE"/>
    <w:multiLevelType w:val="hybridMultilevel"/>
    <w:lvl w:ilvl="0">
      <w:lvlJc w:val="left"/>
      <w:lvlText w:val="%1."/>
      <w:numFmt w:val="decimal"/>
      <w:start w:val="6"/>
    </w:lvl>
  </w:abstractNum>
  <w:abstractNum w:abstractNumId="194">
    <w:nsid w:val="69D3947C"/>
    <w:multiLevelType w:val="hybridMultilevel"/>
    <w:lvl w:ilvl="0">
      <w:lvlJc w:val="left"/>
      <w:lvlText w:val="(%1)"/>
      <w:numFmt w:val="lowerLetter"/>
      <w:start w:val="1"/>
    </w:lvl>
  </w:abstractNum>
  <w:abstractNum w:abstractNumId="195">
    <w:nsid w:val="2539DFA5"/>
    <w:multiLevelType w:val="hybridMultilevel"/>
    <w:lvl w:ilvl="0">
      <w:lvlJc w:val="left"/>
      <w:lvlText w:val="(%1)"/>
      <w:numFmt w:val="lowerLetter"/>
      <w:start w:val="3"/>
    </w:lvl>
  </w:abstractNum>
  <w:abstractNum w:abstractNumId="196">
    <w:nsid w:val="2DB88089"/>
    <w:multiLevelType w:val="hybridMultilevel"/>
    <w:lvl w:ilvl="0">
      <w:lvlJc w:val="left"/>
      <w:lvlText w:val="%1."/>
      <w:numFmt w:val="decimal"/>
      <w:start w:val="8"/>
    </w:lvl>
  </w:abstractNum>
  <w:abstractNum w:abstractNumId="197">
    <w:nsid w:val="706B674E"/>
    <w:multiLevelType w:val="hybridMultilevel"/>
    <w:lvl w:ilvl="0">
      <w:lvlJc w:val="left"/>
      <w:lvlText w:val="(%1)"/>
      <w:numFmt w:val="lowerLetter"/>
      <w:start w:val="1"/>
    </w:lvl>
  </w:abstractNum>
  <w:abstractNum w:abstractNumId="198">
    <w:nsid w:val="2C106A57"/>
    <w:multiLevelType w:val="hybridMultilevel"/>
    <w:lvl w:ilvl="0">
      <w:lvlJc w:val="left"/>
      <w:lvlText w:val="(%1)"/>
      <w:numFmt w:val="lowerLetter"/>
      <w:start w:val="2"/>
    </w:lvl>
  </w:abstractNum>
  <w:abstractNum w:abstractNumId="199">
    <w:nsid w:val="684EED59"/>
    <w:multiLevelType w:val="hybridMultilevel"/>
    <w:lvl w:ilvl="0">
      <w:lvlJc w:val="left"/>
      <w:lvlText w:val="%1."/>
      <w:numFmt w:val="decimal"/>
      <w:start w:val="12"/>
    </w:lvl>
  </w:abstractNum>
  <w:abstractNum w:abstractNumId="200">
    <w:nsid w:val="545EE5D3"/>
    <w:multiLevelType w:val="hybridMultilevel"/>
    <w:lvl w:ilvl="0">
      <w:lvlJc w:val="left"/>
      <w:lvlText w:val="%1"/>
      <w:numFmt w:val="upperLetter"/>
      <w:start w:val="1"/>
    </w:lvl>
    <w:lvl w:ilvl="1">
      <w:lvlJc w:val="left"/>
      <w:lvlText w:val="(%2)"/>
      <w:numFmt w:val="lowerLetter"/>
      <w:start w:val="1"/>
    </w:lvl>
  </w:abstractNum>
  <w:abstractNum w:abstractNumId="201">
    <w:nsid w:val="4A66051"/>
    <w:multiLevelType w:val="hybridMultilevel"/>
    <w:lvl w:ilvl="0">
      <w:lvlJc w:val="left"/>
      <w:lvlText w:val="(%1)"/>
      <w:numFmt w:val="lowerLetter"/>
      <w:start w:val="9"/>
    </w:lvl>
  </w:abstractNum>
  <w:abstractNum w:abstractNumId="202">
    <w:nsid w:val="20F4BDAD"/>
    <w:multiLevelType w:val="hybridMultilevel"/>
    <w:lvl w:ilvl="0">
      <w:lvlJc w:val="left"/>
      <w:lvlText w:val="(%1)"/>
      <w:numFmt w:val="lowerLetter"/>
      <w:start w:val="23"/>
    </w:lvl>
  </w:abstractNum>
  <w:abstractNum w:abstractNumId="203">
    <w:nsid w:val="639DEFAC"/>
    <w:multiLevelType w:val="hybridMultilevel"/>
    <w:lvl w:ilvl="0">
      <w:lvlJc w:val="left"/>
      <w:lvlText w:val="%1."/>
      <w:numFmt w:val="decimal"/>
      <w:start w:val="13"/>
    </w:lvl>
  </w:abstractNum>
  <w:abstractNum w:abstractNumId="204">
    <w:nsid w:val="501F9786"/>
    <w:multiLevelType w:val="hybridMultilevel"/>
    <w:lvl w:ilvl="0">
      <w:lvlJc w:val="left"/>
      <w:lvlText w:val="(%1)"/>
      <w:numFmt w:val="lowerLetter"/>
      <w:start w:val="1"/>
    </w:lvl>
  </w:abstractNum>
  <w:abstractNum w:abstractNumId="205">
    <w:nsid w:val="6B057295"/>
    <w:multiLevelType w:val="hybridMultilevel"/>
    <w:lvl w:ilvl="0">
      <w:lvlJc w:val="left"/>
      <w:lvlText w:val="(%1)"/>
      <w:numFmt w:val="lowerLetter"/>
      <w:start w:val="8"/>
    </w:lvl>
  </w:abstractNum>
  <w:abstractNum w:abstractNumId="206">
    <w:nsid w:val="2771AC80"/>
    <w:multiLevelType w:val="hybridMultilevel"/>
    <w:lvl w:ilvl="0">
      <w:lvlJc w:val="left"/>
      <w:lvlText w:val="%1."/>
      <w:numFmt w:val="decimal"/>
      <w:start w:val="14"/>
    </w:lvl>
  </w:abstractNum>
  <w:abstractNum w:abstractNumId="207">
    <w:nsid w:val="1C4A08EC"/>
    <w:multiLevelType w:val="hybridMultilevel"/>
    <w:lvl w:ilvl="0">
      <w:lvlJc w:val="left"/>
      <w:lvlText w:val="•"/>
      <w:numFmt w:val="bullet"/>
      <w:start w:val="1"/>
    </w:lvl>
  </w:abstractNum>
  <w:abstractNum w:abstractNumId="208">
    <w:nsid w:val="1958BD17"/>
    <w:multiLevelType w:val="hybridMultilevel"/>
    <w:lvl w:ilvl="0">
      <w:lvlJc w:val="left"/>
      <w:lvlText w:val="•"/>
      <w:numFmt w:val="bullet"/>
      <w:start w:val="1"/>
    </w:lvl>
  </w:abstractNum>
  <w:abstractNum w:abstractNumId="209">
    <w:nsid w:val="4E647FE4"/>
    <w:multiLevelType w:val="hybridMultilevel"/>
    <w:lvl w:ilvl="0">
      <w:lvlJc w:val="left"/>
      <w:lvlText w:val="%1."/>
      <w:numFmt w:val="decimal"/>
      <w:start w:val="1"/>
    </w:lvl>
    <w:lvl w:ilvl="1">
      <w:lvlJc w:val="left"/>
      <w:lvlText w:val="(%2)"/>
      <w:numFmt w:val="lowerLetter"/>
      <w:start w:val="1"/>
    </w:lvl>
  </w:abstractNum>
  <w:abstractNum w:abstractNumId="210">
    <w:nsid w:val="E0BB885"/>
    <w:multiLevelType w:val="hybridMultilevel"/>
    <w:lvl w:ilvl="0">
      <w:lvlJc w:val="left"/>
      <w:lvlText w:val="%1"/>
      <w:numFmt w:val="decimal"/>
      <w:start w:val="1"/>
    </w:lvl>
    <w:lvl w:ilvl="1">
      <w:lvlJc w:val="left"/>
      <w:lvlText w:val="(%2)"/>
      <w:numFmt w:val="lowerLetter"/>
      <w:start w:val="5"/>
    </w:lvl>
  </w:abstractNum>
  <w:abstractNum w:abstractNumId="211">
    <w:nsid w:val="565976F1"/>
    <w:multiLevelType w:val="hybridMultilevel"/>
    <w:lvl w:ilvl="0">
      <w:lvlJc w:val="left"/>
      <w:lvlText w:val="%1."/>
      <w:numFmt w:val="decimal"/>
      <w:start w:val="2"/>
    </w:lvl>
    <w:lvl w:ilvl="1">
      <w:lvlJc w:val="left"/>
      <w:lvlText w:val="(%2)"/>
      <w:numFmt w:val="lowerLetter"/>
      <w:start w:val="1"/>
    </w:lvl>
  </w:abstractNum>
  <w:abstractNum w:abstractNumId="212">
    <w:nsid w:val="64212B8C"/>
    <w:multiLevelType w:val="hybridMultilevel"/>
    <w:lvl w:ilvl="0">
      <w:lvlJc w:val="left"/>
      <w:lvlText w:val="%1"/>
      <w:numFmt w:val="decimal"/>
      <w:start w:val="1"/>
    </w:lvl>
    <w:lvl w:ilvl="1">
      <w:lvlJc w:val="left"/>
      <w:lvlText w:val="(%2)"/>
      <w:numFmt w:val="lowerLetter"/>
      <w:start w:val="5"/>
    </w:lvl>
  </w:abstractNum>
  <w:abstractNum w:abstractNumId="213">
    <w:nsid w:val="5C17530C"/>
    <w:multiLevelType w:val="hybridMultilevel"/>
    <w:lvl w:ilvl="0">
      <w:lvlJc w:val="left"/>
      <w:lvlText w:val="%1."/>
      <w:numFmt w:val="decimal"/>
      <w:start w:val="4"/>
    </w:lvl>
    <w:lvl w:ilvl="1">
      <w:lvlJc w:val="left"/>
      <w:lvlText w:val="(%2)"/>
      <w:numFmt w:val="lowerLetter"/>
      <w:start w:val="1"/>
    </w:lvl>
  </w:abstractNum>
  <w:abstractNum w:abstractNumId="214">
    <w:nsid w:val="19A52566"/>
    <w:multiLevelType w:val="hybridMultilevel"/>
    <w:lvl w:ilvl="0">
      <w:lvlJc w:val="left"/>
      <w:lvlText w:val="%1"/>
      <w:numFmt w:val="decimal"/>
      <w:start w:val="1"/>
    </w:lvl>
    <w:lvl w:ilvl="1">
      <w:lvlJc w:val="left"/>
      <w:lvlText w:val="(%2)"/>
      <w:numFmt w:val="lowerLetter"/>
      <w:start w:val="5"/>
    </w:lvl>
  </w:abstractNum>
  <w:abstractNum w:abstractNumId="215">
    <w:nsid w:val="335A1DF1"/>
    <w:multiLevelType w:val="hybridMultilevel"/>
    <w:lvl w:ilvl="0">
      <w:lvlJc w:val="left"/>
      <w:lvlText w:val="%1."/>
      <w:numFmt w:val="decimal"/>
      <w:start w:val="5"/>
    </w:lvl>
    <w:lvl w:ilvl="1">
      <w:lvlJc w:val="left"/>
      <w:lvlText w:val="(%2)"/>
      <w:numFmt w:val="lowerLetter"/>
      <w:start w:val="1"/>
    </w:lvl>
  </w:abstractNum>
  <w:abstractNum w:abstractNumId="216">
    <w:nsid w:val="28677B7C"/>
    <w:multiLevelType w:val="hybridMultilevel"/>
    <w:lvl w:ilvl="0">
      <w:lvlJc w:val="left"/>
      <w:lvlText w:val="%1."/>
      <w:numFmt w:val="decimal"/>
      <w:start w:val="6"/>
    </w:lvl>
    <w:lvl w:ilvl="1">
      <w:lvlJc w:val="left"/>
      <w:lvlText w:val="(%2)"/>
      <w:numFmt w:val="lowerLetter"/>
      <w:start w:val="1"/>
    </w:lvl>
  </w:abstractNum>
  <w:abstractNum w:abstractNumId="217">
    <w:nsid w:val="378D97C0"/>
    <w:multiLevelType w:val="hybridMultilevel"/>
    <w:lvl w:ilvl="0">
      <w:lvlJc w:val="left"/>
      <w:lvlText w:val="(%1)"/>
      <w:numFmt w:val="lowerLetter"/>
      <w:start w:val="3"/>
    </w:lvl>
  </w:abstractNum>
  <w:abstractNum w:abstractNumId="218">
    <w:nsid w:val="1D91467C"/>
    <w:multiLevelType w:val="hybridMultilevel"/>
    <w:lvl w:ilvl="0">
      <w:lvlJc w:val="left"/>
      <w:lvlText w:val="%1."/>
      <w:numFmt w:val="decimal"/>
      <w:start w:val="7"/>
    </w:lvl>
    <w:lvl w:ilvl="1">
      <w:lvlJc w:val="left"/>
      <w:lvlText w:val="(%2)"/>
      <w:numFmt w:val="lowerLetter"/>
      <w:start w:val="1"/>
    </w:lvl>
  </w:abstractNum>
  <w:abstractNum w:abstractNumId="219">
    <w:nsid w:val="316032BB"/>
    <w:multiLevelType w:val="hybridMultilevel"/>
    <w:lvl w:ilvl="0">
      <w:lvlJc w:val="left"/>
      <w:lvlText w:val="%1"/>
      <w:numFmt w:val="decimal"/>
      <w:start w:val="1"/>
    </w:lvl>
    <w:lvl w:ilvl="1">
      <w:lvlJc w:val="left"/>
      <w:lvlText w:val="(%2)"/>
      <w:numFmt w:val="lowerLetter"/>
      <w:start w:val="2"/>
    </w:lvl>
  </w:abstractNum>
  <w:abstractNum w:abstractNumId="220">
    <w:nsid w:val="44344C22"/>
    <w:multiLevelType w:val="hybridMultilevel"/>
    <w:lvl w:ilvl="0">
      <w:lvlJc w:val="left"/>
      <w:lvlText w:val="%1."/>
      <w:numFmt w:val="decimal"/>
      <w:start w:val="9"/>
    </w:lvl>
    <w:lvl w:ilvl="1">
      <w:lvlJc w:val="left"/>
      <w:lvlText w:val="(%2)"/>
      <w:numFmt w:val="lowerLetter"/>
      <w:start w:val="1"/>
    </w:lvl>
  </w:abstractNum>
  <w:abstractNum w:abstractNumId="221">
    <w:nsid w:val="13CDFCFC"/>
    <w:multiLevelType w:val="hybridMultilevel"/>
    <w:lvl w:ilvl="0">
      <w:lvlJc w:val="left"/>
      <w:lvlText w:val="(%1)"/>
      <w:numFmt w:val="lowerLetter"/>
      <w:start w:val="3"/>
    </w:lvl>
  </w:abstractNum>
  <w:abstractNum w:abstractNumId="222">
    <w:nsid w:val="471745E4"/>
    <w:multiLevelType w:val="hybridMultilevel"/>
    <w:lvl w:ilvl="0">
      <w:lvlJc w:val="left"/>
      <w:lvlText w:val="(%1)"/>
      <w:numFmt w:val="lowerRoman"/>
      <w:start w:val="2"/>
    </w:lvl>
  </w:abstractNum>
  <w:abstractNum w:abstractNumId="223">
    <w:nsid w:val="1DDBC66"/>
    <w:multiLevelType w:val="hybridMultilevel"/>
    <w:lvl w:ilvl="0">
      <w:lvlJc w:val="left"/>
      <w:lvlText w:val="%1."/>
      <w:numFmt w:val="decimal"/>
      <w:start w:val="1"/>
    </w:lvl>
    <w:lvl w:ilvl="1">
      <w:lvlJc w:val="left"/>
      <w:lvlText w:val="%2)"/>
      <w:numFmt w:val="lowerLetter"/>
      <w:start w:val="1"/>
    </w:lvl>
  </w:abstractNum>
  <w:abstractNum w:abstractNumId="224">
    <w:nsid w:val="30AADFDA"/>
    <w:multiLevelType w:val="hybridMultilevel"/>
    <w:lvl w:ilvl="0">
      <w:lvlJc w:val="left"/>
      <w:lvlText w:val="%1."/>
      <w:numFmt w:val="decimal"/>
      <w:start w:val="1"/>
    </w:lvl>
    <w:lvl w:ilvl="1">
      <w:lvlJc w:val="left"/>
      <w:lvlText w:val="%2)"/>
      <w:numFmt w:val="lowerLetter"/>
      <w:start w:val="1"/>
    </w:lvl>
  </w:abstractNum>
  <w:abstractNum w:abstractNumId="225">
    <w:nsid w:val="30EADA61"/>
    <w:multiLevelType w:val="hybridMultilevel"/>
    <w:lvl w:ilvl="0">
      <w:lvlJc w:val="left"/>
      <w:lvlText w:val="(%1)"/>
      <w:numFmt w:val="decimal"/>
      <w:start w:val="1"/>
    </w:lvl>
  </w:abstractNum>
  <w:abstractNum w:abstractNumId="226">
    <w:nsid w:val="27179C0B"/>
    <w:multiLevelType w:val="hybridMultilevel"/>
    <w:lvl w:ilvl="0">
      <w:lvlJc w:val="left"/>
      <w:lvlText w:val="(%1)"/>
      <w:numFmt w:val="decimal"/>
      <w:start w:val="1"/>
    </w:lvl>
  </w:abstractNum>
  <w:abstractNum w:abstractNumId="227">
    <w:nsid w:val="5E636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jpe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jpe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jpe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jpe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jpe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jpe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35" Type="http://schemas.openxmlformats.org/officeDocument/2006/relationships/hyperlink" Target="http://www.sec.gov/Archives/edgar/data/87347/000119312516532046/d176097dex31.htm" TargetMode="External"/><Relationship Id="rId38" Type="http://schemas.openxmlformats.org/officeDocument/2006/relationships/hyperlink" Target="http://www.sec.gov/Archives/edgar/data/87347/000119312519198989/d763655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2022-04-27T08:10:00Z</dcterms:created>
  <dcterms:modified xsi:type="dcterms:W3CDTF">2022-04-27T08:10:00Z</dcterms:modified>
</cp:coreProperties>
</file>