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8134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8134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Merad Abdellah</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5599 SAN FELIPE, 17TH FLOOR</w:t>
            </w: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77056</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3740" w:type="dxa"/>
            <w:vAlign w:val="bottom"/>
            <w:gridSpan w:val="3"/>
          </w:tcPr>
          <w:p>
            <w:pPr>
              <w:spacing w:after="0" w:line="213"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SCHLUMBERGER LIMITED/NV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SLB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900" w:type="dxa"/>
            <w:vAlign w:val="bottom"/>
            <w:tcBorders>
              <w:top w:val="single" w:sz="8" w:color="0000EE"/>
            </w:tcBorders>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ind w:left="160"/>
              <w:spacing w:after="0" w:line="148" w:lineRule="exact"/>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line="148"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5"/>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90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420" w:type="dxa"/>
            <w:vAlign w:val="bottom"/>
          </w:tcPr>
          <w:p>
            <w:pPr>
              <w:ind w:left="160"/>
              <w:spacing w:after="0" w:line="126" w:lineRule="exact"/>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line="126"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1"/>
                <w:szCs w:val="11"/>
                <w:color w:val="auto"/>
              </w:rPr>
            </w:pPr>
          </w:p>
        </w:tc>
        <w:tc>
          <w:tcPr>
            <w:tcW w:w="240" w:type="dxa"/>
            <w:vAlign w:val="bottom"/>
            <w:vMerge w:val="continue"/>
          </w:tcPr>
          <w:p>
            <w:pPr>
              <w:spacing w:after="0"/>
              <w:rPr>
                <w:sz w:val="11"/>
                <w:szCs w:val="11"/>
                <w:color w:val="auto"/>
              </w:rPr>
            </w:pPr>
          </w:p>
        </w:tc>
        <w:tc>
          <w:tcPr>
            <w:tcW w:w="1420" w:type="dxa"/>
            <w:vAlign w:val="bottom"/>
            <w:vMerge w:val="restart"/>
          </w:tcPr>
          <w:p>
            <w:pPr>
              <w:ind w:left="16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3"/>
        </w:trPr>
        <w:tc>
          <w:tcPr>
            <w:tcW w:w="31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01/20/2023</w:t>
            </w:r>
          </w:p>
        </w:tc>
        <w:tc>
          <w:tcPr>
            <w:tcW w:w="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6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EVP, Core Services &amp; Equipment</w:t>
            </w:r>
          </w:p>
        </w:tc>
        <w:tc>
          <w:tcPr>
            <w:tcW w:w="0" w:type="dxa"/>
            <w:vAlign w:val="bottom"/>
          </w:tcPr>
          <w:p>
            <w:pPr>
              <w:spacing w:after="0"/>
              <w:rPr>
                <w:sz w:val="1"/>
                <w:szCs w:val="1"/>
                <w:color w:val="auto"/>
              </w:rPr>
            </w:pPr>
          </w:p>
        </w:tc>
      </w:tr>
      <w:tr>
        <w:trPr>
          <w:trHeight w:val="234"/>
        </w:trPr>
        <w:tc>
          <w:tcPr>
            <w:tcW w:w="8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290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3100" w:type="dxa"/>
            <w:vAlign w:val="bottom"/>
            <w:tcBorders>
              <w:bottom w:val="single" w:sz="8" w:color="2C2C2C"/>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16"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20" w:type="dxa"/>
            <w:vAlign w:val="bottom"/>
            <w:gridSpan w:val="9"/>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20" w:type="dxa"/>
            <w:vAlign w:val="bottom"/>
            <w:gridSpan w:val="2"/>
          </w:tcPr>
          <w:p>
            <w:pPr>
              <w:jc w:val="center"/>
              <w:ind w:left="309"/>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60" w:type="dxa"/>
            <w:vAlign w:val="bottom"/>
            <w:tcBorders>
              <w:bottom w:val="single" w:sz="8" w:color="2C2C2C"/>
            </w:tcBorders>
            <w:gridSpan w:val="3"/>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w:t>
            </w:r>
          </w:p>
        </w:tc>
        <w:tc>
          <w:tcPr>
            <w:tcW w:w="1520" w:type="dxa"/>
            <w:vAlign w:val="bottom"/>
            <w:gridSpan w:val="2"/>
            <w:vMerge w:val="restart"/>
          </w:tcPr>
          <w:p>
            <w:pPr>
              <w:jc w:val="center"/>
              <w:ind w:left="309"/>
              <w:spacing w:after="0"/>
              <w:rPr>
                <w:sz w:val="20"/>
                <w:szCs w:val="20"/>
                <w:color w:val="auto"/>
              </w:rPr>
            </w:pPr>
            <w:r>
              <w:rPr>
                <w:rFonts w:ascii="Times New Roman" w:cs="Times New Roman" w:eastAsia="Times New Roman" w:hAnsi="Times New Roman"/>
                <w:sz w:val="17"/>
                <w:szCs w:val="17"/>
                <w:color w:val="0000FF"/>
              </w:rPr>
              <w:t>01/20/2023</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jc w:val="center"/>
              <w:ind w:right="318"/>
              <w:spacing w:after="0"/>
              <w:rPr>
                <w:sz w:val="20"/>
                <w:szCs w:val="20"/>
                <w:color w:val="auto"/>
              </w:rPr>
            </w:pPr>
            <w:r>
              <w:rPr>
                <w:rFonts w:ascii="Times New Roman" w:cs="Times New Roman" w:eastAsia="Times New Roman" w:hAnsi="Times New Roman"/>
                <w:sz w:val="13"/>
                <w:szCs w:val="13"/>
                <w:color w:val="0000FF"/>
              </w:rPr>
              <w:t>A</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121,575</w:t>
            </w:r>
            <w:r>
              <w:rPr>
                <w:rFonts w:ascii="Times New Roman" w:cs="Times New Roman" w:eastAsia="Times New Roman" w:hAnsi="Times New Roman"/>
                <w:sz w:val="22"/>
                <w:szCs w:val="22"/>
                <w:color w:val="008000"/>
                <w:w w:val="93"/>
                <w:vertAlign w:val="superscript"/>
              </w:rPr>
              <w:t>(1)</w:t>
            </w:r>
          </w:p>
        </w:tc>
        <w:tc>
          <w:tcPr>
            <w:tcW w:w="4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Pr>
          <w:p>
            <w:pPr>
              <w:spacing w:after="0"/>
              <w:rPr>
                <w:sz w:val="21"/>
                <w:szCs w:val="21"/>
                <w:color w:val="auto"/>
              </w:rPr>
            </w:pPr>
          </w:p>
        </w:tc>
        <w:tc>
          <w:tcPr>
            <w:tcW w:w="420" w:type="dxa"/>
            <w:vAlign w:val="bottom"/>
            <w:gridSpan w:val="2"/>
            <w:vMerge w:val="restart"/>
          </w:tcPr>
          <w:p>
            <w:pPr>
              <w:jc w:val="center"/>
              <w:ind w:left="79"/>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7"/>
                <w:szCs w:val="17"/>
                <w:color w:val="0000FF"/>
                <w:w w:val="97"/>
              </w:rPr>
              <w:t>263,322</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60" w:type="dxa"/>
            <w:vAlign w:val="bottom"/>
            <w:tcBorders>
              <w:bottom w:val="single" w:sz="8" w:color="2C2C2C"/>
            </w:tcBorders>
            <w:gridSpan w:val="3"/>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w:t>
            </w:r>
          </w:p>
        </w:tc>
        <w:tc>
          <w:tcPr>
            <w:tcW w:w="1520" w:type="dxa"/>
            <w:vAlign w:val="bottom"/>
            <w:gridSpan w:val="2"/>
            <w:vMerge w:val="restart"/>
          </w:tcPr>
          <w:p>
            <w:pPr>
              <w:jc w:val="center"/>
              <w:ind w:left="309"/>
              <w:spacing w:after="0"/>
              <w:rPr>
                <w:sz w:val="20"/>
                <w:szCs w:val="20"/>
                <w:color w:val="auto"/>
              </w:rPr>
            </w:pPr>
            <w:r>
              <w:rPr>
                <w:rFonts w:ascii="Times New Roman" w:cs="Times New Roman" w:eastAsia="Times New Roman" w:hAnsi="Times New Roman"/>
                <w:sz w:val="17"/>
                <w:szCs w:val="17"/>
                <w:color w:val="0000FF"/>
              </w:rPr>
              <w:t>01/20/2023</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jc w:val="center"/>
              <w:ind w:right="318"/>
              <w:spacing w:after="0"/>
              <w:rPr>
                <w:sz w:val="20"/>
                <w:szCs w:val="20"/>
                <w:color w:val="auto"/>
              </w:rPr>
            </w:pPr>
            <w:r>
              <w:rPr>
                <w:rFonts w:ascii="Times New Roman" w:cs="Times New Roman" w:eastAsia="Times New Roman" w:hAnsi="Times New Roman"/>
                <w:sz w:val="13"/>
                <w:szCs w:val="13"/>
                <w:color w:val="0000FF"/>
              </w:rPr>
              <w:t>A</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97,260</w:t>
            </w:r>
            <w:r>
              <w:rPr>
                <w:rFonts w:ascii="Times New Roman" w:cs="Times New Roman" w:eastAsia="Times New Roman" w:hAnsi="Times New Roman"/>
                <w:sz w:val="22"/>
                <w:szCs w:val="22"/>
                <w:color w:val="008000"/>
                <w:w w:val="93"/>
                <w:vertAlign w:val="superscript"/>
              </w:rPr>
              <w:t>(1)</w:t>
            </w:r>
          </w:p>
        </w:tc>
        <w:tc>
          <w:tcPr>
            <w:tcW w:w="4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Pr>
          <w:p>
            <w:pPr>
              <w:spacing w:after="0"/>
              <w:rPr>
                <w:sz w:val="21"/>
                <w:szCs w:val="21"/>
                <w:color w:val="auto"/>
              </w:rPr>
            </w:pPr>
          </w:p>
        </w:tc>
        <w:tc>
          <w:tcPr>
            <w:tcW w:w="420" w:type="dxa"/>
            <w:vAlign w:val="bottom"/>
            <w:gridSpan w:val="2"/>
            <w:vMerge w:val="restart"/>
          </w:tcPr>
          <w:p>
            <w:pPr>
              <w:jc w:val="center"/>
              <w:ind w:left="79"/>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7"/>
                <w:szCs w:val="17"/>
                <w:color w:val="0000FF"/>
                <w:w w:val="97"/>
              </w:rPr>
              <w:t>360,582</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60" w:type="dxa"/>
            <w:vAlign w:val="bottom"/>
            <w:tcBorders>
              <w:bottom w:val="single" w:sz="8" w:color="2C2C2C"/>
            </w:tcBorders>
            <w:gridSpan w:val="3"/>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w:t>
            </w:r>
          </w:p>
        </w:tc>
        <w:tc>
          <w:tcPr>
            <w:tcW w:w="1520" w:type="dxa"/>
            <w:vAlign w:val="bottom"/>
            <w:gridSpan w:val="2"/>
            <w:vMerge w:val="restart"/>
          </w:tcPr>
          <w:p>
            <w:pPr>
              <w:jc w:val="center"/>
              <w:ind w:left="309"/>
              <w:spacing w:after="0"/>
              <w:rPr>
                <w:sz w:val="20"/>
                <w:szCs w:val="20"/>
                <w:color w:val="auto"/>
              </w:rPr>
            </w:pPr>
            <w:r>
              <w:rPr>
                <w:rFonts w:ascii="Times New Roman" w:cs="Times New Roman" w:eastAsia="Times New Roman" w:hAnsi="Times New Roman"/>
                <w:sz w:val="17"/>
                <w:szCs w:val="17"/>
                <w:color w:val="0000FF"/>
              </w:rPr>
              <w:t>01/20/2023</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jc w:val="center"/>
              <w:ind w:right="298"/>
              <w:spacing w:after="0"/>
              <w:rPr>
                <w:sz w:val="20"/>
                <w:szCs w:val="20"/>
                <w:color w:val="auto"/>
              </w:rPr>
            </w:pPr>
            <w:r>
              <w:rPr>
                <w:rFonts w:ascii="Times New Roman" w:cs="Times New Roman" w:eastAsia="Times New Roman" w:hAnsi="Times New Roman"/>
                <w:sz w:val="13"/>
                <w:szCs w:val="13"/>
                <w:color w:val="0000FF"/>
              </w:rPr>
              <w:t>F</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86,225</w:t>
            </w:r>
          </w:p>
        </w:tc>
        <w:tc>
          <w:tcPr>
            <w:tcW w:w="4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Pr>
          <w:p>
            <w:pPr>
              <w:spacing w:after="0"/>
              <w:rPr>
                <w:sz w:val="21"/>
                <w:szCs w:val="21"/>
                <w:color w:val="auto"/>
              </w:rPr>
            </w:pPr>
          </w:p>
        </w:tc>
        <w:tc>
          <w:tcPr>
            <w:tcW w:w="620" w:type="dxa"/>
            <w:vAlign w:val="bottom"/>
            <w:gridSpan w:val="3"/>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57.61</w:t>
            </w:r>
          </w:p>
        </w:tc>
        <w:tc>
          <w:tcPr>
            <w:tcW w:w="280" w:type="dxa"/>
            <w:vAlign w:val="bottom"/>
          </w:tcPr>
          <w:p>
            <w:pPr>
              <w:spacing w:after="0"/>
              <w:rPr>
                <w:sz w:val="21"/>
                <w:szCs w:val="21"/>
                <w:color w:val="auto"/>
              </w:rPr>
            </w:pPr>
          </w:p>
        </w:tc>
        <w:tc>
          <w:tcPr>
            <w:tcW w:w="9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7"/>
                <w:szCs w:val="17"/>
                <w:color w:val="0000FF"/>
                <w:w w:val="97"/>
              </w:rPr>
              <w:t>274,357</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60" w:type="dxa"/>
            <w:vAlign w:val="bottom"/>
            <w:tcBorders>
              <w:bottom w:val="single" w:sz="8" w:color="2C2C2C"/>
            </w:tcBorders>
            <w:gridSpan w:val="3"/>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w:t>
            </w:r>
          </w:p>
        </w:tc>
        <w:tc>
          <w:tcPr>
            <w:tcW w:w="1520" w:type="dxa"/>
            <w:vAlign w:val="bottom"/>
            <w:gridSpan w:val="2"/>
            <w:vMerge w:val="restart"/>
          </w:tcPr>
          <w:p>
            <w:pPr>
              <w:jc w:val="center"/>
              <w:ind w:left="309"/>
              <w:spacing w:after="0"/>
              <w:rPr>
                <w:sz w:val="20"/>
                <w:szCs w:val="20"/>
                <w:color w:val="auto"/>
              </w:rPr>
            </w:pPr>
            <w:r>
              <w:rPr>
                <w:rFonts w:ascii="Times New Roman" w:cs="Times New Roman" w:eastAsia="Times New Roman" w:hAnsi="Times New Roman"/>
                <w:sz w:val="17"/>
                <w:szCs w:val="17"/>
                <w:color w:val="0000FF"/>
              </w:rPr>
              <w:t>01/23/2023</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jc w:val="center"/>
              <w:ind w:right="298"/>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70,000</w:t>
            </w:r>
          </w:p>
        </w:tc>
        <w:tc>
          <w:tcPr>
            <w:tcW w:w="4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Pr>
          <w:p>
            <w:pPr>
              <w:spacing w:after="0"/>
              <w:rPr>
                <w:sz w:val="21"/>
                <w:szCs w:val="21"/>
                <w:color w:val="auto"/>
              </w:rPr>
            </w:pPr>
          </w:p>
        </w:tc>
        <w:tc>
          <w:tcPr>
            <w:tcW w:w="620" w:type="dxa"/>
            <w:vAlign w:val="bottom"/>
            <w:gridSpan w:val="3"/>
            <w:vMerge w:val="restart"/>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57.2</w:t>
            </w:r>
            <w:r>
              <w:rPr>
                <w:rFonts w:ascii="Times New Roman" w:cs="Times New Roman" w:eastAsia="Times New Roman" w:hAnsi="Times New Roman"/>
                <w:sz w:val="22"/>
                <w:szCs w:val="22"/>
                <w:color w:val="008000"/>
                <w:w w:val="92"/>
                <w:vertAlign w:val="superscript"/>
              </w:rPr>
              <w:t>(2)</w:t>
            </w:r>
          </w:p>
        </w:tc>
        <w:tc>
          <w:tcPr>
            <w:tcW w:w="280" w:type="dxa"/>
            <w:vAlign w:val="bottom"/>
          </w:tcPr>
          <w:p>
            <w:pPr>
              <w:spacing w:after="0"/>
              <w:rPr>
                <w:sz w:val="21"/>
                <w:szCs w:val="21"/>
                <w:color w:val="auto"/>
              </w:rPr>
            </w:pPr>
          </w:p>
        </w:tc>
        <w:tc>
          <w:tcPr>
            <w:tcW w:w="9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7"/>
                <w:szCs w:val="17"/>
                <w:color w:val="0000FF"/>
                <w:w w:val="97"/>
              </w:rPr>
              <w:t>204,357</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260" w:type="dxa"/>
            <w:vAlign w:val="bottom"/>
            <w:gridSpan w:val="10"/>
          </w:tcPr>
          <w:p>
            <w:pPr>
              <w:jc w:val="center"/>
              <w:ind w:left="40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jc w:val="center"/>
              <w:ind w:right="318"/>
              <w:spacing w:after="0" w:line="133" w:lineRule="exact"/>
              <w:rPr>
                <w:sz w:val="20"/>
                <w:szCs w:val="20"/>
                <w:color w:val="auto"/>
              </w:rPr>
            </w:pPr>
            <w:r>
              <w:rPr>
                <w:rFonts w:ascii="Arial" w:cs="Arial" w:eastAsia="Arial" w:hAnsi="Arial"/>
                <w:sz w:val="12"/>
                <w:szCs w:val="12"/>
                <w:b w:val="1"/>
                <w:bCs w:val="1"/>
                <w:color w:val="auto"/>
                <w:w w:val="99"/>
              </w:rPr>
              <w:t>Date</w:t>
            </w: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of common stock issued to the reporting person on January 20, 2023 upon achievement of the performance criteria and vesting of performance share units granted on January 15, 2020.</w:t>
      </w:r>
    </w:p>
    <w:p>
      <w:pPr>
        <w:spacing w:after="0" w:line="50" w:lineRule="exact"/>
        <w:rPr>
          <w:rFonts w:ascii="Times New Roman" w:cs="Times New Roman" w:eastAsia="Times New Roman" w:hAnsi="Times New Roman"/>
          <w:sz w:val="13"/>
          <w:szCs w:val="13"/>
          <w:color w:val="008000"/>
        </w:rPr>
      </w:pPr>
    </w:p>
    <w:p>
      <w:pPr>
        <w:ind w:left="40" w:right="320" w:firstLine="7"/>
        <w:spacing w:after="0" w:line="256"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$57.00 to $57.61. The price reported above reflects the weighted average sale price. The reporting person hereby undertakes to provide upon request to the SEC staff, the issuer or security holder of the issuer full information regarding the number of shares and prices at which the transaction was effected.</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Samantha Blons, Attorney- </w:t>
      </w:r>
      <w:r>
        <w:rPr>
          <w:rFonts w:ascii="Times New Roman" w:cs="Times New Roman" w:eastAsia="Times New Roman" w:hAnsi="Times New Roman"/>
          <w:sz w:val="33"/>
          <w:szCs w:val="33"/>
          <w:color w:val="0000FF"/>
          <w:vertAlign w:val="subscript"/>
        </w:rPr>
        <w:t>01/24/2023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22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92116" TargetMode="External"/><Relationship Id="rId13"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2023-01-24T16:15:16Z</dcterms:created>
  <dcterms:modified xsi:type="dcterms:W3CDTF">2023-01-24T16:15:16Z</dcterms:modified>
</cp:coreProperties>
</file>