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333-231029</w:t>
      </w:r>
    </w:p>
    <w:p>
      <w:pPr>
        <w:spacing w:after="0" w:line="141" w:lineRule="exact"/>
        <w:rPr>
          <w:sz w:val="24"/>
          <w:szCs w:val="24"/>
          <w:color w:val="auto"/>
        </w:rPr>
      </w:pPr>
    </w:p>
    <w:p>
      <w:pPr>
        <w:ind w:left="120" w:right="240"/>
        <w:spacing w:after="0" w:line="249"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spacing w:after="0" w:line="116"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DE1A1E"/>
        </w:rPr>
        <w:t>SUBJECT TO COMPLETION, DATED JUNE 17, 2020</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109855</wp:posOffset>
            </wp:positionV>
            <wp:extent cx="144843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8435" cy="27432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19"/>
        <w:spacing w:after="0"/>
        <w:rPr>
          <w:sz w:val="20"/>
          <w:szCs w:val="20"/>
          <w:color w:val="auto"/>
        </w:rPr>
      </w:pPr>
      <w:r>
        <w:rPr>
          <w:rFonts w:ascii="Arial" w:cs="Arial" w:eastAsia="Arial" w:hAnsi="Arial"/>
          <w:sz w:val="65"/>
          <w:szCs w:val="65"/>
          <w:b w:val="1"/>
          <w:bCs w:val="1"/>
          <w:color w:val="auto"/>
        </w:rPr>
        <w:t>Schlumberger Investment SA</w:t>
      </w:r>
    </w:p>
    <w:p>
      <w:pPr>
        <w:spacing w:after="0" w:line="98" w:lineRule="exact"/>
        <w:rPr>
          <w:sz w:val="24"/>
          <w:szCs w:val="24"/>
          <w:color w:val="auto"/>
        </w:rPr>
      </w:pPr>
    </w:p>
    <w:p>
      <w:pPr>
        <w:ind w:left="2800" w:right="2700" w:firstLine="358"/>
        <w:spacing w:after="0" w:line="268" w:lineRule="auto"/>
        <w:tabs>
          <w:tab w:leader="none" w:pos="4610" w:val="left"/>
        </w:tabs>
        <w:numPr>
          <w:ilvl w:val="0"/>
          <w:numId w:val="1"/>
        </w:numPr>
        <w:rPr>
          <w:rFonts w:ascii="Arial" w:cs="Arial" w:eastAsia="Arial" w:hAnsi="Arial"/>
          <w:sz w:val="29"/>
          <w:szCs w:val="29"/>
          <w:b w:val="1"/>
          <w:bCs w:val="1"/>
          <w:color w:val="auto"/>
        </w:rPr>
      </w:pPr>
      <w:r>
        <w:rPr>
          <w:rFonts w:ascii="Arial" w:cs="Arial" w:eastAsia="Arial" w:hAnsi="Arial"/>
          <w:sz w:val="29"/>
          <w:szCs w:val="29"/>
          <w:b w:val="1"/>
          <w:bCs w:val="1"/>
          <w:color w:val="auto"/>
        </w:rPr>
        <w:t>% Senior Notes due 2030 Fully and unconditionally guaranteed by</w:t>
      </w:r>
    </w:p>
    <w:p>
      <w:pPr>
        <w:spacing w:after="0" w:line="1" w:lineRule="exact"/>
        <w:rPr>
          <w:rFonts w:ascii="Arial" w:cs="Arial" w:eastAsia="Arial" w:hAnsi="Arial"/>
          <w:sz w:val="29"/>
          <w:szCs w:val="29"/>
          <w:b w:val="1"/>
          <w:bCs w:val="1"/>
          <w:color w:val="auto"/>
        </w:rPr>
      </w:pPr>
    </w:p>
    <w:p>
      <w:pPr>
        <w:ind w:left="4060"/>
        <w:spacing w:after="0"/>
        <w:rPr>
          <w:rFonts w:ascii="Arial" w:cs="Arial" w:eastAsia="Arial" w:hAnsi="Arial"/>
          <w:sz w:val="29"/>
          <w:szCs w:val="29"/>
          <w:b w:val="1"/>
          <w:bCs w:val="1"/>
          <w:color w:val="auto"/>
        </w:rPr>
      </w:pPr>
      <w:r>
        <w:rPr>
          <w:rFonts w:ascii="Arial" w:cs="Arial" w:eastAsia="Arial" w:hAnsi="Arial"/>
          <w:sz w:val="32"/>
          <w:szCs w:val="32"/>
          <w:b w:val="1"/>
          <w:bCs w:val="1"/>
          <w:color w:val="auto"/>
        </w:rPr>
        <w:t>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95250</wp:posOffset>
            </wp:positionV>
            <wp:extent cx="11144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50"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Schlumberger Investment SA (the “Company”) is offering U.S.$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principal amount of its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 Senior Notes due 2030 (the “Notes”).</w:t>
      </w:r>
    </w:p>
    <w:p>
      <w:pPr>
        <w:spacing w:after="0" w:line="100" w:lineRule="exact"/>
        <w:rPr>
          <w:sz w:val="24"/>
          <w:szCs w:val="24"/>
          <w:color w:val="auto"/>
        </w:rPr>
      </w:pPr>
    </w:p>
    <w:p>
      <w:pPr>
        <w:sectPr>
          <w:pgSz w:w="11900" w:h="16838" w:orient="portrait"/>
          <w:cols w:equalWidth="0" w:num="3">
            <w:col w:w="5120" w:space="720"/>
            <w:col w:w="1600" w:space="220"/>
            <w:col w:w="3480"/>
          </w:cols>
          <w:pgMar w:left="320" w:top="230" w:right="439" w:bottom="1440" w:gutter="0" w:footer="0" w:header="0"/>
          <w:type w:val="continuous"/>
        </w:sectPr>
      </w:pPr>
    </w:p>
    <w:p>
      <w:pPr>
        <w:ind w:left="560"/>
        <w:spacing w:after="0"/>
        <w:rPr>
          <w:sz w:val="20"/>
          <w:szCs w:val="20"/>
          <w:color w:val="auto"/>
        </w:rPr>
      </w:pPr>
      <w:r>
        <w:rPr>
          <w:rFonts w:ascii="Arial" w:cs="Arial" w:eastAsia="Arial" w:hAnsi="Arial"/>
          <w:sz w:val="15"/>
          <w:szCs w:val="15"/>
          <w:color w:val="auto"/>
        </w:rPr>
        <w:t>The Notes will bear interest at a rate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 per year. We will pay interest on the Notes semi-annually 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of each year,</w:t>
      </w:r>
    </w:p>
    <w:p>
      <w:pPr>
        <w:spacing w:after="0" w:line="50" w:lineRule="exact"/>
        <w:rPr>
          <w:sz w:val="24"/>
          <w:szCs w:val="24"/>
          <w:color w:val="auto"/>
        </w:rPr>
      </w:pPr>
    </w:p>
    <w:p>
      <w:pPr>
        <w:sectPr>
          <w:pgSz w:w="11900" w:h="16838" w:orient="portrait"/>
          <w:cols w:equalWidth="0" w:num="4">
            <w:col w:w="3300" w:space="220"/>
            <w:col w:w="4500" w:space="720"/>
            <w:col w:w="240" w:space="720"/>
            <w:col w:w="1440"/>
          </w:cols>
          <w:pgMar w:left="320" w:top="230" w:right="439" w:bottom="1440" w:gutter="0" w:footer="0" w:header="0"/>
          <w:type w:val="continuous"/>
        </w:sectPr>
      </w:pPr>
    </w:p>
    <w:p>
      <w:pPr>
        <w:ind w:left="120"/>
        <w:spacing w:after="0"/>
        <w:tabs>
          <w:tab w:leader="none" w:pos="1760" w:val="left"/>
        </w:tabs>
        <w:rPr>
          <w:sz w:val="20"/>
          <w:szCs w:val="20"/>
          <w:color w:val="auto"/>
        </w:rPr>
      </w:pPr>
      <w:r>
        <w:rPr>
          <w:rFonts w:ascii="Arial" w:cs="Arial" w:eastAsia="Arial" w:hAnsi="Arial"/>
          <w:sz w:val="18"/>
          <w:szCs w:val="18"/>
          <w:color w:val="auto"/>
        </w:rPr>
        <w:t>beginning on</w:t>
      </w:r>
      <w:r>
        <w:rPr>
          <w:sz w:val="20"/>
          <w:szCs w:val="20"/>
          <w:color w:val="auto"/>
        </w:rPr>
        <w:tab/>
      </w:r>
      <w:r>
        <w:rPr>
          <w:rFonts w:ascii="Arial" w:cs="Arial" w:eastAsia="Arial" w:hAnsi="Arial"/>
          <w:sz w:val="15"/>
          <w:szCs w:val="15"/>
          <w:color w:val="auto"/>
        </w:rPr>
        <w:t>, 2020.</w:t>
      </w:r>
    </w:p>
    <w:p>
      <w:pPr>
        <w:sectPr>
          <w:pgSz w:w="11900" w:h="16838" w:orient="portrait"/>
          <w:cols w:equalWidth="0" w:num="1">
            <w:col w:w="11140"/>
          </w:cols>
          <w:pgMar w:left="320" w:top="230" w:right="439" w:bottom="1440" w:gutter="0" w:footer="0" w:header="0"/>
          <w:type w:val="continuous"/>
        </w:sectPr>
      </w:pPr>
    </w:p>
    <w:p>
      <w:pPr>
        <w:spacing w:after="0" w:line="70" w:lineRule="exact"/>
        <w:rPr>
          <w:sz w:val="24"/>
          <w:szCs w:val="24"/>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Notes will be fully and unconditionally guaranteed (the “guarantee”) on a senior unsecured basis by Schlumberger Limited (the “Guarantor”), the ultimate parent company of the Company. The guarantee will be the unsecured and unsubordinated obligation of the Guarantor and will rank equally with the Guarantor’s other unsecured and unsubordinated indebtedness from time to time outstanding.</w:t>
      </w:r>
    </w:p>
    <w:p>
      <w:pPr>
        <w:spacing w:after="0" w:line="45" w:lineRule="exact"/>
        <w:rPr>
          <w:sz w:val="24"/>
          <w:szCs w:val="24"/>
          <w:color w:val="auto"/>
        </w:rPr>
      </w:pPr>
    </w:p>
    <w:p>
      <w:pPr>
        <w:ind w:left="120" w:right="820" w:firstLine="440"/>
        <w:spacing w:after="0" w:line="268" w:lineRule="auto"/>
        <w:rPr>
          <w:sz w:val="20"/>
          <w:szCs w:val="20"/>
          <w:color w:val="auto"/>
        </w:rPr>
      </w:pPr>
      <w:r>
        <w:rPr>
          <w:rFonts w:ascii="Arial" w:cs="Arial" w:eastAsia="Arial" w:hAnsi="Arial"/>
          <w:sz w:val="18"/>
          <w:szCs w:val="18"/>
          <w:color w:val="auto"/>
        </w:rPr>
        <w:t>The Company may redeem some or all of the Notes at any time and from time to time at the redemption prices described in this prospectus supplement, plus accrued and unpaid interest to the redemption date.</w:t>
      </w:r>
    </w:p>
    <w:p>
      <w:pPr>
        <w:spacing w:after="0" w:line="37" w:lineRule="exact"/>
        <w:rPr>
          <w:sz w:val="24"/>
          <w:szCs w:val="24"/>
          <w:color w:val="auto"/>
        </w:rPr>
      </w:pPr>
    </w:p>
    <w:p>
      <w:pPr>
        <w:ind w:left="120" w:right="220" w:firstLine="440"/>
        <w:spacing w:after="0" w:line="268" w:lineRule="auto"/>
        <w:rPr>
          <w:sz w:val="20"/>
          <w:szCs w:val="20"/>
          <w:color w:val="auto"/>
        </w:rPr>
      </w:pPr>
      <w:r>
        <w:rPr>
          <w:rFonts w:ascii="Arial" w:cs="Arial" w:eastAsia="Arial" w:hAnsi="Arial"/>
          <w:sz w:val="18"/>
          <w:szCs w:val="18"/>
          <w:color w:val="auto"/>
        </w:rPr>
        <w:t>The Notes will be the unsecured and unsubordinated obligations of the Company and will rank equally with its other unsecured and unsubordinated indebtedness from time to time outstanding.</w:t>
      </w:r>
    </w:p>
    <w:p>
      <w:pPr>
        <w:spacing w:after="0" w:line="37" w:lineRule="exact"/>
        <w:rPr>
          <w:sz w:val="24"/>
          <w:szCs w:val="24"/>
          <w:color w:val="auto"/>
        </w:rPr>
      </w:pPr>
    </w:p>
    <w:p>
      <w:pPr>
        <w:ind w:left="5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96520</wp:posOffset>
            </wp:positionV>
            <wp:extent cx="1114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13" w:lineRule="exact"/>
        <w:rPr>
          <w:sz w:val="24"/>
          <w:szCs w:val="24"/>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9">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S-6.</w:t>
      </w:r>
    </w:p>
    <w:p>
      <w:pPr>
        <w:spacing w:after="0" w:line="58" w:lineRule="exact"/>
        <w:rPr>
          <w:sz w:val="24"/>
          <w:szCs w:val="24"/>
          <w:color w:val="auto"/>
        </w:rPr>
      </w:pPr>
    </w:p>
    <w:p>
      <w:pPr>
        <w:ind w:left="120" w:right="80" w:firstLine="440"/>
        <w:spacing w:after="0" w:line="260" w:lineRule="auto"/>
        <w:rPr>
          <w:sz w:val="20"/>
          <w:szCs w:val="20"/>
          <w:color w:val="auto"/>
        </w:rPr>
      </w:pPr>
      <w:r>
        <w:rPr>
          <w:rFonts w:ascii="Arial" w:cs="Arial" w:eastAsia="Arial" w:hAnsi="Arial"/>
          <w:sz w:val="21"/>
          <w:szCs w:val="21"/>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76200</wp:posOffset>
            </wp:positionV>
            <wp:extent cx="1114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9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432"/>
              <w:spacing w:after="0"/>
              <w:rPr>
                <w:sz w:val="20"/>
                <w:szCs w:val="20"/>
                <w:color w:val="auto"/>
              </w:rPr>
            </w:pPr>
            <w:r>
              <w:rPr>
                <w:rFonts w:ascii="Arial" w:cs="Arial" w:eastAsia="Arial" w:hAnsi="Arial"/>
                <w:sz w:val="13"/>
                <w:szCs w:val="13"/>
                <w:b w:val="1"/>
                <w:bCs w:val="1"/>
                <w:color w:val="auto"/>
                <w:w w:val="89"/>
              </w:rPr>
              <w:t>Per Note</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r>
      <w:tr>
        <w:trPr>
          <w:trHeight w:val="210"/>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Price(1)</w:t>
            </w:r>
          </w:p>
        </w:tc>
        <w:tc>
          <w:tcPr>
            <w:tcW w:w="284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840" w:type="dxa"/>
            <w:vAlign w:val="bottom"/>
          </w:tcPr>
          <w:p>
            <w:pPr>
              <w:spacing w:after="0"/>
              <w:rPr>
                <w:sz w:val="18"/>
                <w:szCs w:val="18"/>
                <w:color w:val="auto"/>
              </w:rPr>
            </w:pPr>
          </w:p>
        </w:tc>
        <w:tc>
          <w:tcPr>
            <w:tcW w:w="3340" w:type="dxa"/>
            <w:vAlign w:val="bottom"/>
            <w:gridSpan w:val="3"/>
          </w:tcPr>
          <w:p>
            <w:pPr>
              <w:jc w:val="right"/>
              <w:ind w:right="27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97"/>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28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108"/>
        </w:trPr>
        <w:tc>
          <w:tcPr>
            <w:tcW w:w="122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35"/>
        </w:trPr>
        <w:tc>
          <w:tcPr>
            <w:tcW w:w="4100" w:type="dxa"/>
            <w:vAlign w:val="bottom"/>
            <w:gridSpan w:val="2"/>
          </w:tcPr>
          <w:p>
            <w:pPr>
              <w:spacing w:after="0"/>
              <w:rPr>
                <w:sz w:val="20"/>
                <w:szCs w:val="20"/>
                <w:color w:val="auto"/>
              </w:rPr>
            </w:pPr>
            <w:r>
              <w:rPr>
                <w:rFonts w:ascii="Arial" w:cs="Arial" w:eastAsia="Arial" w:hAnsi="Arial"/>
                <w:sz w:val="18"/>
                <w:szCs w:val="18"/>
                <w:color w:val="auto"/>
                <w:w w:val="99"/>
              </w:rPr>
              <w:t>(1)   Plus accrued interest on the Notes, if any, from</w:t>
            </w:r>
          </w:p>
        </w:tc>
        <w:tc>
          <w:tcPr>
            <w:tcW w:w="2840" w:type="dxa"/>
            <w:vAlign w:val="bottom"/>
          </w:tcPr>
          <w:p>
            <w:pPr>
              <w:ind w:left="360"/>
              <w:spacing w:after="0"/>
              <w:rPr>
                <w:sz w:val="20"/>
                <w:szCs w:val="20"/>
                <w:color w:val="auto"/>
              </w:rPr>
            </w:pPr>
            <w:r>
              <w:rPr>
                <w:rFonts w:ascii="Arial" w:cs="Arial" w:eastAsia="Arial" w:hAnsi="Arial"/>
                <w:sz w:val="18"/>
                <w:szCs w:val="18"/>
                <w:color w:val="auto"/>
              </w:rPr>
              <w:t>, 2020 to the date of delivery.</w:t>
            </w:r>
          </w:p>
        </w:tc>
        <w:tc>
          <w:tcPr>
            <w:tcW w:w="2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6940" w:type="dxa"/>
            <w:vAlign w:val="bottom"/>
            <w:gridSpan w:val="3"/>
          </w:tcPr>
          <w:p>
            <w:pPr>
              <w:ind w:left="440"/>
              <w:spacing w:after="0"/>
              <w:rPr>
                <w:sz w:val="20"/>
                <w:szCs w:val="20"/>
                <w:color w:val="auto"/>
              </w:rPr>
            </w:pPr>
            <w:r>
              <w:rPr>
                <w:rFonts w:ascii="Arial" w:cs="Arial" w:eastAsia="Arial" w:hAnsi="Arial"/>
                <w:sz w:val="18"/>
                <w:szCs w:val="18"/>
                <w:color w:val="auto"/>
                <w:w w:val="92"/>
              </w:rPr>
              <w:t>The underwriters expect to deliver the Notes to purchasers against payment on or about</w:t>
            </w:r>
          </w:p>
        </w:tc>
        <w:tc>
          <w:tcPr>
            <w:tcW w:w="4080" w:type="dxa"/>
            <w:vAlign w:val="bottom"/>
            <w:gridSpan w:val="5"/>
          </w:tcPr>
          <w:p>
            <w:pPr>
              <w:ind w:left="380"/>
              <w:spacing w:after="0"/>
              <w:rPr>
                <w:sz w:val="20"/>
                <w:szCs w:val="20"/>
                <w:color w:val="auto"/>
              </w:rPr>
            </w:pPr>
            <w:r>
              <w:rPr>
                <w:rFonts w:ascii="Arial" w:cs="Arial" w:eastAsia="Arial" w:hAnsi="Arial"/>
                <w:sz w:val="18"/>
                <w:szCs w:val="18"/>
                <w:color w:val="auto"/>
              </w:rPr>
              <w:t>, 2020, solely in book-entry form through the</w:t>
            </w:r>
          </w:p>
        </w:tc>
      </w:tr>
    </w:tbl>
    <w:p>
      <w:pPr>
        <w:ind w:left="120" w:right="140"/>
        <w:spacing w:after="0" w:line="260" w:lineRule="auto"/>
        <w:rPr>
          <w:sz w:val="20"/>
          <w:szCs w:val="20"/>
          <w:color w:val="auto"/>
        </w:rPr>
      </w:pPr>
      <w:r>
        <w:rPr>
          <w:rFonts w:ascii="Arial" w:cs="Arial" w:eastAsia="Arial" w:hAnsi="Arial"/>
          <w:sz w:val="18"/>
          <w:szCs w:val="18"/>
          <w:color w:val="auto"/>
        </w:rPr>
        <w:t>facilities of The Depository Trust Company and its participants, including Euroclear Bank S.A./N.V., as operator of the Euroclear System, and Clearstream Banking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76835</wp:posOffset>
            </wp:positionV>
            <wp:extent cx="1114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68" w:lineRule="exact"/>
        <w:rPr>
          <w:sz w:val="24"/>
          <w:szCs w:val="24"/>
          <w:color w:val="auto"/>
        </w:rPr>
      </w:pPr>
    </w:p>
    <w:tbl>
      <w:tblPr>
        <w:tblLayout w:type="fixed"/>
        <w:tblInd w:w="120" w:type="dxa"/>
        <w:tblCellMar>
          <w:top w:w="0" w:type="dxa"/>
          <w:left w:w="0" w:type="dxa"/>
          <w:bottom w:w="0" w:type="dxa"/>
          <w:right w:w="0" w:type="dxa"/>
        </w:tblCellMar>
      </w:tblPr>
      <w:tr>
        <w:trPr>
          <w:trHeight w:val="274"/>
        </w:trPr>
        <w:tc>
          <w:tcPr>
            <w:tcW w:w="17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900" w:type="dxa"/>
            <w:vAlign w:val="bottom"/>
            <w:gridSpan w:val="3"/>
          </w:tcPr>
          <w:p>
            <w:pPr>
              <w:ind w:left="540"/>
              <w:spacing w:after="0"/>
              <w:rPr>
                <w:sz w:val="20"/>
                <w:szCs w:val="20"/>
                <w:color w:val="auto"/>
              </w:rPr>
            </w:pPr>
            <w:r>
              <w:rPr>
                <w:rFonts w:ascii="Arial" w:cs="Arial" w:eastAsia="Arial" w:hAnsi="Arial"/>
                <w:sz w:val="22"/>
                <w:szCs w:val="22"/>
                <w:i w:val="1"/>
                <w:iCs w:val="1"/>
                <w:color w:val="auto"/>
              </w:rPr>
              <w:t>Joint Book-Running Managers</w:t>
            </w:r>
          </w:p>
        </w:tc>
        <w:tc>
          <w:tcPr>
            <w:tcW w:w="2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176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1880" w:type="dxa"/>
            <w:vAlign w:val="bottom"/>
          </w:tcPr>
          <w:p>
            <w:pPr>
              <w:ind w:left="780"/>
              <w:spacing w:after="0"/>
              <w:rPr>
                <w:sz w:val="20"/>
                <w:szCs w:val="20"/>
                <w:color w:val="auto"/>
              </w:rPr>
            </w:pPr>
            <w:r>
              <w:rPr>
                <w:rFonts w:ascii="Arial" w:cs="Arial" w:eastAsia="Arial" w:hAnsi="Arial"/>
                <w:sz w:val="22"/>
                <w:szCs w:val="22"/>
                <w:b w:val="1"/>
                <w:bCs w:val="1"/>
                <w:color w:val="auto"/>
              </w:rPr>
              <w:t>HSBC</w:t>
            </w:r>
          </w:p>
        </w:tc>
        <w:tc>
          <w:tcPr>
            <w:tcW w:w="980" w:type="dxa"/>
            <w:vAlign w:val="bottom"/>
          </w:tcPr>
          <w:p>
            <w:pPr>
              <w:spacing w:after="0"/>
              <w:rPr>
                <w:sz w:val="24"/>
                <w:szCs w:val="24"/>
                <w:color w:val="auto"/>
              </w:rPr>
            </w:pPr>
          </w:p>
        </w:tc>
        <w:tc>
          <w:tcPr>
            <w:tcW w:w="2920" w:type="dxa"/>
            <w:vAlign w:val="bottom"/>
            <w:gridSpan w:val="2"/>
          </w:tcPr>
          <w:p>
            <w:pPr>
              <w:ind w:left="780"/>
              <w:spacing w:after="0"/>
              <w:rPr>
                <w:sz w:val="20"/>
                <w:szCs w:val="20"/>
                <w:color w:val="auto"/>
              </w:rPr>
            </w:pPr>
            <w:r>
              <w:rPr>
                <w:rFonts w:ascii="Arial" w:cs="Arial" w:eastAsia="Arial" w:hAnsi="Arial"/>
                <w:sz w:val="22"/>
                <w:szCs w:val="22"/>
                <w:b w:val="1"/>
                <w:bCs w:val="1"/>
                <w:color w:val="auto"/>
              </w:rPr>
              <w:t>J.P. MORGAN</w:t>
            </w:r>
          </w:p>
        </w:tc>
        <w:tc>
          <w:tcPr>
            <w:tcW w:w="2940" w:type="dxa"/>
            <w:vAlign w:val="bottom"/>
          </w:tcPr>
          <w:p>
            <w:pPr>
              <w:ind w:left="720"/>
              <w:spacing w:after="0"/>
              <w:rPr>
                <w:sz w:val="20"/>
                <w:szCs w:val="20"/>
                <w:color w:val="auto"/>
              </w:rPr>
            </w:pPr>
            <w:r>
              <w:rPr>
                <w:rFonts w:ascii="Arial" w:cs="Arial" w:eastAsia="Arial" w:hAnsi="Arial"/>
                <w:sz w:val="22"/>
                <w:szCs w:val="22"/>
                <w:b w:val="1"/>
                <w:bCs w:val="1"/>
                <w:color w:val="auto"/>
                <w:w w:val="97"/>
              </w:rPr>
              <w:t>SOCIETE GENERALE</w:t>
            </w:r>
          </w:p>
        </w:tc>
        <w:tc>
          <w:tcPr>
            <w:tcW w:w="0" w:type="dxa"/>
            <w:vAlign w:val="bottom"/>
          </w:tcPr>
          <w:p>
            <w:pPr>
              <w:spacing w:after="0"/>
              <w:rPr>
                <w:sz w:val="1"/>
                <w:szCs w:val="1"/>
                <w:color w:val="auto"/>
              </w:rPr>
            </w:pPr>
          </w:p>
        </w:tc>
      </w:tr>
      <w:tr>
        <w:trPr>
          <w:trHeight w:val="139"/>
        </w:trPr>
        <w:tc>
          <w:tcPr>
            <w:tcW w:w="1760" w:type="dxa"/>
            <w:vAlign w:val="bottom"/>
            <w:vMerge w:val="restart"/>
          </w:tcPr>
          <w:p>
            <w:pPr>
              <w:spacing w:after="0"/>
              <w:rPr>
                <w:sz w:val="20"/>
                <w:szCs w:val="20"/>
                <w:color w:val="auto"/>
              </w:rPr>
            </w:pPr>
            <w:r>
              <w:rPr>
                <w:rFonts w:ascii="Arial" w:cs="Arial" w:eastAsia="Arial" w:hAnsi="Arial"/>
                <w:sz w:val="18"/>
                <w:szCs w:val="18"/>
                <w:color w:val="auto"/>
              </w:rPr>
              <w:t>June   , 2020</w:t>
            </w:r>
          </w:p>
        </w:tc>
        <w:tc>
          <w:tcPr>
            <w:tcW w:w="1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3"/>
        </w:trPr>
        <w:tc>
          <w:tcPr>
            <w:tcW w:w="17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4480" w:type="dxa"/>
            <w:vAlign w:val="bottom"/>
          </w:tcPr>
          <w:p>
            <w:pPr>
              <w:spacing w:after="0"/>
              <w:rPr>
                <w:sz w:val="19"/>
                <w:szCs w:val="19"/>
                <w:color w:val="auto"/>
              </w:rPr>
            </w:pPr>
          </w:p>
        </w:tc>
        <w:tc>
          <w:tcPr>
            <w:tcW w:w="650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365"/>
        </w:trPr>
        <w:tc>
          <w:tcPr>
            <w:tcW w:w="4480" w:type="dxa"/>
            <w:vAlign w:val="bottom"/>
          </w:tcPr>
          <w:p>
            <w:pPr>
              <w:spacing w:after="0"/>
              <w:rPr>
                <w:sz w:val="24"/>
                <w:szCs w:val="24"/>
                <w:color w:val="auto"/>
              </w:rPr>
            </w:pPr>
          </w:p>
        </w:tc>
        <w:tc>
          <w:tcPr>
            <w:tcW w:w="6500" w:type="dxa"/>
            <w:vAlign w:val="bottom"/>
            <w:gridSpan w:val="4"/>
          </w:tcPr>
          <w:p>
            <w:pPr>
              <w:jc w:val="center"/>
              <w:ind w:right="4460"/>
              <w:spacing w:after="0"/>
              <w:rPr>
                <w:sz w:val="20"/>
                <w:szCs w:val="20"/>
                <w:color w:val="auto"/>
              </w:rPr>
            </w:pPr>
            <w:r>
              <w:rPr>
                <w:rFonts w:ascii="Arial" w:cs="Arial" w:eastAsia="Arial" w:hAnsi="Arial"/>
                <w:sz w:val="18"/>
                <w:szCs w:val="18"/>
                <w:b w:val="1"/>
                <w:bCs w:val="1"/>
                <w:color w:val="auto"/>
                <w:w w:val="85"/>
              </w:rPr>
              <w:t>Prospectus Supplement</w:t>
            </w:r>
          </w:p>
        </w:tc>
        <w:tc>
          <w:tcPr>
            <w:tcW w:w="0" w:type="dxa"/>
            <w:vAlign w:val="bottom"/>
          </w:tcPr>
          <w:p>
            <w:pPr>
              <w:spacing w:after="0"/>
              <w:rPr>
                <w:sz w:val="1"/>
                <w:szCs w:val="1"/>
                <w:color w:val="auto"/>
              </w:rPr>
            </w:pPr>
          </w:p>
        </w:tc>
      </w:tr>
      <w:tr>
        <w:trPr>
          <w:trHeight w:val="299"/>
        </w:trPr>
        <w:tc>
          <w:tcPr>
            <w:tcW w:w="4480" w:type="dxa"/>
            <w:vAlign w:val="bottom"/>
            <w:vMerge w:val="restart"/>
          </w:tcPr>
          <w:p>
            <w:pPr>
              <w:spacing w:after="0"/>
              <w:rPr>
                <w:rFonts w:ascii="Arial" w:cs="Arial" w:eastAsia="Arial" w:hAnsi="Arial"/>
                <w:sz w:val="18"/>
                <w:szCs w:val="18"/>
                <w:u w:val="single" w:color="auto"/>
                <w:color w:val="0000EE"/>
                <w:w w:val="89"/>
              </w:rPr>
            </w:pPr>
            <w:hyperlink w:anchor="page3">
              <w:r>
                <w:rPr>
                  <w:rFonts w:ascii="Arial" w:cs="Arial" w:eastAsia="Arial" w:hAnsi="Arial"/>
                  <w:sz w:val="18"/>
                  <w:szCs w:val="18"/>
                  <w:u w:val="single" w:color="auto"/>
                  <w:color w:val="0000EE"/>
                  <w:w w:val="89"/>
                </w:rPr>
                <w:t>Cautionary Statement Regarding Forward-Looking Statements</w:t>
              </w:r>
            </w:hyperlink>
          </w:p>
        </w:tc>
        <w:tc>
          <w:tcPr>
            <w:tcW w:w="6080" w:type="dxa"/>
            <w:vAlign w:val="bottom"/>
          </w:tcPr>
          <w:p>
            <w:pPr>
              <w:spacing w:after="0"/>
              <w:rPr>
                <w:sz w:val="24"/>
                <w:szCs w:val="24"/>
                <w:color w:val="auto"/>
              </w:rPr>
            </w:pPr>
          </w:p>
        </w:tc>
        <w:tc>
          <w:tcPr>
            <w:tcW w:w="420" w:type="dxa"/>
            <w:vAlign w:val="bottom"/>
            <w:gridSpan w:val="3"/>
          </w:tcPr>
          <w:p>
            <w:pPr>
              <w:ind w:left="6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S-ii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Use of Proceeds</w:t>
              </w:r>
            </w:hyperlink>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S-9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Capitalization</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Description of the Notes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Non-United States Federal Income Tax Considerations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95"/>
              </w:rPr>
            </w:pPr>
            <w:hyperlink w:anchor="page35">
              <w:r>
                <w:rPr>
                  <w:rFonts w:ascii="Arial" w:cs="Arial" w:eastAsia="Arial" w:hAnsi="Arial"/>
                  <w:sz w:val="18"/>
                  <w:szCs w:val="18"/>
                  <w:u w:val="single" w:color="auto"/>
                  <w:color w:val="0000EE"/>
                  <w:w w:val="95"/>
                </w:rPr>
                <w:t>Material United States Federal Income Tax Considerations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Underwriting</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Legal Matters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Experts</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Where You Can Find More Information</w:t>
              </w:r>
            </w:hyperlink>
          </w:p>
        </w:tc>
        <w:tc>
          <w:tcPr>
            <w:tcW w:w="60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Incorporation of Documents by Reference</w:t>
              </w:r>
            </w:hyperlink>
          </w:p>
        </w:tc>
        <w:tc>
          <w:tcPr>
            <w:tcW w:w="608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S-40</w:t>
            </w:r>
          </w:p>
        </w:tc>
        <w:tc>
          <w:tcPr>
            <w:tcW w:w="0" w:type="dxa"/>
            <w:vAlign w:val="bottom"/>
          </w:tcPr>
          <w:p>
            <w:pPr>
              <w:spacing w:after="0"/>
              <w:rPr>
                <w:sz w:val="1"/>
                <w:szCs w:val="1"/>
                <w:color w:val="auto"/>
              </w:rPr>
            </w:pPr>
          </w:p>
        </w:tc>
      </w:tr>
      <w:tr>
        <w:trPr>
          <w:trHeight w:val="364"/>
        </w:trPr>
        <w:tc>
          <w:tcPr>
            <w:tcW w:w="4480" w:type="dxa"/>
            <w:vAlign w:val="bottom"/>
          </w:tcPr>
          <w:p>
            <w:pPr>
              <w:spacing w:after="0"/>
              <w:rPr>
                <w:sz w:val="24"/>
                <w:szCs w:val="24"/>
                <w:color w:val="auto"/>
              </w:rPr>
            </w:pPr>
          </w:p>
        </w:tc>
        <w:tc>
          <w:tcPr>
            <w:tcW w:w="6500" w:type="dxa"/>
            <w:vAlign w:val="bottom"/>
            <w:gridSpan w:val="4"/>
          </w:tcPr>
          <w:p>
            <w:pPr>
              <w:jc w:val="center"/>
              <w:ind w:right="4440"/>
              <w:spacing w:after="0"/>
              <w:rPr>
                <w:sz w:val="20"/>
                <w:szCs w:val="20"/>
                <w:color w:val="auto"/>
              </w:rPr>
            </w:pPr>
            <w:r>
              <w:rPr>
                <w:rFonts w:ascii="Arial" w:cs="Arial" w:eastAsia="Arial" w:hAnsi="Arial"/>
                <w:sz w:val="18"/>
                <w:szCs w:val="18"/>
                <w:b w:val="1"/>
                <w:bCs w:val="1"/>
                <w:color w:val="auto"/>
                <w:w w:val="83"/>
              </w:rPr>
              <w:t>Prospectus</w:t>
            </w:r>
          </w:p>
        </w:tc>
        <w:tc>
          <w:tcPr>
            <w:tcW w:w="0" w:type="dxa"/>
            <w:vAlign w:val="bottom"/>
          </w:tcPr>
          <w:p>
            <w:pPr>
              <w:spacing w:after="0"/>
              <w:rPr>
                <w:sz w:val="1"/>
                <w:szCs w:val="1"/>
                <w:color w:val="auto"/>
              </w:rPr>
            </w:pPr>
          </w:p>
        </w:tc>
      </w:tr>
      <w:tr>
        <w:trPr>
          <w:trHeight w:val="299"/>
        </w:trPr>
        <w:tc>
          <w:tcPr>
            <w:tcW w:w="4480" w:type="dxa"/>
            <w:vAlign w:val="bottom"/>
            <w:vMerge w:val="restart"/>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this Prospectus</w:t>
              </w:r>
            </w:hyperlink>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201"/>
        </w:trPr>
        <w:tc>
          <w:tcPr>
            <w:tcW w:w="4480" w:type="dxa"/>
            <w:vAlign w:val="bottom"/>
            <w:vMerge w:val="continue"/>
          </w:tcPr>
          <w:p>
            <w:pPr>
              <w:spacing w:after="0"/>
              <w:rPr>
                <w:sz w:val="17"/>
                <w:szCs w:val="17"/>
                <w:color w:val="auto"/>
              </w:rPr>
            </w:pPr>
          </w:p>
        </w:tc>
        <w:tc>
          <w:tcPr>
            <w:tcW w:w="6200" w:type="dxa"/>
            <w:vAlign w:val="bottom"/>
            <w:gridSpan w:val="2"/>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the Guarantor</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the Company</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Incorporation of Documents by Reference</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Cautionary Statement Regarding Forward-Looking Statements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Use of Proceeds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Description of Debt Securities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Plan of Distribution</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Validity of the Securities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44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Experts</w:t>
              </w:r>
            </w:hyperlink>
          </w:p>
        </w:tc>
        <w:tc>
          <w:tcPr>
            <w:tcW w:w="650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146685</wp:posOffset>
            </wp:positionV>
            <wp:extent cx="1114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supplement, unless otherwise stated or the context otherwise requires:</w:t>
      </w:r>
    </w:p>
    <w:p>
      <w:pPr>
        <w:spacing w:after="0" w:line="77" w:lineRule="exact"/>
        <w:rPr>
          <w:sz w:val="20"/>
          <w:szCs w:val="20"/>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“Guarantor” or “Schlumberger Limited” refers to Schlumberger Limited, the ultimate parent of the Company;</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03" w:lineRule="exact"/>
        <w:rPr>
          <w:rFonts w:ascii="Arial" w:cs="Arial" w:eastAsia="Arial" w:hAnsi="Arial"/>
          <w:sz w:val="18"/>
          <w:szCs w:val="18"/>
          <w:color w:val="auto"/>
        </w:rPr>
      </w:pPr>
    </w:p>
    <w:p>
      <w:pPr>
        <w:ind w:left="760" w:hanging="212"/>
        <w:spacing w:after="0" w:line="268"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the “Notes,” in which case these terms refer solely to the Company.</w:t>
      </w:r>
    </w:p>
    <w:p>
      <w:pPr>
        <w:spacing w:after="0" w:line="11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the Notes we are offering and certain other matters relating to us and our financial condition. The second part, the accompanying prospectus, gives more general information about securities we may offer from time to time, some of which may not apply to the Notes. You should read this prospectus supplement along with the accompanying prospectus, as well as the documents incorporated by reference in this prospectus supplement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spacing w:after="0" w:line="268" w:lineRule="auto"/>
        <w:rPr>
          <w:sz w:val="20"/>
          <w:szCs w:val="20"/>
          <w:color w:val="auto"/>
        </w:rPr>
      </w:pPr>
      <w:r>
        <w:rPr>
          <w:rFonts w:ascii="Arial" w:cs="Arial" w:eastAsia="Arial" w:hAnsi="Arial"/>
          <w:sz w:val="18"/>
          <w:szCs w:val="18"/>
          <w:color w:val="auto"/>
        </w:rPr>
        <w:t>the accompanying prospectus. If the description of the Notes varies between this prospectus supplement and the accompanying prospectus, you should rely on the information in this prospectus supplement.</w:t>
      </w:r>
    </w:p>
    <w:p>
      <w:pPr>
        <w:spacing w:after="0" w:line="118"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the accompanying prospectus and any related free writing prospectus issued by us or on our behalf. We have not, and the underwriters have not, authorized any person to provide you with additional or different information. The information contained or incorporated by reference in this prospectus supplement and the accompanying prospectus is accurate as of the date on the front cover of such documents only. Our business, properties, assets, results of operations or financial position may have changed since that date. Neither the delivery of this prospectus supplement nor of the accompanying prospectus, nor any sale made thereunder, shall under any circumstances imply that the information herein is correct as of any date subsequent to the date on the cover of such documents. We are not, and the underwriters are not, making an offer to sell the Notes in any jurisdiction where the offer or sale is not permitted.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prospectus supplement and the documents incorporated by reference herein contain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3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 our forecasts or expectations regarding business outlook; growth for the Schlumberger Group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us and the oil and gas industry; the business strategies of our customers; our effective tax rate; our Asset Performance Solutions projects, joint ventures and alliances; our greenhouse gas emissions targets and progress against those targets; future global economic conditions; and future results of operations. These statements are subject to risks and uncertainties, including, but not limited to, changing global economic conditions; public health crises, such as the COVID-19 pandemic, and any related actions taken by businesses and governments; changes in exploration and production spending by our customers and changes in the level of oil and natural gas exploration and development; the results of operations and financial condition of our customers and suppliers, particularly during extended periods of low prices for crude oil and natural gas;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alternate-energy sources or product substitutes; and other risks and uncertainties detailed in this prospectus supplement and in the Guarantor’s filings with the SEC. If one or more of these or other risks or uncertainties materialize (or the consequences of any such development changes), or should our underlying assumptions prove incorrect, actual outcomes may vary materially from those reflected in our forward-looking statements. Each forward-looking statement speaks only as of the date of the particular statement, and we undertake no obligation to publicly update or revise any forward-looking statements except as required by law.</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41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49415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164" w:lineRule="exact"/>
        <w:rPr>
          <w:sz w:val="20"/>
          <w:szCs w:val="20"/>
          <w:color w:val="auto"/>
        </w:rPr>
      </w:pPr>
    </w:p>
    <w:p>
      <w:pPr>
        <w:jc w:val="both"/>
        <w:ind w:left="300" w:right="440" w:firstLine="426"/>
        <w:spacing w:after="0" w:line="298" w:lineRule="auto"/>
        <w:rPr>
          <w:sz w:val="20"/>
          <w:szCs w:val="20"/>
          <w:color w:val="auto"/>
        </w:rPr>
      </w:pPr>
      <w:r>
        <w:rPr>
          <w:rFonts w:ascii="Arial" w:cs="Arial" w:eastAsia="Arial" w:hAnsi="Arial"/>
          <w:sz w:val="16"/>
          <w:szCs w:val="16"/>
          <w:i w:val="1"/>
          <w:iCs w:val="1"/>
          <w:color w:val="auto"/>
        </w:rPr>
        <w:t>This summary may not contain all of the information that may be important to you. You should read this summary together with this entire prospectus supplement and the accompanying prospectus and the documents that we have incorporated herein by reference, including the “Risk Factors” section of this prospectus supplement, and the Guarantor’s Annual Report on Form 10-K for the year ended December 31, 2019 and its subsequent Quarterly Report on Form 10-Q for the quarterly period ended March 31, 2020.</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w:t>
      </w:r>
    </w:p>
    <w:p>
      <w:pPr>
        <w:spacing w:after="0" w:line="83" w:lineRule="exact"/>
        <w:rPr>
          <w:sz w:val="20"/>
          <w:szCs w:val="20"/>
          <w:color w:val="auto"/>
        </w:rPr>
      </w:pPr>
    </w:p>
    <w:p>
      <w:pPr>
        <w:ind w:left="300" w:right="160" w:firstLine="426"/>
        <w:spacing w:after="0" w:line="298" w:lineRule="auto"/>
        <w:rPr>
          <w:sz w:val="20"/>
          <w:szCs w:val="20"/>
          <w:color w:val="auto"/>
        </w:rPr>
      </w:pPr>
      <w:r>
        <w:rPr>
          <w:rFonts w:ascii="Arial" w:cs="Arial" w:eastAsia="Arial" w:hAnsi="Arial"/>
          <w:sz w:val="16"/>
          <w:szCs w:val="16"/>
          <w:color w:val="auto"/>
        </w:rPr>
        <w:t>We are the world’s leading provider of technology for reservoir characterization, drilling, production and processing to the oil and gas industry. With product sales and services in more than 120 countries, we supply the industry’s most comprehensive range of products and services, from exploration through production, and integrated pore-to-pipeline solutions that optimize hydrocarbon recovery to deliver reservoir performance sustainably. As of March 31, 2020, we employed approximately 103,000 people representing over 170 nationalities.</w:t>
      </w:r>
    </w:p>
    <w:p>
      <w:pPr>
        <w:spacing w:after="0" w:line="99"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We operate in each of the major oilfield service markets through four segments: Reservoir Characterization, Drilling, Production and Cameron. Each segment consists of a number of technology-based service and product lines, or Technologies. These Technologies cover the entire life cycle of the reservoir and correspond to a number of markets in which we hold leading positions. The role of the Technologies is to support the Schlumberger Group in providing the best possible service to customers and to ensure that we remain at the forefront of technology development and services integration. The Technologies are collectively responsible for driving performance throughout their businesses; overseeing operational processes, resource allocation and personnel; and delivering superior financial results.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Guarantor</w:t>
      </w:r>
    </w:p>
    <w:p>
      <w:pPr>
        <w:spacing w:after="0" w:line="83" w:lineRule="exact"/>
        <w:rPr>
          <w:sz w:val="20"/>
          <w:szCs w:val="20"/>
          <w:color w:val="auto"/>
        </w:rPr>
      </w:pPr>
    </w:p>
    <w:p>
      <w:pPr>
        <w:ind w:left="300" w:firstLine="426"/>
        <w:spacing w:after="0" w:line="256"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29" w:lineRule="exact"/>
        <w:rPr>
          <w:sz w:val="20"/>
          <w:szCs w:val="20"/>
          <w:color w:val="auto"/>
        </w:rPr>
      </w:pPr>
    </w:p>
    <w:p>
      <w:pPr>
        <w:ind w:left="300" w:right="140" w:firstLine="426"/>
        <w:spacing w:after="0" w:line="268" w:lineRule="auto"/>
        <w:rPr>
          <w:sz w:val="20"/>
          <w:szCs w:val="20"/>
          <w:color w:val="auto"/>
        </w:rPr>
      </w:pPr>
      <w:r>
        <w:rPr>
          <w:rFonts w:ascii="Arial" w:cs="Arial" w:eastAsia="Arial" w:hAnsi="Arial"/>
          <w:sz w:val="18"/>
          <w:szCs w:val="18"/>
          <w:color w:val="auto"/>
        </w:rPr>
        <w:t>The Guarantor has executive offices in Paris, Houston, London and The Hague. The principal U.S. market for the Guarantor’s common stock is the New York Stock Exchange, where it is traded under the symbol “SLB.”</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the Company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and organizational status</w:t>
      </w:r>
    </w:p>
    <w:p>
      <w:pPr>
        <w:spacing w:after="0" w:line="77"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2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Activities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Tender Offer for the Company’s 3.300% Senior Notes due 2021</w:t>
      </w:r>
    </w:p>
    <w:p>
      <w:pPr>
        <w:spacing w:after="0" w:line="77"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Concurrently with this offering, we commenced an offer to purchase for cash (the “Tender Offer”) any and all of the Company’s outstanding 3.300% senior notes due 2021 (the “2021 Notes”). As of June 17, 2020, there was $1,600,000,000 aggregate principal amount of the 2021 Notes outstanding. The Tender Offer is made upon the terms and subject to the conditions set forth in the Offer to Purchase, dated June 17, 2020 (as may be amended or supplemented from time to time, the “Offer to Purchase”), and the accompanying notice of guaranteed delivery (together with the Offer to Purchase, the “Tender Offer Documents”). We intend to fund the Tender Offer with a combination of cash on hand, which may include the net proceeds from this offering, and borrowings under our commercial paper program. The Tender Offer will not be contingent on holders tendering any minimum amount of the 2021 Notes. We may amend, extend or terminate the tender offer in our sole discretion pursuant to the terms and subject to the conditions set forth in the Offer to Purchase. This offering is not conditioned upon completion of the Tender Offer. Nothing contained in this prospectus supplement should be construed as an offer to purchase the 2021 Notes, as the Tender Offer is being made only to the recipients of the Tender Offer Documents, upon the terms and subject to the conditions set forth therein.</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84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284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i w:val="1"/>
          <w:iCs w:val="1"/>
          <w:color w:val="auto"/>
        </w:rPr>
        <w:t>The following summary contains basic information about the Notes. It does not contain all the information that is important to you. For a more complete understanding of the Notes, please refer to the section of this prospectus supplement entitled “Description of the Notes,” including those subsections to which we have referred you below.</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340" w:type="dxa"/>
            <w:vAlign w:val="bottom"/>
          </w:tcPr>
          <w:p>
            <w:pPr>
              <w:ind w:left="180"/>
              <w:spacing w:after="0"/>
              <w:rPr>
                <w:sz w:val="20"/>
                <w:szCs w:val="20"/>
                <w:color w:val="auto"/>
              </w:rPr>
            </w:pPr>
            <w:r>
              <w:rPr>
                <w:rFonts w:ascii="Arial" w:cs="Arial" w:eastAsia="Arial" w:hAnsi="Arial"/>
                <w:sz w:val="18"/>
                <w:szCs w:val="18"/>
                <w:color w:val="auto"/>
              </w:rPr>
              <w:t>Issuer</w:t>
            </w:r>
          </w:p>
        </w:tc>
        <w:tc>
          <w:tcPr>
            <w:tcW w:w="3200" w:type="dxa"/>
            <w:vAlign w:val="bottom"/>
            <w:gridSpan w:val="3"/>
          </w:tcPr>
          <w:p>
            <w:pPr>
              <w:ind w:left="880"/>
              <w:spacing w:after="0"/>
              <w:rPr>
                <w:sz w:val="20"/>
                <w:szCs w:val="20"/>
                <w:color w:val="auto"/>
              </w:rPr>
            </w:pPr>
            <w:r>
              <w:rPr>
                <w:rFonts w:ascii="Arial" w:cs="Arial" w:eastAsia="Arial" w:hAnsi="Arial"/>
                <w:sz w:val="18"/>
                <w:szCs w:val="18"/>
                <w:color w:val="auto"/>
                <w:w w:val="96"/>
              </w:rPr>
              <w:t>Schlumberger Investment SA.</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378"/>
        </w:trPr>
        <w:tc>
          <w:tcPr>
            <w:tcW w:w="3340" w:type="dxa"/>
            <w:vAlign w:val="bottom"/>
          </w:tcPr>
          <w:p>
            <w:pPr>
              <w:ind w:left="180"/>
              <w:spacing w:after="0"/>
              <w:rPr>
                <w:sz w:val="20"/>
                <w:szCs w:val="20"/>
                <w:color w:val="auto"/>
              </w:rPr>
            </w:pPr>
            <w:r>
              <w:rPr>
                <w:rFonts w:ascii="Arial" w:cs="Arial" w:eastAsia="Arial" w:hAnsi="Arial"/>
                <w:sz w:val="18"/>
                <w:szCs w:val="18"/>
                <w:color w:val="auto"/>
              </w:rPr>
              <w:t>Guarantor</w:t>
            </w:r>
          </w:p>
        </w:tc>
        <w:tc>
          <w:tcPr>
            <w:tcW w:w="2780" w:type="dxa"/>
            <w:vAlign w:val="bottom"/>
            <w:gridSpan w:val="2"/>
          </w:tcPr>
          <w:p>
            <w:pPr>
              <w:ind w:left="880"/>
              <w:spacing w:after="0"/>
              <w:rPr>
                <w:sz w:val="20"/>
                <w:szCs w:val="20"/>
                <w:color w:val="auto"/>
              </w:rPr>
            </w:pPr>
            <w:r>
              <w:rPr>
                <w:rFonts w:ascii="Arial" w:cs="Arial" w:eastAsia="Arial" w:hAnsi="Arial"/>
                <w:sz w:val="18"/>
                <w:szCs w:val="18"/>
                <w:color w:val="auto"/>
              </w:rPr>
              <w:t>Schlumberger Limited.</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78"/>
        </w:trPr>
        <w:tc>
          <w:tcPr>
            <w:tcW w:w="3340" w:type="dxa"/>
            <w:vAlign w:val="bottom"/>
          </w:tcPr>
          <w:p>
            <w:pPr>
              <w:ind w:left="180"/>
              <w:spacing w:after="0"/>
              <w:rPr>
                <w:sz w:val="20"/>
                <w:szCs w:val="20"/>
                <w:color w:val="auto"/>
              </w:rPr>
            </w:pPr>
            <w:r>
              <w:rPr>
                <w:rFonts w:ascii="Arial" w:cs="Arial" w:eastAsia="Arial" w:hAnsi="Arial"/>
                <w:sz w:val="18"/>
                <w:szCs w:val="18"/>
                <w:color w:val="auto"/>
              </w:rPr>
              <w:t>Notes Offered</w:t>
            </w:r>
          </w:p>
        </w:tc>
        <w:tc>
          <w:tcPr>
            <w:tcW w:w="1560" w:type="dxa"/>
            <w:vAlign w:val="bottom"/>
          </w:tcPr>
          <w:p>
            <w:pPr>
              <w:ind w:left="880"/>
              <w:spacing w:after="0"/>
              <w:rPr>
                <w:sz w:val="20"/>
                <w:szCs w:val="20"/>
                <w:color w:val="auto"/>
              </w:rPr>
            </w:pPr>
            <w:r>
              <w:rPr>
                <w:rFonts w:ascii="Arial" w:cs="Arial" w:eastAsia="Arial" w:hAnsi="Arial"/>
                <w:sz w:val="18"/>
                <w:szCs w:val="18"/>
                <w:color w:val="auto"/>
              </w:rPr>
              <w:t>U.S.$</w:t>
            </w:r>
          </w:p>
        </w:tc>
        <w:tc>
          <w:tcPr>
            <w:tcW w:w="1840" w:type="dxa"/>
            <w:vAlign w:val="bottom"/>
            <w:gridSpan w:val="3"/>
          </w:tcPr>
          <w:p>
            <w:pPr>
              <w:ind w:left="460"/>
              <w:spacing w:after="0"/>
              <w:rPr>
                <w:sz w:val="20"/>
                <w:szCs w:val="20"/>
                <w:color w:val="auto"/>
              </w:rPr>
            </w:pPr>
            <w:r>
              <w:rPr>
                <w:rFonts w:ascii="Arial" w:cs="Arial" w:eastAsia="Arial" w:hAnsi="Arial"/>
                <w:sz w:val="18"/>
                <w:szCs w:val="18"/>
                <w:color w:val="auto"/>
                <w:w w:val="89"/>
              </w:rPr>
              <w:t>principal amount of</w:t>
            </w:r>
          </w:p>
        </w:tc>
        <w:tc>
          <w:tcPr>
            <w:tcW w:w="4280" w:type="dxa"/>
            <w:vAlign w:val="bottom"/>
            <w:gridSpan w:val="2"/>
          </w:tcPr>
          <w:p>
            <w:pPr>
              <w:jc w:val="right"/>
              <w:ind w:right="1952"/>
              <w:spacing w:after="0"/>
              <w:rPr>
                <w:sz w:val="20"/>
                <w:szCs w:val="20"/>
                <w:color w:val="auto"/>
              </w:rPr>
            </w:pPr>
            <w:r>
              <w:rPr>
                <w:rFonts w:ascii="Arial" w:cs="Arial" w:eastAsia="Arial" w:hAnsi="Arial"/>
                <w:sz w:val="18"/>
                <w:szCs w:val="18"/>
                <w:color w:val="auto"/>
              </w:rPr>
              <w:t>% Senior Notes due 2030.</w:t>
            </w:r>
          </w:p>
        </w:tc>
      </w:tr>
      <w:tr>
        <w:trPr>
          <w:trHeight w:val="378"/>
        </w:trPr>
        <w:tc>
          <w:tcPr>
            <w:tcW w:w="334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2780" w:type="dxa"/>
            <w:vAlign w:val="bottom"/>
            <w:gridSpan w:val="2"/>
          </w:tcPr>
          <w:p>
            <w:pPr>
              <w:ind w:left="880"/>
              <w:spacing w:after="0"/>
              <w:rPr>
                <w:sz w:val="20"/>
                <w:szCs w:val="20"/>
                <w:color w:val="auto"/>
              </w:rPr>
            </w:pPr>
            <w:r>
              <w:rPr>
                <w:rFonts w:ascii="Arial" w:cs="Arial" w:eastAsia="Arial" w:hAnsi="Arial"/>
                <w:sz w:val="18"/>
                <w:szCs w:val="18"/>
                <w:color w:val="auto"/>
                <w:w w:val="94"/>
              </w:rPr>
              <w:t>The Notes will mature on</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jc w:val="right"/>
              <w:ind w:right="1112"/>
              <w:spacing w:after="0"/>
              <w:rPr>
                <w:sz w:val="20"/>
                <w:szCs w:val="20"/>
                <w:color w:val="auto"/>
              </w:rPr>
            </w:pPr>
            <w:r>
              <w:rPr>
                <w:rFonts w:ascii="Arial" w:cs="Arial" w:eastAsia="Arial" w:hAnsi="Arial"/>
                <w:sz w:val="18"/>
                <w:szCs w:val="18"/>
                <w:color w:val="auto"/>
                <w:w w:val="87"/>
              </w:rPr>
              <w:t>, 2030.</w:t>
            </w:r>
          </w:p>
        </w:tc>
        <w:tc>
          <w:tcPr>
            <w:tcW w:w="2580" w:type="dxa"/>
            <w:vAlign w:val="bottom"/>
          </w:tcPr>
          <w:p>
            <w:pPr>
              <w:spacing w:after="0"/>
              <w:rPr>
                <w:sz w:val="24"/>
                <w:szCs w:val="24"/>
                <w:color w:val="auto"/>
              </w:rPr>
            </w:pPr>
          </w:p>
        </w:tc>
      </w:tr>
      <w:tr>
        <w:trPr>
          <w:trHeight w:val="372"/>
        </w:trPr>
        <w:tc>
          <w:tcPr>
            <w:tcW w:w="33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3200" w:type="dxa"/>
            <w:vAlign w:val="bottom"/>
            <w:gridSpan w:val="3"/>
          </w:tcPr>
          <w:p>
            <w:pPr>
              <w:ind w:left="880"/>
              <w:spacing w:after="0"/>
              <w:rPr>
                <w:sz w:val="20"/>
                <w:szCs w:val="20"/>
                <w:color w:val="auto"/>
              </w:rPr>
            </w:pPr>
            <w:r>
              <w:rPr>
                <w:rFonts w:ascii="Arial" w:cs="Arial" w:eastAsia="Arial" w:hAnsi="Arial"/>
                <w:sz w:val="18"/>
                <w:szCs w:val="18"/>
                <w:color w:val="auto"/>
                <w:w w:val="96"/>
              </w:rPr>
              <w:t>The Notes will bear interest at</w:t>
            </w:r>
          </w:p>
        </w:tc>
        <w:tc>
          <w:tcPr>
            <w:tcW w:w="4480" w:type="dxa"/>
            <w:vAlign w:val="bottom"/>
            <w:gridSpan w:val="3"/>
          </w:tcPr>
          <w:p>
            <w:pPr>
              <w:jc w:val="right"/>
              <w:ind w:right="212"/>
              <w:spacing w:after="0"/>
              <w:rPr>
                <w:sz w:val="20"/>
                <w:szCs w:val="20"/>
                <w:color w:val="auto"/>
              </w:rPr>
            </w:pPr>
            <w:r>
              <w:rPr>
                <w:rFonts w:ascii="Arial" w:cs="Arial" w:eastAsia="Arial" w:hAnsi="Arial"/>
                <w:sz w:val="18"/>
                <w:szCs w:val="18"/>
                <w:color w:val="auto"/>
                <w:w w:val="92"/>
              </w:rPr>
              <w:t>% per annum, and interest will be payable semi-annually</w:t>
            </w:r>
          </w:p>
        </w:tc>
      </w:tr>
      <w:tr>
        <w:trPr>
          <w:trHeight w:val="222"/>
        </w:trPr>
        <w:tc>
          <w:tcPr>
            <w:tcW w:w="3340" w:type="dxa"/>
            <w:vAlign w:val="bottom"/>
          </w:tcPr>
          <w:p>
            <w:pPr>
              <w:spacing w:after="0"/>
              <w:rPr>
                <w:sz w:val="19"/>
                <w:szCs w:val="19"/>
                <w:color w:val="auto"/>
              </w:rPr>
            </w:pPr>
          </w:p>
        </w:tc>
        <w:tc>
          <w:tcPr>
            <w:tcW w:w="1560" w:type="dxa"/>
            <w:vAlign w:val="bottom"/>
          </w:tcPr>
          <w:p>
            <w:pPr>
              <w:ind w:left="880"/>
              <w:spacing w:after="0"/>
              <w:rPr>
                <w:sz w:val="20"/>
                <w:szCs w:val="20"/>
                <w:color w:val="auto"/>
              </w:rPr>
            </w:pPr>
            <w:r>
              <w:rPr>
                <w:rFonts w:ascii="Arial" w:cs="Arial" w:eastAsia="Arial" w:hAnsi="Arial"/>
                <w:sz w:val="18"/>
                <w:szCs w:val="18"/>
                <w:color w:val="auto"/>
              </w:rPr>
              <w:t>on</w:t>
            </w:r>
          </w:p>
        </w:tc>
        <w:tc>
          <w:tcPr>
            <w:tcW w:w="1220" w:type="dxa"/>
            <w:vAlign w:val="bottom"/>
          </w:tcPr>
          <w:p>
            <w:pPr>
              <w:ind w:left="280"/>
              <w:spacing w:after="0"/>
              <w:rPr>
                <w:sz w:val="20"/>
                <w:szCs w:val="20"/>
                <w:color w:val="auto"/>
              </w:rPr>
            </w:pPr>
            <w:r>
              <w:rPr>
                <w:rFonts w:ascii="Arial" w:cs="Arial" w:eastAsia="Arial" w:hAnsi="Arial"/>
                <w:sz w:val="18"/>
                <w:szCs w:val="18"/>
                <w:color w:val="auto"/>
              </w:rPr>
              <w:t>and</w:t>
            </w:r>
          </w:p>
        </w:tc>
        <w:tc>
          <w:tcPr>
            <w:tcW w:w="2320" w:type="dxa"/>
            <w:vAlign w:val="bottom"/>
            <w:gridSpan w:val="3"/>
          </w:tcPr>
          <w:p>
            <w:pPr>
              <w:jc w:val="right"/>
              <w:ind w:right="292"/>
              <w:spacing w:after="0"/>
              <w:rPr>
                <w:sz w:val="20"/>
                <w:szCs w:val="20"/>
                <w:color w:val="auto"/>
              </w:rPr>
            </w:pPr>
            <w:r>
              <w:rPr>
                <w:rFonts w:ascii="Arial" w:cs="Arial" w:eastAsia="Arial" w:hAnsi="Arial"/>
                <w:sz w:val="18"/>
                <w:szCs w:val="18"/>
                <w:color w:val="auto"/>
                <w:w w:val="90"/>
              </w:rPr>
              <w:t>of each year, commencing</w:t>
            </w:r>
          </w:p>
        </w:tc>
        <w:tc>
          <w:tcPr>
            <w:tcW w:w="2580" w:type="dxa"/>
            <w:vAlign w:val="bottom"/>
          </w:tcPr>
          <w:p>
            <w:pPr>
              <w:jc w:val="right"/>
              <w:ind w:right="1632"/>
              <w:spacing w:after="0"/>
              <w:rPr>
                <w:sz w:val="20"/>
                <w:szCs w:val="20"/>
                <w:color w:val="auto"/>
              </w:rPr>
            </w:pPr>
            <w:r>
              <w:rPr>
                <w:rFonts w:ascii="Arial" w:cs="Arial" w:eastAsia="Arial" w:hAnsi="Arial"/>
                <w:sz w:val="18"/>
                <w:szCs w:val="18"/>
                <w:color w:val="auto"/>
              </w:rPr>
              <w:t>, 2020.</w:t>
            </w:r>
          </w:p>
        </w:tc>
      </w:tr>
      <w:tr>
        <w:trPr>
          <w:trHeight w:val="358"/>
        </w:trPr>
        <w:tc>
          <w:tcPr>
            <w:tcW w:w="3340" w:type="dxa"/>
            <w:vAlign w:val="bottom"/>
          </w:tcPr>
          <w:p>
            <w:pPr>
              <w:ind w:left="180"/>
              <w:spacing w:after="0"/>
              <w:rPr>
                <w:sz w:val="20"/>
                <w:szCs w:val="20"/>
                <w:color w:val="auto"/>
              </w:rPr>
            </w:pPr>
            <w:r>
              <w:rPr>
                <w:rFonts w:ascii="Arial" w:cs="Arial" w:eastAsia="Arial" w:hAnsi="Arial"/>
                <w:sz w:val="18"/>
                <w:szCs w:val="18"/>
                <w:color w:val="auto"/>
              </w:rPr>
              <w:t>Guarantee</w:t>
            </w: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6"/>
              </w:rPr>
              <w:t>The Guarantor will fully and unconditionally guarantee the principal of, and any premium</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2"/>
              </w:rPr>
              <w:t>and interest on, the Notes and the Company’s obligations under the indenture, as described</w:t>
            </w:r>
          </w:p>
        </w:tc>
      </w:tr>
      <w:tr>
        <w:trPr>
          <w:trHeight w:val="222"/>
        </w:trPr>
        <w:tc>
          <w:tcPr>
            <w:tcW w:w="3340" w:type="dxa"/>
            <w:vAlign w:val="bottom"/>
          </w:tcPr>
          <w:p>
            <w:pPr>
              <w:spacing w:after="0"/>
              <w:rPr>
                <w:sz w:val="19"/>
                <w:szCs w:val="19"/>
                <w:color w:val="auto"/>
              </w:rPr>
            </w:pPr>
          </w:p>
        </w:tc>
        <w:tc>
          <w:tcPr>
            <w:tcW w:w="5100" w:type="dxa"/>
            <w:vAlign w:val="bottom"/>
            <w:gridSpan w:val="5"/>
          </w:tcPr>
          <w:p>
            <w:pPr>
              <w:ind w:left="880"/>
              <w:spacing w:after="0"/>
              <w:rPr>
                <w:sz w:val="20"/>
                <w:szCs w:val="20"/>
                <w:color w:val="auto"/>
              </w:rPr>
            </w:pPr>
            <w:r>
              <w:rPr>
                <w:rFonts w:ascii="Arial" w:cs="Arial" w:eastAsia="Arial" w:hAnsi="Arial"/>
                <w:sz w:val="18"/>
                <w:szCs w:val="18"/>
                <w:color w:val="auto"/>
              </w:rPr>
              <w:t>under “Description of the Notes—Guarantee.”</w:t>
            </w:r>
          </w:p>
        </w:tc>
        <w:tc>
          <w:tcPr>
            <w:tcW w:w="2580" w:type="dxa"/>
            <w:vAlign w:val="bottom"/>
          </w:tcPr>
          <w:p>
            <w:pPr>
              <w:spacing w:after="0"/>
              <w:rPr>
                <w:sz w:val="19"/>
                <w:szCs w:val="19"/>
                <w:color w:val="auto"/>
              </w:rPr>
            </w:pPr>
          </w:p>
        </w:tc>
      </w:tr>
      <w:tr>
        <w:trPr>
          <w:trHeight w:val="365"/>
        </w:trPr>
        <w:tc>
          <w:tcPr>
            <w:tcW w:w="3340" w:type="dxa"/>
            <w:vAlign w:val="bottom"/>
          </w:tcPr>
          <w:p>
            <w:pPr>
              <w:spacing w:after="0"/>
              <w:rPr>
                <w:sz w:val="24"/>
                <w:szCs w:val="24"/>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rPr>
              <w:t>The Notes will not be guaranteed by any of the Guarantor’s subsidiaries.</w:t>
            </w:r>
          </w:p>
        </w:tc>
      </w:tr>
      <w:tr>
        <w:trPr>
          <w:trHeight w:val="364"/>
        </w:trPr>
        <w:tc>
          <w:tcPr>
            <w:tcW w:w="3340" w:type="dxa"/>
            <w:vAlign w:val="bottom"/>
          </w:tcPr>
          <w:p>
            <w:pPr>
              <w:ind w:left="180"/>
              <w:spacing w:after="0"/>
              <w:rPr>
                <w:sz w:val="20"/>
                <w:szCs w:val="20"/>
                <w:color w:val="auto"/>
              </w:rPr>
            </w:pPr>
            <w:r>
              <w:rPr>
                <w:rFonts w:ascii="Arial" w:cs="Arial" w:eastAsia="Arial" w:hAnsi="Arial"/>
                <w:sz w:val="18"/>
                <w:szCs w:val="18"/>
                <w:color w:val="auto"/>
              </w:rPr>
              <w:t>Minimum Denomination</w:t>
            </w: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rPr>
              <w:t>U.S.$2,000 and integral multiples of U.S.$1,000 in excess thereof.</w:t>
            </w:r>
          </w:p>
        </w:tc>
      </w:tr>
      <w:tr>
        <w:trPr>
          <w:trHeight w:val="372"/>
        </w:trPr>
        <w:tc>
          <w:tcPr>
            <w:tcW w:w="3340" w:type="dxa"/>
            <w:vAlign w:val="bottom"/>
          </w:tcPr>
          <w:p>
            <w:pPr>
              <w:ind w:left="180"/>
              <w:spacing w:after="0"/>
              <w:rPr>
                <w:sz w:val="20"/>
                <w:szCs w:val="20"/>
                <w:color w:val="auto"/>
              </w:rPr>
            </w:pPr>
            <w:r>
              <w:rPr>
                <w:rFonts w:ascii="Arial" w:cs="Arial" w:eastAsia="Arial" w:hAnsi="Arial"/>
                <w:sz w:val="18"/>
                <w:szCs w:val="18"/>
                <w:color w:val="auto"/>
              </w:rPr>
              <w:t>Optional Redemption</w:t>
            </w: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2"/>
              </w:rPr>
              <w:t>The Company may redeem some or all of the Notes at any time and from time to time at the</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89"/>
              </w:rPr>
              <w:t>redemption prices described in this prospectus supplement plus accrued and unpaid interest to</w:t>
            </w:r>
          </w:p>
        </w:tc>
      </w:tr>
      <w:tr>
        <w:trPr>
          <w:trHeight w:val="222"/>
        </w:trPr>
        <w:tc>
          <w:tcPr>
            <w:tcW w:w="3340" w:type="dxa"/>
            <w:vAlign w:val="bottom"/>
          </w:tcPr>
          <w:p>
            <w:pPr>
              <w:spacing w:after="0"/>
              <w:rPr>
                <w:sz w:val="19"/>
                <w:szCs w:val="19"/>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rPr>
              <w:t>the redemption date. See “Description of the Notes—Optional Redemption.”</w:t>
            </w:r>
          </w:p>
        </w:tc>
      </w:tr>
      <w:tr>
        <w:trPr>
          <w:trHeight w:val="358"/>
        </w:trPr>
        <w:tc>
          <w:tcPr>
            <w:tcW w:w="3340" w:type="dxa"/>
            <w:vAlign w:val="bottom"/>
          </w:tcPr>
          <w:p>
            <w:pPr>
              <w:ind w:left="180"/>
              <w:spacing w:after="0"/>
              <w:rPr>
                <w:sz w:val="20"/>
                <w:szCs w:val="20"/>
                <w:color w:val="auto"/>
              </w:rPr>
            </w:pPr>
            <w:r>
              <w:rPr>
                <w:rFonts w:ascii="Arial" w:cs="Arial" w:eastAsia="Arial" w:hAnsi="Arial"/>
                <w:sz w:val="18"/>
                <w:szCs w:val="18"/>
                <w:color w:val="auto"/>
              </w:rPr>
              <w:t>Optional Tax Redemption</w:t>
            </w: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6"/>
              </w:rPr>
              <w:t>In the event that, as a result of certain tax law changes, the Company (or the Guarantor)</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1"/>
              </w:rPr>
              <w:t>becomes obligated to pay additional amounts as described under “Description of the Notes—</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4"/>
              </w:rPr>
              <w:t>Additional Amounts,” the Company (or the Guarantor) may redeem all of the Notes prior to</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3"/>
              </w:rPr>
              <w:t>maturity at a redemption price equal to 100% of their principal amount plus accrued interest</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3"/>
              </w:rPr>
              <w:t>to the date of redemption as described under “Description of the Notes—Redemption upon</w:t>
            </w:r>
          </w:p>
        </w:tc>
      </w:tr>
      <w:tr>
        <w:trPr>
          <w:trHeight w:val="222"/>
        </w:trPr>
        <w:tc>
          <w:tcPr>
            <w:tcW w:w="3340" w:type="dxa"/>
            <w:vAlign w:val="bottom"/>
          </w:tcPr>
          <w:p>
            <w:pPr>
              <w:spacing w:after="0"/>
              <w:rPr>
                <w:sz w:val="19"/>
                <w:szCs w:val="19"/>
                <w:color w:val="auto"/>
              </w:rPr>
            </w:pPr>
          </w:p>
        </w:tc>
        <w:tc>
          <w:tcPr>
            <w:tcW w:w="2780" w:type="dxa"/>
            <w:vAlign w:val="bottom"/>
            <w:gridSpan w:val="2"/>
          </w:tcPr>
          <w:p>
            <w:pPr>
              <w:ind w:left="880"/>
              <w:spacing w:after="0"/>
              <w:rPr>
                <w:sz w:val="20"/>
                <w:szCs w:val="20"/>
                <w:color w:val="auto"/>
              </w:rPr>
            </w:pPr>
            <w:r>
              <w:rPr>
                <w:rFonts w:ascii="Arial" w:cs="Arial" w:eastAsia="Arial" w:hAnsi="Arial"/>
                <w:sz w:val="18"/>
                <w:szCs w:val="18"/>
                <w:color w:val="auto"/>
              </w:rPr>
              <w:t>Changes in Tax Law.”</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358"/>
        </w:trPr>
        <w:tc>
          <w:tcPr>
            <w:tcW w:w="3340" w:type="dxa"/>
            <w:vAlign w:val="bottom"/>
          </w:tcPr>
          <w:p>
            <w:pPr>
              <w:ind w:left="180"/>
              <w:spacing w:after="0"/>
              <w:rPr>
                <w:sz w:val="20"/>
                <w:szCs w:val="20"/>
                <w:color w:val="auto"/>
              </w:rPr>
            </w:pPr>
            <w:r>
              <w:rPr>
                <w:rFonts w:ascii="Arial" w:cs="Arial" w:eastAsia="Arial" w:hAnsi="Arial"/>
                <w:sz w:val="18"/>
                <w:szCs w:val="18"/>
                <w:color w:val="auto"/>
              </w:rPr>
              <w:t>Payment of Additional Amounts</w:t>
            </w: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3"/>
              </w:rPr>
              <w:t>Any payments made by the Company, or the Guarantor under the Guarantee, will be made</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rPr>
              <w:t>without withholding or deduction for taxes imposed by any jurisdiction in which the</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1"/>
              </w:rPr>
              <w:t>Company or the Guarantor is incorporated, organized or resident for tax purposes or through</w:t>
            </w:r>
          </w:p>
        </w:tc>
      </w:tr>
      <w:tr>
        <w:trPr>
          <w:trHeight w:val="216"/>
        </w:trPr>
        <w:tc>
          <w:tcPr>
            <w:tcW w:w="3340" w:type="dxa"/>
            <w:vAlign w:val="bottom"/>
          </w:tcPr>
          <w:p>
            <w:pPr>
              <w:spacing w:after="0"/>
              <w:rPr>
                <w:sz w:val="18"/>
                <w:szCs w:val="18"/>
                <w:color w:val="auto"/>
              </w:rPr>
            </w:pPr>
          </w:p>
        </w:tc>
        <w:tc>
          <w:tcPr>
            <w:tcW w:w="7680" w:type="dxa"/>
            <w:vAlign w:val="bottom"/>
            <w:gridSpan w:val="6"/>
          </w:tcPr>
          <w:p>
            <w:pPr>
              <w:ind w:left="880"/>
              <w:spacing w:after="0"/>
              <w:rPr>
                <w:sz w:val="20"/>
                <w:szCs w:val="20"/>
                <w:color w:val="auto"/>
              </w:rPr>
            </w:pPr>
            <w:r>
              <w:rPr>
                <w:rFonts w:ascii="Arial" w:cs="Arial" w:eastAsia="Arial" w:hAnsi="Arial"/>
                <w:sz w:val="18"/>
                <w:szCs w:val="18"/>
                <w:color w:val="auto"/>
                <w:w w:val="93"/>
              </w:rPr>
              <w:t>which a payment is made on the Notes on their behalf. If any such withholding or deduction</w:t>
            </w:r>
          </w:p>
        </w:tc>
      </w:tr>
      <w:tr>
        <w:trPr>
          <w:trHeight w:val="221"/>
        </w:trPr>
        <w:tc>
          <w:tcPr>
            <w:tcW w:w="3340" w:type="dxa"/>
            <w:vAlign w:val="bottom"/>
            <w:tcBorders>
              <w:bottom w:val="single" w:sz="8" w:color="auto"/>
            </w:tcBorders>
          </w:tcPr>
          <w:p>
            <w:pPr>
              <w:spacing w:after="0"/>
              <w:rPr>
                <w:sz w:val="19"/>
                <w:szCs w:val="19"/>
                <w:color w:val="auto"/>
              </w:rPr>
            </w:pPr>
          </w:p>
        </w:tc>
        <w:tc>
          <w:tcPr>
            <w:tcW w:w="5100" w:type="dxa"/>
            <w:vAlign w:val="bottom"/>
            <w:tcBorders>
              <w:bottom w:val="single" w:sz="8" w:color="auto"/>
            </w:tcBorders>
            <w:gridSpan w:val="5"/>
          </w:tcPr>
          <w:p>
            <w:pPr>
              <w:ind w:left="880"/>
              <w:spacing w:after="0"/>
              <w:rPr>
                <w:sz w:val="20"/>
                <w:szCs w:val="20"/>
                <w:color w:val="auto"/>
              </w:rPr>
            </w:pPr>
            <w:r>
              <w:rPr>
                <w:rFonts w:ascii="Arial" w:cs="Arial" w:eastAsia="Arial" w:hAnsi="Arial"/>
                <w:sz w:val="18"/>
                <w:szCs w:val="18"/>
                <w:color w:val="auto"/>
              </w:rPr>
              <w:t>is required with respect to Notes, the</w:t>
            </w:r>
          </w:p>
        </w:tc>
        <w:tc>
          <w:tcPr>
            <w:tcW w:w="2580" w:type="dxa"/>
            <w:vAlign w:val="bottom"/>
            <w:tcBorders>
              <w:bottom w:val="single" w:sz="8" w:color="auto"/>
            </w:tcBorders>
          </w:tcPr>
          <w:p>
            <w:pPr>
              <w:spacing w:after="0"/>
              <w:rPr>
                <w:sz w:val="19"/>
                <w:szCs w:val="19"/>
                <w:color w:val="auto"/>
              </w:rPr>
            </w:pPr>
          </w:p>
        </w:tc>
      </w:tr>
      <w:tr>
        <w:trPr>
          <w:trHeight w:val="359"/>
        </w:trPr>
        <w:tc>
          <w:tcPr>
            <w:tcW w:w="3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18"/>
                <w:szCs w:val="18"/>
                <w:color w:val="auto"/>
              </w:rPr>
              <w:t>S-3</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61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Absence of a Public Market for the Notes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Further Issuances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ind w:left="5" w:right="180"/>
        <w:spacing w:after="0" w:line="256" w:lineRule="auto"/>
        <w:rPr>
          <w:sz w:val="20"/>
          <w:szCs w:val="20"/>
          <w:color w:val="auto"/>
        </w:rPr>
      </w:pPr>
      <w:r>
        <w:rPr>
          <w:rFonts w:ascii="Arial" w:cs="Arial" w:eastAsia="Arial" w:hAnsi="Arial"/>
          <w:sz w:val="18"/>
          <w:szCs w:val="18"/>
          <w:color w:val="auto"/>
        </w:rPr>
        <w:t>Company (or the Guarantor, if applicable) will pay, subject to certain exceptions, additional amounts necessary so that the net amount received by the beneficial owners after the withholding is not less than the amount that they would have received in the absence of the withholding.</w:t>
      </w:r>
    </w:p>
    <w:p>
      <w:pPr>
        <w:spacing w:after="0" w:line="143" w:lineRule="exact"/>
        <w:rPr>
          <w:sz w:val="20"/>
          <w:szCs w:val="20"/>
          <w:color w:val="auto"/>
        </w:rPr>
      </w:pPr>
    </w:p>
    <w:p>
      <w:pPr>
        <w:ind w:left="5" w:right="20"/>
        <w:spacing w:after="0" w:line="331" w:lineRule="auto"/>
        <w:rPr>
          <w:sz w:val="20"/>
          <w:szCs w:val="20"/>
          <w:color w:val="auto"/>
        </w:rPr>
      </w:pPr>
      <w:r>
        <w:rPr>
          <w:rFonts w:ascii="Arial" w:cs="Arial" w:eastAsia="Arial" w:hAnsi="Arial"/>
          <w:sz w:val="16"/>
          <w:szCs w:val="16"/>
          <w:color w:val="auto"/>
        </w:rPr>
        <w:t>For more information on additional amounts and the situations in which the Company may be required to pay additional amounts, see “Description of the Notes—Additional Amounts.”</w:t>
      </w:r>
    </w:p>
    <w:p>
      <w:pPr>
        <w:spacing w:after="0" w:line="73" w:lineRule="exact"/>
        <w:rPr>
          <w:sz w:val="20"/>
          <w:szCs w:val="20"/>
          <w:color w:val="auto"/>
        </w:rPr>
      </w:pPr>
    </w:p>
    <w:p>
      <w:pPr>
        <w:ind w:left="5" w:right="660"/>
        <w:spacing w:after="0" w:line="268" w:lineRule="auto"/>
        <w:rPr>
          <w:sz w:val="20"/>
          <w:szCs w:val="20"/>
          <w:color w:val="auto"/>
        </w:rPr>
      </w:pPr>
      <w:r>
        <w:rPr>
          <w:rFonts w:ascii="Arial" w:cs="Arial" w:eastAsia="Arial" w:hAnsi="Arial"/>
          <w:sz w:val="18"/>
          <w:szCs w:val="18"/>
          <w:color w:val="auto"/>
        </w:rPr>
        <w:t>The Notes will rank equally and ratably with all other unsecured and unsubordinated indebtedness of the Company.</w:t>
      </w:r>
    </w:p>
    <w:p>
      <w:pPr>
        <w:spacing w:after="0" w:line="118" w:lineRule="exact"/>
        <w:rPr>
          <w:sz w:val="20"/>
          <w:szCs w:val="20"/>
          <w:color w:val="auto"/>
        </w:rPr>
      </w:pPr>
    </w:p>
    <w:p>
      <w:pPr>
        <w:ind w:left="5" w:right="340"/>
        <w:spacing w:after="0" w:line="268" w:lineRule="auto"/>
        <w:rPr>
          <w:sz w:val="20"/>
          <w:szCs w:val="20"/>
          <w:color w:val="auto"/>
        </w:rPr>
      </w:pPr>
      <w:r>
        <w:rPr>
          <w:rFonts w:ascii="Arial" w:cs="Arial" w:eastAsia="Arial" w:hAnsi="Arial"/>
          <w:sz w:val="18"/>
          <w:szCs w:val="18"/>
          <w:color w:val="auto"/>
        </w:rPr>
        <w:t>The Guarantee will rank equally and ratably with all other unsecured and unsubordinated indebtedness of the Guarantor.</w:t>
      </w:r>
    </w:p>
    <w:p>
      <w:pPr>
        <w:spacing w:after="0" w:line="118" w:lineRule="exact"/>
        <w:rPr>
          <w:sz w:val="20"/>
          <w:szCs w:val="20"/>
          <w:color w:val="auto"/>
        </w:rPr>
      </w:pPr>
    </w:p>
    <w:p>
      <w:pPr>
        <w:ind w:left="5"/>
        <w:spacing w:after="0"/>
        <w:rPr>
          <w:sz w:val="20"/>
          <w:szCs w:val="20"/>
          <w:color w:val="auto"/>
        </w:rPr>
      </w:pPr>
      <w:r>
        <w:rPr>
          <w:rFonts w:ascii="Arial" w:cs="Arial" w:eastAsia="Arial" w:hAnsi="Arial"/>
          <w:sz w:val="18"/>
          <w:szCs w:val="18"/>
          <w:color w:val="auto"/>
        </w:rPr>
        <w:t>See “Description of the Notes—Ranking of the Notes and Guarantee.”</w:t>
      </w:r>
    </w:p>
    <w:p>
      <w:pPr>
        <w:spacing w:after="0" w:line="158" w:lineRule="exact"/>
        <w:rPr>
          <w:sz w:val="20"/>
          <w:szCs w:val="20"/>
          <w:color w:val="auto"/>
        </w:rPr>
      </w:pPr>
    </w:p>
    <w:p>
      <w:pPr>
        <w:ind w:left="5"/>
        <w:spacing w:after="0" w:line="256" w:lineRule="auto"/>
        <w:rPr>
          <w:sz w:val="20"/>
          <w:szCs w:val="20"/>
          <w:color w:val="auto"/>
        </w:rPr>
      </w:pPr>
      <w:r>
        <w:rPr>
          <w:rFonts w:ascii="Arial" w:cs="Arial" w:eastAsia="Arial" w:hAnsi="Arial"/>
          <w:sz w:val="18"/>
          <w:szCs w:val="18"/>
          <w:color w:val="auto"/>
        </w:rPr>
        <w:t>The Company will issue the Notes under an indenture with The Bank of New York Mellon, as trustee, as supplemented by a supplemental indenture (as supplemented, the “Indenture”). The Indenture will, among other things, restrict the ability of the Guarantor, the Company and the Guarantor’s other subsidiaries to:</w:t>
      </w:r>
    </w:p>
    <w:p>
      <w:pPr>
        <w:spacing w:after="0" w:line="48" w:lineRule="exact"/>
        <w:rPr>
          <w:sz w:val="20"/>
          <w:szCs w:val="20"/>
          <w:color w:val="auto"/>
        </w:rPr>
      </w:pPr>
    </w:p>
    <w:p>
      <w:pPr>
        <w:ind w:left="185" w:hanging="185"/>
        <w:spacing w:after="0"/>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indebtedness secured by liens on specified restricted properties; and</w:t>
      </w:r>
    </w:p>
    <w:p>
      <w:pPr>
        <w:spacing w:after="0" w:line="103" w:lineRule="exact"/>
        <w:rPr>
          <w:rFonts w:ascii="Arial" w:cs="Arial" w:eastAsia="Arial" w:hAnsi="Arial"/>
          <w:sz w:val="18"/>
          <w:szCs w:val="18"/>
          <w:color w:val="auto"/>
        </w:rPr>
      </w:pPr>
    </w:p>
    <w:p>
      <w:pPr>
        <w:ind w:left="185" w:hanging="185"/>
        <w:spacing w:after="0"/>
        <w:tabs>
          <w:tab w:leader="none" w:pos="18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 or merge under specific circumstances.</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8"/>
          <w:szCs w:val="18"/>
          <w:color w:val="auto"/>
        </w:rPr>
        <w:t>For more details, see “Description of the Notes—Certain Covenants.”</w:t>
      </w:r>
    </w:p>
    <w:p>
      <w:pPr>
        <w:spacing w:after="0" w:line="158" w:lineRule="exact"/>
        <w:rPr>
          <w:sz w:val="20"/>
          <w:szCs w:val="20"/>
          <w:color w:val="auto"/>
        </w:rPr>
      </w:pPr>
    </w:p>
    <w:p>
      <w:pPr>
        <w:ind w:left="5" w:right="120"/>
        <w:spacing w:after="0" w:line="288" w:lineRule="auto"/>
        <w:rPr>
          <w:sz w:val="20"/>
          <w:szCs w:val="20"/>
          <w:color w:val="auto"/>
        </w:rPr>
      </w:pPr>
      <w:r>
        <w:rPr>
          <w:rFonts w:ascii="Arial" w:cs="Arial" w:eastAsia="Arial" w:hAnsi="Arial"/>
          <w:sz w:val="16"/>
          <w:szCs w:val="16"/>
          <w:color w:val="auto"/>
        </w:rPr>
        <w:t>The net proceeds from the offering will be used to fund a portion of the Tender Offer. To the extent any net proceeds exceed the amount necessary to fund the Tender Offer, we intend to use such remaining net proceeds for general corporate purposes, including the repayment of existing indebtedness. To the extent any of the underwriters or their affiliates hold a portion of the notes subject to the Tender Offer, they may tender such notes pursuant to the terms of the Tender Offer and accordingly may receive or be deemed to receive a portion of the net proceeds from this offering. See “Recent Developments—Tender Offer for the Company’s 3.300% Senior Notes due 2021” and “Use of Proceeds.”</w:t>
      </w:r>
    </w:p>
    <w:p>
      <w:pPr>
        <w:spacing w:after="0" w:line="110" w:lineRule="exact"/>
        <w:rPr>
          <w:sz w:val="20"/>
          <w:szCs w:val="20"/>
          <w:color w:val="auto"/>
        </w:rPr>
      </w:pPr>
    </w:p>
    <w:p>
      <w:pPr>
        <w:ind w:left="5" w:right="120"/>
        <w:spacing w:after="0" w:line="259" w:lineRule="auto"/>
        <w:rPr>
          <w:sz w:val="20"/>
          <w:szCs w:val="20"/>
          <w:color w:val="auto"/>
        </w:rPr>
      </w:pPr>
      <w:r>
        <w:rPr>
          <w:rFonts w:ascii="Arial" w:cs="Arial" w:eastAsia="Arial" w:hAnsi="Arial"/>
          <w:sz w:val="18"/>
          <w:szCs w:val="18"/>
          <w:color w:val="auto"/>
        </w:rPr>
        <w:t>The Notes are new securities and there is currently no existing market for the Notes. Accordingly, there can be no assurances as to the development or liquidity of any market for the Notes.</w:t>
      </w:r>
    </w:p>
    <w:p>
      <w:pPr>
        <w:spacing w:after="0" w:line="126" w:lineRule="exact"/>
        <w:rPr>
          <w:sz w:val="20"/>
          <w:szCs w:val="20"/>
          <w:color w:val="auto"/>
        </w:rPr>
      </w:pPr>
    </w:p>
    <w:p>
      <w:pPr>
        <w:ind w:left="5" w:right="460"/>
        <w:spacing w:after="0" w:line="268" w:lineRule="auto"/>
        <w:rPr>
          <w:sz w:val="20"/>
          <w:szCs w:val="20"/>
          <w:color w:val="auto"/>
        </w:rPr>
      </w:pPr>
      <w:r>
        <w:rPr>
          <w:rFonts w:ascii="Arial" w:cs="Arial" w:eastAsia="Arial" w:hAnsi="Arial"/>
          <w:sz w:val="18"/>
          <w:szCs w:val="18"/>
          <w:color w:val="auto"/>
        </w:rPr>
        <w:t>The Company may, from time to time, without notice to or the consent of the registered holders of the Notes, create and issue</w:t>
      </w:r>
    </w:p>
    <w:p>
      <w:pPr>
        <w:spacing w:after="0" w:line="132" w:lineRule="exact"/>
        <w:rPr>
          <w:sz w:val="20"/>
          <w:szCs w:val="20"/>
          <w:color w:val="auto"/>
        </w:rPr>
      </w:pPr>
    </w:p>
    <w:p>
      <w:pPr>
        <w:sectPr>
          <w:pgSz w:w="11900" w:h="16838" w:orient="portrait"/>
          <w:cols w:equalWidth="0" w:num="2">
            <w:col w:w="3615" w:space="720"/>
            <w:col w:w="6605"/>
          </w:cols>
          <w:pgMar w:left="320" w:top="459" w:right="639" w:bottom="1440" w:gutter="0" w:footer="0" w:header="0"/>
          <w:type w:val="continuous"/>
        </w:sectPr>
      </w:pPr>
    </w:p>
    <w:p>
      <w:pPr>
        <w:jc w:val="center"/>
        <w:ind w:right="-2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0940"/>
          </w:cols>
          <w:pgMar w:left="320" w:top="459" w:right="6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0"/>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additional Notes having the same terms as, and ranking equally and ratably with, any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outstanding Notes in all respects. Such additional Notes will also be fully and unconditionally</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guaranteed by the Guarantor (on the same terms and with the same ranking as the Guarantee</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for the Notes). See “Description of the Notes—Further Issuances.”</w:t>
            </w:r>
          </w:p>
        </w:tc>
      </w:tr>
      <w:tr>
        <w:trPr>
          <w:trHeight w:val="372"/>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Assumption by a Subsidiary</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Any subsidiary of the Guarantor may, at its option, assume the obligations of the Company as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4"/>
              </w:rPr>
              <w:t>the issuer of the Notes and the Company will be released from its liability as obligor under</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Notes. See “Description of the Notes—Assumption by a Subsidiary.”</w:t>
            </w:r>
          </w:p>
        </w:tc>
      </w:tr>
      <w:tr>
        <w:trPr>
          <w:trHeight w:val="3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The Indenture, including the Guarantee contained therein, and the Notes shall be governed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by, and construed in accordance with, the laws of the State of New York. The application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the provisions of articles 470-1 to 470-19 (inclusive) of the Luxembourg law of 10 August</w:t>
            </w:r>
          </w:p>
        </w:tc>
      </w:tr>
      <w:tr>
        <w:trPr>
          <w:trHeight w:val="222"/>
        </w:trPr>
        <w:tc>
          <w:tcPr>
            <w:tcW w:w="4040" w:type="dxa"/>
            <w:vAlign w:val="bottom"/>
            <w:tcBorders>
              <w:left w:val="single" w:sz="8" w:color="auto"/>
            </w:tcBorders>
          </w:tcPr>
          <w:p>
            <w:pPr>
              <w:spacing w:after="0"/>
              <w:rPr>
                <w:sz w:val="19"/>
                <w:szCs w:val="19"/>
                <w:color w:val="auto"/>
              </w:rPr>
            </w:pPr>
          </w:p>
        </w:tc>
        <w:tc>
          <w:tcPr>
            <w:tcW w:w="69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1915 on commercial companies, as amended, is hereby expressly excluded.</w:t>
            </w:r>
          </w:p>
        </w:tc>
      </w:tr>
      <w:tr>
        <w:trPr>
          <w:trHeight w:val="377"/>
        </w:trPr>
        <w:tc>
          <w:tcPr>
            <w:tcW w:w="404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1"/>
              </w:rPr>
              <w:t>Trustee, Registrar, Paying Agent and Transfer Agent</w:t>
            </w:r>
          </w:p>
        </w:tc>
        <w:tc>
          <w:tcPr>
            <w:tcW w:w="6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Bank of New York Mellon.</w:t>
            </w:r>
          </w:p>
        </w:tc>
      </w:tr>
      <w:tr>
        <w:trPr>
          <w:trHeight w:val="359"/>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i w:val="1"/>
          <w:iCs w:val="1"/>
          <w:color w:val="auto"/>
        </w:rPr>
        <w:t>You should carefully consider the risks described below and in the documents incorporated by reference in this prospectus supplement and the accompanying prospectus, including the “Management’s Discussion and Analysis of Financial Condition and Results of Operations” and “Risk Factors” sections of the Guarantor’s Annual Report on Form 10-K for the fiscal year ended December 31, 2019 and its Quarterly Report on Form 10-Q for the quarterly period ended March 31, 2020, including the risk factor disclosed in Item 8.01 of the Guarantor’s Current Report on Form 8-K filed on April 17, 2020, before making a decision to invest in the Notes. If any of the matters included in the “Risk Factors” sections were to occur, the Schlumberger Group’s business, properties, assets, financial condition, results of operations, cash flows or prospects could be materially adversely affected. Additional risks and uncertainties not currently known to the Schlumberger Group or that the Schlumberger Group currently deems immaterial may also adversely affect the Schlumberger Group’s business, reputation, financial condition, results of operations, cash flows and prospects.</w:t>
      </w:r>
    </w:p>
    <w:p>
      <w:pPr>
        <w:spacing w:after="0" w:line="104"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3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30"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9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124" w:lineRule="exact"/>
        <w:rPr>
          <w:sz w:val="20"/>
          <w:szCs w:val="20"/>
          <w:color w:val="auto"/>
        </w:rPr>
      </w:pPr>
    </w:p>
    <w:p>
      <w:pPr>
        <w:ind w:left="120" w:right="520"/>
        <w:spacing w:after="0" w:line="275" w:lineRule="auto"/>
        <w:rPr>
          <w:sz w:val="20"/>
          <w:szCs w:val="20"/>
          <w:color w:val="auto"/>
        </w:rPr>
      </w:pPr>
      <w:r>
        <w:rPr>
          <w:rFonts w:ascii="Arial" w:cs="Arial" w:eastAsia="Arial" w:hAnsi="Arial"/>
          <w:sz w:val="18"/>
          <w:szCs w:val="18"/>
          <w:b w:val="1"/>
          <w:bCs w:val="1"/>
          <w:color w:val="auto"/>
        </w:rPr>
        <w:t>The Company’s and the Guarantor’s ability to service their debt depends on the Schlumberger Group’s future performance, which may not generate cash required to service their debt.</w:t>
      </w:r>
    </w:p>
    <w:p>
      <w:pPr>
        <w:spacing w:after="0" w:line="3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Company’s ability to make scheduled payments on the Notes depends on the Schlumberger Group’s future operating and financial performance and ability to generate cash. This will be affected by the Schlumberger Group’s ability to successfully implement its business strategy, as well as by general economic, financial, competitive, regulatory, technical and other factors beyond its control. If the Schlumberger Group cannot generate sufficient cash to meet its debt service obligations or fund its other business needs, the Company or the Guarantor may, among other things, need to refinance all or a portion of its obligations, including the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auto"/>
        </w:rPr>
        <w:t>Notes or the Guarantee, obtain additional financing, delay planned acquisitions or capital expenditures, or sell assets. No assurance can be given that the Company or the Guarantor will be able to generate sufficient cash through any of the foregoing. If the Company and the Guarantor are not able to refinance any of their debt, obtain additional financing or sell assets on commercially reasonable terms or at all, they may not be able to satisfy their obligations with respect to their debt, including the Notes and the Guarantee.</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and the Guarantee will be subordinated to any secured indebtedness of the Company and the Guarantor.</w:t>
      </w:r>
    </w:p>
    <w:p>
      <w:pPr>
        <w:spacing w:after="0" w:line="8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Notes will be unsecured and unsubordinated obligations of the Company and will rank pari passu in right of payment with all other existing and future unsecured and unsubordinated indebtedness of the Company and senior in right of payment to all subordinated indebtedness of the Company, if any. The Guarantee will be the unsecured and unsubordinated obligation of the Guarantor and will rank pari passu in right of payment to all other existing and future unsecured and unsubordinated indebtedness of the Guarantor, and senior in right of payment to all subordinated indebtedness of the Guarantor, if any. However, the Notes and the Guarantee will be effectively subordinated to any secured obligations of the Company and the Guarantor to the extent of the assets serving as security therefor. In bankruptcy, the holder of a security interest with respect to any assets of the Company or the Guarantor would be entitled to have the proceeds of such assets applied to the payment of such holder’s claim before the remaining proceeds, if any, are applied to the claims of the holders of the Notes.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Guarantee and the Notes will be structurally subordinated to the obligations of the Guarantor’s subsidiaries other than the Company.</w:t>
      </w:r>
    </w:p>
    <w:p>
      <w:pPr>
        <w:spacing w:after="0" w:line="10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Guarantor currently conducts its operations through its subsidiaries. The Company currently has no subsidiaries, and its principal activities are debt issuance and intercompany group financing. Accordingly, the Guarantor’s ability to meet its obligations, including payment of principal and interest (including any additional amounts), on the Guarantee, depends on earnings and cash flows of its subsidiaries and the ability of its subsidiaries to pay dividends or advance or repay funds to it. In addition, any of the Guarantor’s rights (including the rights of the holders of the Notes) to participate in the assets of any of its subsidiaries (other than the Company) upon any liquidation or reorganization of any such subsidiary will be subject to the prior claims of that subsidiary’s creditors (except to the extent that the Guarantor may itself be a creditor of that subsidiary), including that subsidiary’s trade creditors and the Guarantor’s creditors who have obtained guarantees from such subsidiaries.</w:t>
      </w:r>
    </w:p>
    <w:p>
      <w:pPr>
        <w:spacing w:after="0" w:line="10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As a result, the Guarantee will be structurally subordinated to the obligations and liabilities of all of the Guarantor’s subsidiaries (other than the Company’s obligations and liabilities with respect to the Notes). As of March 31, 2020, the Guarantor had accounts payable and accrued liabilities of approximately U.S.$10.2 billion. In addition, the Indenture governing the Notes will permit the Guarantor’s subsidiaries, including the Company, to incur additional indebtedness, including an unlimited amount of unsecured indebtedness and will not contain any limitation on the amount of other liabilities, such as trade payables, that may be incurred by its subsidiaries.</w:t>
      </w:r>
    </w:p>
    <w:p>
      <w:pPr>
        <w:spacing w:after="0" w:line="96" w:lineRule="exact"/>
        <w:rPr>
          <w:sz w:val="20"/>
          <w:szCs w:val="20"/>
          <w:color w:val="auto"/>
        </w:rPr>
      </w:pPr>
    </w:p>
    <w:p>
      <w:pPr>
        <w:ind w:left="120" w:right="100"/>
        <w:spacing w:after="0" w:line="275" w:lineRule="auto"/>
        <w:rPr>
          <w:sz w:val="20"/>
          <w:szCs w:val="20"/>
          <w:color w:val="auto"/>
        </w:rPr>
      </w:pPr>
      <w:r>
        <w:rPr>
          <w:rFonts w:ascii="Arial" w:cs="Arial" w:eastAsia="Arial" w:hAnsi="Arial"/>
          <w:sz w:val="18"/>
          <w:szCs w:val="18"/>
          <w:b w:val="1"/>
          <w:bCs w:val="1"/>
          <w:color w:val="auto"/>
        </w:rPr>
        <w:t>There is currently no trading market for the Notes and an active trading market for the Notes may not develop, in which case you may not be able to resell the Notes.</w:t>
      </w:r>
    </w:p>
    <w:p>
      <w:pPr>
        <w:spacing w:after="0" w:line="3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There is no existing trading market for the Notes and we do not intend to list them on any securities exchange or automated quotation system. As a result, an active or liquid trading market for the Notes may not develop, or if one does develop, it may not be sustained. Future liquidity will depend on, among other things, the number of holders of the Notes, our and the Guarantor’s financial performance, the market for similar securities and the interest of securities dealers in making a market in the Notes. In addition, changes in the overall market for investment grade securities and changes in our or the Guarantor’s financial performance or in the markets where we operate may adversely affect the liquidity of the trading market in the Notes and the market price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40"/>
        <w:spacing w:after="0" w:line="268" w:lineRule="auto"/>
        <w:rPr>
          <w:sz w:val="20"/>
          <w:szCs w:val="20"/>
          <w:color w:val="auto"/>
        </w:rPr>
      </w:pPr>
      <w:r>
        <w:rPr>
          <w:rFonts w:ascii="Arial" w:cs="Arial" w:eastAsia="Arial" w:hAnsi="Arial"/>
          <w:sz w:val="18"/>
          <w:szCs w:val="18"/>
          <w:color w:val="auto"/>
        </w:rPr>
        <w:t>quoted for the Notes. The market, if any, for the Notes may be subject to disruptions that may cause substantial volatility in their prices. Any disruptions may have an adverse effect on the holders of the Notes.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may be unable to recover in civil proceedings for U.S. securities laws violations.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Company is organized under the laws of Luxembourg and does not have any assets in the United States. It is anticipated that some or all of the directors and executive officers of the Company will be nonresidents of the United States and that all or a majority of their assets will be located outside the United States. As a result, it may not be possible for investors to effect service of process within the United States upon the Company or its directors and executive officers, or to enforce any judgments obtained in U.S. courts predicated upon civil liability provisions of the U.S. securities laws. In addition, the Company cannot assure you that civil liabilities predicated upon the federal securities laws of the United States will be enforceable in Luxembourg.</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We estimate that the net proceeds (after deducting the underwriting discount and the estimated expenses of the offering payable by us) from the sale</w:t>
      </w:r>
    </w:p>
    <w:p>
      <w:pPr>
        <w:spacing w:after="0" w:line="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the Notes will be approximately U.S.$ . The net proceeds from the offering will be used to fund a portion of the Tender Offer. To the extent any net proceeds exceed the amount necessary to fund the Tender Offer, we intend to use such remaining net proceeds for general corporate purposes, including the repayment of existing indebtedness.</w:t>
      </w:r>
    </w:p>
    <w:p>
      <w:pPr>
        <w:spacing w:after="0" w:line="13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June 17, 2020, there was $1,600,000,000 aggregate principal amount of the 2021 Notes outstanding. To the extent any of the underwriters or their affiliates hold a portion of the notes subject to the Tender Offer, they may tender such notes pursuant to the terms of the Tender Offer and accordingly may receive or be deemed to receive a portion of the net proceeds from this offering.</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Guarantor’s and its consolidated subsidiaries’ unaudited capitalization as of March 31, 2020:</w:t>
      </w:r>
    </w:p>
    <w:p>
      <w:pPr>
        <w:spacing w:after="0" w:line="77" w:lineRule="exact"/>
        <w:rPr>
          <w:sz w:val="20"/>
          <w:szCs w:val="20"/>
          <w:color w:val="auto"/>
        </w:rPr>
      </w:pPr>
    </w:p>
    <w:p>
      <w:pPr>
        <w:ind w:left="760" w:hanging="21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760" w:right="340" w:hanging="212"/>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adjusted to give effect to the sale of €1,000,000,000 1.375% Guaranteed Notes due 2026 and €1,000,000,000 2.000% Guaranteed Notes due 2032 issued by Schlumberger Finance B.V. and guaranteed by Schlumberger Limited in May 2020 (based on an exchange rate of US$1.00 to €0.9065 as of March 31, 2020); and</w:t>
      </w:r>
    </w:p>
    <w:p>
      <w:pPr>
        <w:spacing w:after="0" w:line="45" w:lineRule="exact"/>
        <w:rPr>
          <w:rFonts w:ascii="Arial" w:cs="Arial" w:eastAsia="Arial" w:hAnsi="Arial"/>
          <w:sz w:val="18"/>
          <w:szCs w:val="18"/>
          <w:color w:val="auto"/>
        </w:rPr>
      </w:pPr>
    </w:p>
    <w:p>
      <w:pPr>
        <w:ind w:left="760" w:right="40" w:hanging="212"/>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further adjusted to give effect to (i) the sale of the Notes in this offering and (ii) the use of the net proceeds from this offering, together with cash on hand to finance the Tender Offer as set forth under “Use of Proceeds.”</w:t>
      </w:r>
    </w:p>
    <w:p>
      <w:pPr>
        <w:spacing w:after="0" w:line="118" w:lineRule="exact"/>
        <w:rPr>
          <w:sz w:val="20"/>
          <w:szCs w:val="20"/>
          <w:color w:val="auto"/>
        </w:rPr>
      </w:pPr>
    </w:p>
    <w:p>
      <w:pPr>
        <w:ind w:left="120" w:right="240" w:firstLine="440"/>
        <w:spacing w:after="0" w:line="306" w:lineRule="auto"/>
        <w:rPr>
          <w:sz w:val="20"/>
          <w:szCs w:val="20"/>
          <w:color w:val="auto"/>
        </w:rPr>
      </w:pPr>
      <w:r>
        <w:rPr>
          <w:rFonts w:ascii="Arial" w:cs="Arial" w:eastAsia="Arial" w:hAnsi="Arial"/>
          <w:sz w:val="16"/>
          <w:szCs w:val="16"/>
          <w:color w:val="auto"/>
        </w:rPr>
        <w:t>This table should be read in conjunction with the Guarantor’s and its consolidated subsidiaries’ unaudited consolidated financial statements and the related notes as reported in the Guarantor’s Quarterly Report on Form 10-Q for the quarterly period ended March 31, 2020, which is incorporated by reference in this prospectus supplement and accompanying prospectus. See “Incorporation of Documents by Reference.”</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left="122"/>
              <w:spacing w:after="0"/>
              <w:rPr>
                <w:sz w:val="20"/>
                <w:szCs w:val="20"/>
                <w:color w:val="auto"/>
              </w:rPr>
            </w:pPr>
            <w:r>
              <w:rPr>
                <w:rFonts w:ascii="Arial" w:cs="Arial" w:eastAsia="Arial" w:hAnsi="Arial"/>
                <w:sz w:val="13"/>
                <w:szCs w:val="13"/>
                <w:b w:val="1"/>
                <w:bCs w:val="1"/>
                <w:color w:val="auto"/>
                <w:w w:val="94"/>
              </w:rPr>
              <w:t>As of March 31, 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2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As Further</w:t>
            </w:r>
          </w:p>
        </w:tc>
        <w:tc>
          <w:tcPr>
            <w:tcW w:w="60" w:type="dxa"/>
            <w:vAlign w:val="bottom"/>
          </w:tcPr>
          <w:p>
            <w:pPr>
              <w:spacing w:after="0"/>
              <w:rPr>
                <w:sz w:val="11"/>
                <w:szCs w:val="11"/>
                <w:color w:val="auto"/>
              </w:rPr>
            </w:pPr>
          </w:p>
        </w:tc>
      </w:tr>
      <w:tr>
        <w:trPr>
          <w:trHeight w:val="161"/>
        </w:trPr>
        <w:tc>
          <w:tcPr>
            <w:tcW w:w="1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3"/>
                <w:szCs w:val="13"/>
                <w:b w:val="1"/>
                <w:bCs w:val="1"/>
                <w:color w:val="auto"/>
                <w:w w:val="95"/>
              </w:rPr>
              <w:t>Actual</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As Adjusted</w:t>
            </w:r>
          </w:p>
        </w:tc>
        <w:tc>
          <w:tcPr>
            <w:tcW w:w="8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Adjusted(a)</w:t>
            </w:r>
          </w:p>
        </w:tc>
      </w:tr>
      <w:tr>
        <w:trPr>
          <w:trHeight w:val="142"/>
        </w:trPr>
        <w:tc>
          <w:tcPr>
            <w:tcW w:w="12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ind w:left="102"/>
              <w:spacing w:after="0" w:line="142" w:lineRule="exact"/>
              <w:rPr>
                <w:sz w:val="20"/>
                <w:szCs w:val="20"/>
                <w:color w:val="auto"/>
              </w:rPr>
            </w:pPr>
            <w:r>
              <w:rPr>
                <w:rFonts w:ascii="Arial" w:cs="Arial" w:eastAsia="Arial" w:hAnsi="Arial"/>
                <w:sz w:val="13"/>
                <w:szCs w:val="13"/>
                <w:b w:val="1"/>
                <w:bCs w:val="1"/>
                <w:color w:val="auto"/>
                <w:w w:val="93"/>
              </w:rPr>
              <w:t>(dollars in millions)</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Short term borrowings and 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1,233</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1,233</w:t>
            </w:r>
          </w:p>
        </w:tc>
        <w:tc>
          <w:tcPr>
            <w:tcW w:w="40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1,233</w:t>
            </w:r>
          </w:p>
        </w:tc>
      </w:tr>
      <w:tr>
        <w:trPr>
          <w:trHeight w:val="216"/>
        </w:trPr>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15,409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17,165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Notes offered hereby</w:t>
            </w:r>
          </w:p>
        </w:tc>
        <w:tc>
          <w:tcPr>
            <w:tcW w:w="8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16,642</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18,848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Schlumberger Limited stockholders’ equity</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15,561</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15,561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15,561</w:t>
            </w:r>
          </w:p>
        </w:tc>
        <w:tc>
          <w:tcPr>
            <w:tcW w:w="60" w:type="dxa"/>
            <w:vAlign w:val="bottom"/>
          </w:tcPr>
          <w:p>
            <w:pPr>
              <w:spacing w:after="0"/>
              <w:rPr>
                <w:sz w:val="19"/>
                <w:szCs w:val="19"/>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32,203</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34,409</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540" w:right="20" w:hanging="424"/>
        <w:spacing w:after="0" w:line="256"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that $1,600,000,000 aggregate principal amount of the 2021 Notes are tendered and accepted for purchase in the Tender Offer, which assumption does not reflect the total consideration amount to be paid in the Tender Offer to purchase the 2021 Notes or any accrued and unpaid interest on the 2021 Notes. There can be no assurance as to the principal amount of 2021 Notes that will be tendered or accepted for purchase pursuant to the Tender Offer.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THE NOTES</w:t>
      </w:r>
    </w:p>
    <w:p>
      <w:pPr>
        <w:spacing w:after="0" w:line="164" w:lineRule="exact"/>
        <w:rPr>
          <w:sz w:val="20"/>
          <w:szCs w:val="20"/>
          <w:color w:val="auto"/>
        </w:rPr>
      </w:pPr>
    </w:p>
    <w:p>
      <w:pPr>
        <w:ind w:left="560"/>
        <w:spacing w:after="0"/>
        <w:tabs>
          <w:tab w:leader="none" w:pos="5820" w:val="left"/>
          <w:tab w:leader="none" w:pos="8160" w:val="left"/>
        </w:tabs>
        <w:rPr>
          <w:sz w:val="20"/>
          <w:szCs w:val="20"/>
          <w:color w:val="auto"/>
        </w:rPr>
      </w:pPr>
      <w:r>
        <w:rPr>
          <w:rFonts w:ascii="Arial" w:cs="Arial" w:eastAsia="Arial" w:hAnsi="Arial"/>
          <w:sz w:val="18"/>
          <w:szCs w:val="18"/>
          <w:color w:val="auto"/>
        </w:rPr>
        <w:t>Schlumberger Investment SA (the “Company”) is offering U.S.$</w:t>
      </w:r>
      <w:r>
        <w:rPr>
          <w:sz w:val="20"/>
          <w:szCs w:val="20"/>
          <w:color w:val="auto"/>
        </w:rPr>
        <w:tab/>
      </w:r>
      <w:r>
        <w:rPr>
          <w:rFonts w:ascii="Arial" w:cs="Arial" w:eastAsia="Arial" w:hAnsi="Arial"/>
          <w:sz w:val="18"/>
          <w:szCs w:val="18"/>
          <w:color w:val="auto"/>
        </w:rPr>
        <w:t>principal amount of its</w:t>
      </w:r>
      <w:r>
        <w:rPr>
          <w:sz w:val="20"/>
          <w:szCs w:val="20"/>
          <w:color w:val="auto"/>
        </w:rPr>
        <w:tab/>
      </w:r>
      <w:r>
        <w:rPr>
          <w:rFonts w:ascii="Arial" w:cs="Arial" w:eastAsia="Arial" w:hAnsi="Arial"/>
          <w:sz w:val="16"/>
          <w:szCs w:val="16"/>
          <w:color w:val="auto"/>
        </w:rPr>
        <w:t>% Senior Notes due 2030 (the “Notes”).</w:t>
      </w:r>
    </w:p>
    <w:p>
      <w:pPr>
        <w:spacing w:after="0" w:line="15" w:lineRule="exact"/>
        <w:rPr>
          <w:sz w:val="20"/>
          <w:szCs w:val="20"/>
          <w:color w:val="auto"/>
        </w:rPr>
      </w:pPr>
    </w:p>
    <w:p>
      <w:pPr>
        <w:ind w:left="120" w:right="180"/>
        <w:spacing w:after="0" w:line="315" w:lineRule="auto"/>
        <w:rPr>
          <w:sz w:val="20"/>
          <w:szCs w:val="20"/>
          <w:color w:val="auto"/>
        </w:rPr>
      </w:pPr>
      <w:r>
        <w:rPr>
          <w:rFonts w:ascii="Arial" w:cs="Arial" w:eastAsia="Arial" w:hAnsi="Arial"/>
          <w:sz w:val="15"/>
          <w:szCs w:val="15"/>
          <w:color w:val="auto"/>
        </w:rPr>
        <w:t>The Notes are to be issued under an indenture, dated December 3, 2013, as supplemented by a supplemental indenture to be dated as of the closing date of this offering (as supplemented, the “Indenture”), among the Company, Schlumberger Limited, as guarantor (the “Guarantor”), and The Bank of New York Mellon, as trustee (the “Trustee”). When we refer to the Indenture, we are referring to such indenture, as so supplemented, unless the context requires otherwise. The Guarantor will fully and unconditionally guarantee the Notes under a guarantee contained in the Indenture (the “Guarantee”). The terms of the Notes include those stated in the Indenture. Copies of the Indenture are available as set forth under “Where You Can Find More Information.”</w:t>
      </w:r>
    </w:p>
    <w:p>
      <w:pPr>
        <w:spacing w:after="0" w:line="9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Indenture does not limit the amount of debt that may be issued thereunder. The Company may issue debt securities from time to time under the Indenture in separate series (each, a “series”), each up to the aggregate principal amount authorized by the Company for such series. The Notes will constitute a single series of debt securities under the Indenture.</w:t>
      </w:r>
    </w:p>
    <w:p>
      <w:pPr>
        <w:spacing w:after="0" w:line="126"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As used in this “Description of the Notes,” the terms “we,” “us” and “our” and similar expressions refer to the Company; and the terms “Guarantor” and “Schlumberger Limited” refer to our parent company, Schlumberger Limited, and not to any of its subsidiaries, in each case unless otherwise stated or the context otherwise requires.</w:t>
      </w:r>
    </w:p>
    <w:p>
      <w:pPr>
        <w:spacing w:after="0" w:line="126"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The following description is a summary of the material provisions of the Indenture. It does not restate the Indenture in its entirety. We urge you to read the Indenture because it, and not this description, defines your rights as holders of the Notes. Certain defined terms used in this description but not defined below have the meanings assigned to them in the Indenture.</w:t>
      </w:r>
    </w:p>
    <w:p>
      <w:pPr>
        <w:spacing w:after="0" w:line="126" w:lineRule="exact"/>
        <w:rPr>
          <w:sz w:val="20"/>
          <w:szCs w:val="20"/>
          <w:color w:val="auto"/>
        </w:rPr>
      </w:pPr>
    </w:p>
    <w:p>
      <w:pPr>
        <w:ind w:left="120" w:right="580" w:firstLine="440"/>
        <w:spacing w:after="0" w:line="375" w:lineRule="auto"/>
        <w:rPr>
          <w:sz w:val="20"/>
          <w:szCs w:val="20"/>
          <w:color w:val="auto"/>
        </w:rPr>
      </w:pPr>
      <w:r>
        <w:rPr>
          <w:rFonts w:ascii="Arial" w:cs="Arial" w:eastAsia="Arial" w:hAnsi="Arial"/>
          <w:sz w:val="18"/>
          <w:szCs w:val="18"/>
          <w:color w:val="auto"/>
        </w:rPr>
        <w:t xml:space="preserve">The registered holder of a Note will be treated as the owner of it for all purposes. Only registered holders will have rights under the Indenture. </w:t>
      </w:r>
      <w:r>
        <w:rPr>
          <w:rFonts w:ascii="Arial" w:cs="Arial" w:eastAsia="Arial" w:hAnsi="Arial"/>
          <w:sz w:val="18"/>
          <w:szCs w:val="18"/>
          <w:b w:val="1"/>
          <w:bCs w:val="1"/>
          <w:color w:val="auto"/>
        </w:rPr>
        <w:t>General</w:t>
      </w:r>
    </w:p>
    <w:p>
      <w:pPr>
        <w:spacing w:after="0" w:line="1" w:lineRule="exact"/>
        <w:rPr>
          <w:sz w:val="20"/>
          <w:szCs w:val="20"/>
          <w:color w:val="auto"/>
        </w:rPr>
      </w:pPr>
    </w:p>
    <w:p>
      <w:pPr>
        <w:ind w:left="560"/>
        <w:spacing w:after="0"/>
        <w:tabs>
          <w:tab w:leader="none" w:pos="6460" w:val="left"/>
          <w:tab w:leader="none" w:pos="8520" w:val="left"/>
        </w:tabs>
        <w:rPr>
          <w:sz w:val="20"/>
          <w:szCs w:val="20"/>
          <w:color w:val="auto"/>
        </w:rPr>
      </w:pPr>
      <w:r>
        <w:rPr>
          <w:rFonts w:ascii="Arial" w:cs="Arial" w:eastAsia="Arial" w:hAnsi="Arial"/>
          <w:sz w:val="18"/>
          <w:szCs w:val="18"/>
          <w:color w:val="auto"/>
        </w:rPr>
        <w:t>The Notes are initially issuable in an aggregate principal amount of U.S.$</w:t>
      </w:r>
      <w:r>
        <w:rPr>
          <w:sz w:val="20"/>
          <w:szCs w:val="20"/>
          <w:color w:val="auto"/>
        </w:rPr>
        <w:tab/>
      </w:r>
      <w:r>
        <w:rPr>
          <w:rFonts w:ascii="Arial" w:cs="Arial" w:eastAsia="Arial" w:hAnsi="Arial"/>
          <w:sz w:val="18"/>
          <w:szCs w:val="18"/>
          <w:color w:val="auto"/>
        </w:rPr>
        <w:t>and will mature on</w:t>
      </w:r>
      <w:r>
        <w:rPr>
          <w:sz w:val="20"/>
          <w:szCs w:val="20"/>
          <w:color w:val="auto"/>
        </w:rPr>
        <w:tab/>
      </w:r>
      <w:r>
        <w:rPr>
          <w:rFonts w:ascii="Arial" w:cs="Arial" w:eastAsia="Arial" w:hAnsi="Arial"/>
          <w:sz w:val="16"/>
          <w:szCs w:val="16"/>
          <w:color w:val="auto"/>
        </w:rPr>
        <w:t>, 2030. Interest on the Notes will be</w:t>
      </w:r>
    </w:p>
    <w:p>
      <w:pPr>
        <w:spacing w:after="0" w:line="15" w:lineRule="exact"/>
        <w:rPr>
          <w:sz w:val="20"/>
          <w:szCs w:val="20"/>
          <w:color w:val="auto"/>
        </w:rPr>
      </w:pPr>
    </w:p>
    <w:p>
      <w:pPr>
        <w:ind w:left="120" w:right="100"/>
        <w:spacing w:after="0" w:line="292" w:lineRule="auto"/>
        <w:rPr>
          <w:sz w:val="20"/>
          <w:szCs w:val="20"/>
          <w:color w:val="auto"/>
        </w:rPr>
      </w:pPr>
      <w:r>
        <w:rPr>
          <w:rFonts w:ascii="Arial" w:cs="Arial" w:eastAsia="Arial" w:hAnsi="Arial"/>
          <w:sz w:val="16"/>
          <w:szCs w:val="16"/>
          <w:color w:val="auto"/>
        </w:rPr>
        <w:t>payable in U.S. dollars at the office of the Paying Agent in the Borough of Manhattan, the City of New York, New York,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 Interest will be calculated on the basis of a 360-day year consisting of twelve 30-day months. At final maturity, 100% of the principal amount of the Notes then maturing will be due and payable, plus accrued and unpaid interest to the applicable maturity date.</w:t>
      </w:r>
    </w:p>
    <w:p>
      <w:pPr>
        <w:spacing w:after="0" w:line="10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Company may create and issue additional Notes under the Indenture with the same terms as the Notes offered hereby (other than the date of issuance and in certain circumstances the date from which interest thereon will begin to accrue). The Notes issued by the Company and any additional Notes subsequently issued by the Company under the Indenture will be treated as a single class for all purposes under the Indenture, including, without limitation, waivers, amendments and redemptions. See “—Further Issuances.”</w:t>
      </w:r>
    </w:p>
    <w:p>
      <w:pPr>
        <w:spacing w:after="0" w:line="129" w:lineRule="exact"/>
        <w:rPr>
          <w:sz w:val="20"/>
          <w:szCs w:val="20"/>
          <w:color w:val="auto"/>
        </w:rPr>
      </w:pPr>
    </w:p>
    <w:p>
      <w:pPr>
        <w:ind w:left="120" w:right="400" w:firstLine="440"/>
        <w:spacing w:after="0" w:line="268" w:lineRule="auto"/>
        <w:rPr>
          <w:sz w:val="20"/>
          <w:szCs w:val="20"/>
          <w:color w:val="auto"/>
        </w:rPr>
      </w:pPr>
      <w:r>
        <w:rPr>
          <w:rFonts w:ascii="Arial" w:cs="Arial" w:eastAsia="Arial" w:hAnsi="Arial"/>
          <w:sz w:val="18"/>
          <w:szCs w:val="18"/>
          <w:color w:val="auto"/>
        </w:rPr>
        <w:t>The Notes will be issued only in registered form without interest coupons, in minimum denominations of U.S.$2,000 and in integral multiples of U.S.$1,000 in excess thereof.</w:t>
      </w:r>
    </w:p>
    <w:p>
      <w:pPr>
        <w:sectPr>
          <w:pgSz w:w="11900" w:h="16838" w:orient="portrait"/>
          <w:cols w:equalWidth="0" w:num="1">
            <w:col w:w="11120"/>
          </w:cols>
          <w:pgMar w:left="320" w:top="459" w:right="459" w:bottom="1440" w:gutter="0" w:footer="0" w:header="0"/>
        </w:sectPr>
      </w:pPr>
    </w:p>
    <w:p>
      <w:pPr>
        <w:spacing w:after="0" w:line="3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The Notes will bear interest at</w:t>
      </w:r>
      <w:r>
        <w:rPr>
          <w:sz w:val="20"/>
          <w:szCs w:val="20"/>
          <w:color w:val="auto"/>
        </w:rPr>
        <w:tab/>
      </w:r>
      <w:r>
        <w:rPr>
          <w:rFonts w:ascii="Arial" w:cs="Arial" w:eastAsia="Arial" w:hAnsi="Arial"/>
          <w:sz w:val="15"/>
          <w:szCs w:val="15"/>
          <w:color w:val="auto"/>
        </w:rPr>
        <w:t>% per annum. Interest on the Notes will accrue from</w:t>
      </w:r>
    </w:p>
    <w:p>
      <w:pPr>
        <w:spacing w:after="0" w:line="15" w:lineRule="exact"/>
        <w:rPr>
          <w:sz w:val="20"/>
          <w:szCs w:val="20"/>
          <w:color w:val="auto"/>
        </w:rPr>
      </w:pPr>
    </w:p>
    <w:p>
      <w:pPr>
        <w:ind w:left="480"/>
        <w:spacing w:after="0"/>
        <w:tabs>
          <w:tab w:leader="none" w:pos="1500" w:val="left"/>
          <w:tab w:leader="none" w:pos="410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2020 and will be payable by the Company</w:t>
      </w:r>
    </w:p>
    <w:p>
      <w:pPr>
        <w:spacing w:after="0" w:line="396" w:lineRule="exact"/>
        <w:rPr>
          <w:sz w:val="20"/>
          <w:szCs w:val="20"/>
          <w:color w:val="auto"/>
        </w:rPr>
      </w:pPr>
    </w:p>
    <w:p>
      <w:pPr>
        <w:sectPr>
          <w:pgSz w:w="11900" w:h="16838" w:orient="portrait"/>
          <w:cols w:equalWidth="0" w:num="3">
            <w:col w:w="300" w:space="260"/>
            <w:col w:w="6540" w:space="700"/>
            <w:col w:w="332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S-11</w:t>
      </w:r>
    </w:p>
    <w:p>
      <w:pPr>
        <w:sectPr>
          <w:pgSz w:w="11900" w:h="16838" w:orient="portrait"/>
          <w:cols w:equalWidth="0" w:num="1">
            <w:col w:w="11120"/>
          </w:cols>
          <w:pgMar w:left="320" w:top="459" w:right="4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to the person in whose name such Note is registered, subject to certain exceptions as provided in the Indenture, at the close of business on</w:t>
      </w:r>
    </w:p>
    <w:p>
      <w:pPr>
        <w:spacing w:after="0" w:line="38" w:lineRule="exact"/>
        <w:rPr>
          <w:sz w:val="20"/>
          <w:szCs w:val="20"/>
          <w:color w:val="auto"/>
        </w:rPr>
      </w:pPr>
    </w:p>
    <w:p>
      <w:pPr>
        <w:ind w:left="120"/>
        <w:spacing w:after="0"/>
        <w:tabs>
          <w:tab w:leader="none" w:pos="1020" w:val="left"/>
          <w:tab w:leader="none" w:pos="196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immediately preceding such interest payment date (whether or not a business day).</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not subject to any mandatory redemption or any sinking fund provision.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w:t>
      </w:r>
    </w:p>
    <w:p>
      <w:pPr>
        <w:spacing w:after="0" w:line="83" w:lineRule="exact"/>
        <w:rPr>
          <w:sz w:val="20"/>
          <w:szCs w:val="20"/>
          <w:color w:val="auto"/>
        </w:rPr>
      </w:pPr>
    </w:p>
    <w:p>
      <w:pPr>
        <w:ind w:left="120" w:right="40" w:firstLine="440"/>
        <w:spacing w:after="0" w:line="335" w:lineRule="auto"/>
        <w:rPr>
          <w:sz w:val="20"/>
          <w:szCs w:val="20"/>
          <w:color w:val="auto"/>
        </w:rPr>
      </w:pPr>
      <w:r>
        <w:rPr>
          <w:rFonts w:ascii="Arial" w:cs="Arial" w:eastAsia="Arial" w:hAnsi="Arial"/>
          <w:sz w:val="15"/>
          <w:szCs w:val="15"/>
          <w:color w:val="auto"/>
        </w:rPr>
        <w:t>Schlumberger Limited will fully and unconditionally guarantee the due and punctual payment of the principal of, and any premium and interest on, the Notes, and all other amounts payable under the Indenture when and as they become due and payable, whether at maturity, upon acceleration, by call for redemption, repayment or otherwise in accordance with the terms of the Indenture. The Notes will not be guaranteed by any of the Guarantor’s subsidiaries.</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Schlumberger Limited will:</w:t>
      </w:r>
    </w:p>
    <w:p>
      <w:pPr>
        <w:spacing w:after="0" w:line="77" w:lineRule="exact"/>
        <w:rPr>
          <w:sz w:val="20"/>
          <w:szCs w:val="20"/>
          <w:color w:val="auto"/>
        </w:rPr>
      </w:pPr>
    </w:p>
    <w:p>
      <w:pPr>
        <w:ind w:left="760" w:right="60" w:hanging="212"/>
        <w:spacing w:after="0" w:line="325"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agree that, if an Event of Default occurs under any of the Notes, its obligations under the Guarantee will be absolute and unconditional and will be enforceable irrespective of any invalidity, irregularity or unenforceability of the Indenture or any supplement thereto; and</w:t>
      </w:r>
    </w:p>
    <w:p>
      <w:pPr>
        <w:spacing w:after="0" w:line="1" w:lineRule="exact"/>
        <w:rPr>
          <w:rFonts w:ascii="Arial" w:cs="Arial" w:eastAsia="Arial" w:hAnsi="Arial"/>
          <w:sz w:val="16"/>
          <w:szCs w:val="16"/>
          <w:color w:val="auto"/>
        </w:rPr>
      </w:pPr>
    </w:p>
    <w:p>
      <w:pPr>
        <w:ind w:left="760" w:right="100" w:hanging="212"/>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Notes to pursue or exhaust their legal or equitable remedies against the Company before exercising their rights under the Guarantee.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Notes and Guarantee</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be:</w:t>
      </w:r>
    </w:p>
    <w:p>
      <w:pPr>
        <w:spacing w:after="0" w:line="77" w:lineRule="exact"/>
        <w:rPr>
          <w:sz w:val="20"/>
          <w:szCs w:val="20"/>
          <w:color w:val="auto"/>
        </w:rPr>
      </w:pPr>
    </w:p>
    <w:p>
      <w:pPr>
        <w:ind w:left="760" w:right="340" w:hanging="212"/>
        <w:spacing w:after="0" w:line="26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the Company’s other unsecured and unsubordinated indebtedness; and</w:t>
      </w:r>
    </w:p>
    <w:p>
      <w:pPr>
        <w:spacing w:after="0" w:line="37" w:lineRule="exact"/>
        <w:rPr>
          <w:rFonts w:ascii="Arial" w:cs="Arial" w:eastAsia="Arial" w:hAnsi="Arial"/>
          <w:sz w:val="18"/>
          <w:szCs w:val="18"/>
          <w:color w:val="auto"/>
        </w:rPr>
      </w:pPr>
    </w:p>
    <w:p>
      <w:pPr>
        <w:ind w:left="760" w:right="1000" w:hanging="212"/>
        <w:spacing w:after="0" w:line="268"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83" w:lineRule="exact"/>
        <w:rPr>
          <w:sz w:val="20"/>
          <w:szCs w:val="20"/>
          <w:color w:val="auto"/>
        </w:rPr>
      </w:pPr>
    </w:p>
    <w:p>
      <w:pPr>
        <w:ind w:left="120" w:firstLine="440"/>
        <w:spacing w:after="0" w:line="306" w:lineRule="auto"/>
        <w:rPr>
          <w:sz w:val="20"/>
          <w:szCs w:val="20"/>
          <w:color w:val="auto"/>
        </w:rPr>
      </w:pPr>
      <w:r>
        <w:rPr>
          <w:rFonts w:ascii="Arial" w:cs="Arial" w:eastAsia="Arial" w:hAnsi="Arial"/>
          <w:sz w:val="15"/>
          <w:szCs w:val="15"/>
          <w:color w:val="auto"/>
        </w:rPr>
        <w:t>All payments made by the Company under or with respect to the Notes,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or in which the Company or a Guarantor is doing or deemed to be doing business by or on behalf of the Company, or the Guarantor (including the jurisdiction of any Paying Agent for the Notes) or any political subdivision thereof or therein (each, together with each Relevant Tax Jurisdiction, a “Tax Jurisdiction”) will at any time be required to be made from any payments made or deemed made by or on behalf of the Company under or with respect to the Notes,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Notes after such withholding, deduction or imposition (including any such withholding, deduction or imposition from such Additional Amounts) will equal the respective amounts that would have been received in respect of such payments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absence of such withholding or deduction; provided, however, that no Additional Amounts will be payable with respect to:</w:t>
      </w:r>
    </w:p>
    <w:p>
      <w:pPr>
        <w:spacing w:after="0" w:line="77" w:lineRule="exact"/>
        <w:rPr>
          <w:sz w:val="20"/>
          <w:szCs w:val="20"/>
          <w:color w:val="auto"/>
        </w:rPr>
      </w:pPr>
    </w:p>
    <w:p>
      <w:pPr>
        <w:ind w:left="1080" w:right="60" w:hanging="532"/>
        <w:spacing w:after="0" w:line="294"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to the extent such Taxes would not have been imposed but for the existence of any actual or deemed present or former connection between the holder or the beneficial owner of such Notes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 or under the Guarantee or the receipt of any payments in respect of such Note or Guarantee;</w:t>
      </w:r>
    </w:p>
    <w:p>
      <w:pPr>
        <w:spacing w:after="0" w:line="20" w:lineRule="exact"/>
        <w:rPr>
          <w:rFonts w:ascii="Arial" w:cs="Arial" w:eastAsia="Arial" w:hAnsi="Arial"/>
          <w:sz w:val="16"/>
          <w:szCs w:val="16"/>
          <w:color w:val="auto"/>
        </w:rPr>
      </w:pPr>
    </w:p>
    <w:p>
      <w:pPr>
        <w:ind w:left="108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to the extent such Taxes were imposed as a result of the presentation of such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1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76" w:lineRule="exact"/>
        <w:rPr>
          <w:rFonts w:ascii="Arial" w:cs="Arial" w:eastAsia="Arial" w:hAnsi="Arial"/>
          <w:sz w:val="18"/>
          <w:szCs w:val="18"/>
          <w:color w:val="auto"/>
        </w:rPr>
      </w:pPr>
    </w:p>
    <w:p>
      <w:pPr>
        <w:ind w:left="1080" w:right="16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w:t>
      </w:r>
    </w:p>
    <w:p>
      <w:pPr>
        <w:spacing w:after="0" w:line="11"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withheld, deducted or imposed on a payment to an individual that are required to be made pursuant to European Council Directive 2003/48/EC or any other directive implementing the conclusions of the ECOFIN Council meeting of November 26 and 27, 2000 on the taxation of savings income, or any law implementing or complying with or introduced in order to conform to, such directive;</w:t>
      </w:r>
    </w:p>
    <w:p>
      <w:pPr>
        <w:spacing w:after="0" w:line="11"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Taxes imposed on or with respect to a payment made to a holder of such Note who would have been able to avoid such withholding or deduction by presenting such Note (where presentation is required) to another Paying Agent;</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Notes or the Guarantee;</w:t>
      </w:r>
    </w:p>
    <w:p>
      <w:pPr>
        <w:spacing w:after="0" w:line="99" w:lineRule="exact"/>
        <w:rPr>
          <w:rFonts w:ascii="Arial" w:cs="Arial" w:eastAsia="Arial" w:hAnsi="Arial"/>
          <w:sz w:val="16"/>
          <w:szCs w:val="16"/>
          <w:color w:val="auto"/>
        </w:rPr>
      </w:pPr>
    </w:p>
    <w:p>
      <w:pPr>
        <w:ind w:left="1080" w:right="20" w:hanging="532"/>
        <w:spacing w:after="0" w:line="29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Taxes to the extent such Taxes are imposed or withheld by reason of the failure of the holder or beneficial owner of such Note to comply with any written request of the Company or the Guarantor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25"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158"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Notes, or the Indenture, Guarantee or any other document or instrument referred to therein.</w:t>
      </w:r>
    </w:p>
    <w:p>
      <w:pPr>
        <w:spacing w:after="0" w:line="99" w:lineRule="exact"/>
        <w:rPr>
          <w:sz w:val="20"/>
          <w:szCs w:val="20"/>
          <w:color w:val="auto"/>
        </w:rPr>
      </w:pPr>
    </w:p>
    <w:p>
      <w:pPr>
        <w:ind w:left="120" w:firstLine="440"/>
        <w:spacing w:after="0" w:line="268" w:lineRule="auto"/>
        <w:rPr>
          <w:sz w:val="20"/>
          <w:szCs w:val="20"/>
          <w:color w:val="auto"/>
        </w:rPr>
      </w:pPr>
      <w:r>
        <w:rPr>
          <w:rFonts w:ascii="Arial" w:cs="Arial" w:eastAsia="Arial" w:hAnsi="Arial"/>
          <w:sz w:val="18"/>
          <w:szCs w:val="18"/>
          <w:color w:val="auto"/>
        </w:rPr>
        <w:t>If the Company or the Guarantor, as the case may be, becomes aware that it will be obligated to pay Additional Amounts with respect to any payment under or with respect to its Notes, or the Guarantee, the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3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Notes,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04" w:lineRule="exact"/>
        <w:rPr>
          <w:sz w:val="20"/>
          <w:szCs w:val="20"/>
          <w:color w:val="auto"/>
        </w:rPr>
      </w:pPr>
    </w:p>
    <w:p>
      <w:pPr>
        <w:jc w:val="both"/>
        <w:ind w:left="120" w:right="60" w:firstLine="440"/>
        <w:spacing w:after="0" w:line="256" w:lineRule="auto"/>
        <w:rPr>
          <w:sz w:val="20"/>
          <w:szCs w:val="20"/>
          <w:color w:val="auto"/>
        </w:rPr>
      </w:pPr>
      <w:r>
        <w:rPr>
          <w:rFonts w:ascii="Arial" w:cs="Arial" w:eastAsia="Arial" w:hAnsi="Arial"/>
          <w:sz w:val="18"/>
          <w:szCs w:val="18"/>
          <w:color w:val="auto"/>
        </w:rPr>
        <w:t>Whenever in the Indenture or in this “Description of the Notes” there is mentioned, in any context, the payment of amounts based upon the principal amount of the Notes or of principal, interest or of any other amount payable under, or with respect to, any of the Notes or the Guarantee, such mention shall be deemed to include mention of the payment of Additional Amounts to the extent that, in such context, Additional Amounts are, were or would be payable in respect thereof.</w:t>
      </w:r>
    </w:p>
    <w:p>
      <w:pPr>
        <w:spacing w:after="0" w:line="129"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Notes, and will apply, mutatis mutandis, to any jurisdiction in which any successor person to the Company or the Guarantor is incorporated, organized or resident for tax purposes or any jurisdiction from or through which payment is made by or on behalf of such person on the Notes (or the Guarantee) and any political subdivision thereof or therein.</w:t>
      </w:r>
    </w:p>
    <w:p>
      <w:pPr>
        <w:spacing w:after="0" w:line="1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Notwithstanding any provision herein or in the Indenture, the Notes or the Guarantee to the contrary, none of the Trustee, the Registrar, any transfer agent or any Paying Agent shall be required to determine the identity of a beneficial owner or be liable for any determination thereof by the Company or the Guarantor.</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left="560"/>
        <w:spacing w:after="0"/>
        <w:tabs>
          <w:tab w:leader="none" w:pos="1820" w:val="left"/>
          <w:tab w:leader="none" w:pos="2640" w:val="left"/>
          <w:tab w:leader="none" w:pos="3460" w:val="left"/>
        </w:tabs>
        <w:rPr>
          <w:sz w:val="20"/>
          <w:szCs w:val="20"/>
          <w:color w:val="auto"/>
        </w:rPr>
      </w:pPr>
      <w:r>
        <w:rPr>
          <w:rFonts w:ascii="Arial" w:cs="Arial" w:eastAsia="Arial" w:hAnsi="Arial"/>
          <w:sz w:val="18"/>
          <w:szCs w:val="18"/>
          <w:color w:val="auto"/>
        </w:rPr>
        <w:t>Prior 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months prior to their maturity date), the Notes may be redeemed in whole at any time or in part from time to</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 at the Company’s option, at a redemption price equal to the greater of:</w:t>
      </w:r>
    </w:p>
    <w:p>
      <w:pPr>
        <w:spacing w:after="0" w:line="70" w:lineRule="exact"/>
        <w:rPr>
          <w:sz w:val="20"/>
          <w:szCs w:val="20"/>
          <w:color w:val="auto"/>
        </w:rPr>
      </w:pPr>
    </w:p>
    <w:p>
      <w:pPr>
        <w:ind w:left="760" w:hanging="212"/>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 of the principal amount of such Notes then outstanding, and</w:t>
      </w:r>
    </w:p>
    <w:p>
      <w:pPr>
        <w:spacing w:after="0" w:line="15" w:lineRule="exact"/>
        <w:rPr>
          <w:rFonts w:ascii="Arial" w:cs="Arial" w:eastAsia="Arial" w:hAnsi="Arial"/>
          <w:sz w:val="18"/>
          <w:szCs w:val="18"/>
          <w:color w:val="auto"/>
        </w:rPr>
      </w:pPr>
    </w:p>
    <w:p>
      <w:pPr>
        <w:ind w:left="760" w:hanging="212"/>
        <w:spacing w:after="0" w:line="193" w:lineRule="auto"/>
        <w:tabs>
          <w:tab w:leader="none" w:pos="76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sum of the present values of the remaining scheduled payments of principal and interest on such Notes to be redeemed that would have been</w:t>
      </w:r>
    </w:p>
    <w:p>
      <w:pPr>
        <w:spacing w:after="0" w:line="202" w:lineRule="exact"/>
        <w:rPr>
          <w:sz w:val="20"/>
          <w:szCs w:val="20"/>
          <w:color w:val="auto"/>
        </w:rPr>
      </w:pPr>
    </w:p>
    <w:p>
      <w:pPr>
        <w:ind w:left="760"/>
        <w:spacing w:after="0" w:line="256" w:lineRule="auto"/>
        <w:rPr>
          <w:sz w:val="20"/>
          <w:szCs w:val="20"/>
          <w:color w:val="auto"/>
        </w:rPr>
      </w:pPr>
      <w:r>
        <w:rPr>
          <w:rFonts w:ascii="Arial" w:cs="Arial" w:eastAsia="Arial" w:hAnsi="Arial"/>
          <w:sz w:val="18"/>
          <w:szCs w:val="18"/>
          <w:color w:val="auto"/>
        </w:rPr>
        <w:t>payable in respect of such Notes calculated as if the maturity date of such Notes was , ( months prior to their maturity date) (not including any portion of such payments of interest accrued to the date of redemption) discounted to the date of redemption on a semiannual basis (assuming a 360-day year consisting of twelve 30-day months) at the applicable treasury rate plus basis points, plus accrued and unpaid interest on the principal amount being redeemed to (but not including) the redemption date.</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“treasury rate” means, with respect to any redemption date:</w:t>
      </w:r>
    </w:p>
    <w:p>
      <w:pPr>
        <w:spacing w:after="0" w:line="77" w:lineRule="exact"/>
        <w:rPr>
          <w:sz w:val="20"/>
          <w:szCs w:val="20"/>
          <w:color w:val="auto"/>
        </w:rPr>
      </w:pPr>
    </w:p>
    <w:p>
      <w:pPr>
        <w:ind w:left="760" w:right="100" w:hanging="212"/>
        <w:spacing w:after="0" w:line="268"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yield, under the heading which represents the average for the immediately preceding week, appearing in the most recently published statistical release designated “H.15(519)” or any successor publication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20"/>
        <w:spacing w:after="0" w:line="294" w:lineRule="auto"/>
        <w:rPr>
          <w:sz w:val="20"/>
          <w:szCs w:val="20"/>
          <w:color w:val="auto"/>
        </w:rPr>
      </w:pPr>
      <w:r>
        <w:rPr>
          <w:rFonts w:ascii="Arial" w:cs="Arial" w:eastAsia="Arial" w:hAnsi="Arial"/>
          <w:sz w:val="16"/>
          <w:szCs w:val="16"/>
          <w:color w:val="auto"/>
        </w:rPr>
        <w:t>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21" w:lineRule="exact"/>
        <w:rPr>
          <w:sz w:val="20"/>
          <w:szCs w:val="20"/>
          <w:color w:val="auto"/>
        </w:rPr>
      </w:pPr>
    </w:p>
    <w:p>
      <w:pPr>
        <w:ind w:left="760" w:right="200" w:hanging="212"/>
        <w:spacing w:after="0" w:line="335"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treasury rate will be calculated on the third business day preceding the redemption date.</w:t>
      </w:r>
    </w:p>
    <w:p>
      <w:pPr>
        <w:spacing w:after="0" w:line="158" w:lineRule="exact"/>
        <w:rPr>
          <w:sz w:val="20"/>
          <w:szCs w:val="20"/>
          <w:color w:val="auto"/>
        </w:rPr>
      </w:pPr>
    </w:p>
    <w:p>
      <w:pPr>
        <w:ind w:left="120" w:right="80" w:firstLine="440"/>
        <w:spacing w:after="0" w:line="306" w:lineRule="auto"/>
        <w:rPr>
          <w:sz w:val="20"/>
          <w:szCs w:val="20"/>
          <w:color w:val="auto"/>
        </w:rPr>
      </w:pPr>
      <w:r>
        <w:rPr>
          <w:rFonts w:ascii="Arial" w:cs="Arial" w:eastAsia="Arial" w:hAnsi="Arial"/>
          <w:sz w:val="16"/>
          <w:szCs w:val="16"/>
          <w:color w:val="auto"/>
        </w:rPr>
        <w:t>Notwithstanding the foregoing, commencing on , ( months prior to their maturity date), the Notes are redeemable at the Company’s option, in whole at any time or in part from time to time, at a redemption price equal to 100% of the principal amount of the Notes to be redeemed, plus in each case accrued and unpaid interest on the principal amount being redeemed to (but not including) the redemption date.</w:t>
      </w:r>
    </w:p>
    <w:p>
      <w:pPr>
        <w:sectPr>
          <w:pgSz w:w="11900" w:h="16838" w:orient="portrait"/>
          <w:cols w:equalWidth="0" w:num="1">
            <w:col w:w="11120"/>
          </w:cols>
          <w:pgMar w:left="320" w:top="459" w:right="459" w:bottom="1440" w:gutter="0" w:footer="0" w:header="0"/>
        </w:sectPr>
      </w:pPr>
    </w:p>
    <w:p>
      <w:pPr>
        <w:spacing w:after="0" w:line="9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“comparable treasury issue” means the U.S. Treasury security selected by an independent investment banker as having an actual or interpolated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maturity comparable to the remaining term (“remaining life”) of the Notes to be redeemed (assuming that such Notes to be redeemed matured on</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that would be utilized, at the time of selection and in accordance with customary financial practice, in pricing new issues of corporate debt</w:t>
      </w:r>
    </w:p>
    <w:p>
      <w:pPr>
        <w:spacing w:after="0" w:line="32" w:lineRule="exact"/>
        <w:rPr>
          <w:sz w:val="20"/>
          <w:szCs w:val="20"/>
          <w:color w:val="auto"/>
        </w:rPr>
      </w:pPr>
    </w:p>
    <w:p>
      <w:pPr>
        <w:ind w:left="120"/>
        <w:spacing w:after="0"/>
        <w:tabs>
          <w:tab w:leader="none" w:pos="8500" w:val="left"/>
          <w:tab w:leader="none" w:pos="9280" w:val="left"/>
        </w:tabs>
        <w:rPr>
          <w:sz w:val="20"/>
          <w:szCs w:val="20"/>
          <w:color w:val="auto"/>
        </w:rPr>
      </w:pPr>
      <w:r>
        <w:rPr>
          <w:rFonts w:ascii="Arial" w:cs="Arial" w:eastAsia="Arial" w:hAnsi="Arial"/>
          <w:sz w:val="16"/>
          <w:szCs w:val="16"/>
          <w:color w:val="auto"/>
        </w:rPr>
        <w:t>securities of comparable maturity to the remaining term of such Notes (assuming that such Notes matured 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89" w:lineRule="exact"/>
        <w:rPr>
          <w:sz w:val="20"/>
          <w:szCs w:val="20"/>
          <w:color w:val="auto"/>
        </w:rPr>
      </w:pPr>
    </w:p>
    <w:p>
      <w:pPr>
        <w:sectPr>
          <w:pgSz w:w="11900" w:h="16838" w:orient="portrait"/>
          <w:cols w:equalWidth="0" w:num="2">
            <w:col w:w="10640" w:space="400"/>
            <w:col w:w="80"/>
          </w:cols>
          <w:pgMar w:left="320" w:top="459" w:right="459" w:bottom="1440" w:gutter="0" w:footer="0" w:header="0"/>
          <w:type w:val="continuous"/>
        </w:sectPr>
      </w:pPr>
    </w:p>
    <w:p>
      <w:pPr>
        <w:ind w:left="120" w:right="160" w:firstLine="440"/>
        <w:spacing w:after="0" w:line="259" w:lineRule="auto"/>
        <w:rPr>
          <w:sz w:val="20"/>
          <w:szCs w:val="20"/>
          <w:color w:val="auto"/>
        </w:rPr>
      </w:pPr>
      <w:r>
        <w:rPr>
          <w:rFonts w:ascii="Arial" w:cs="Arial" w:eastAsia="Arial" w:hAnsi="Arial"/>
          <w:sz w:val="18"/>
          <w:szCs w:val="18"/>
          <w:color w:val="auto"/>
        </w:rPr>
        <w:t>“comparable treasury price”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12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“independent investment banker” means either Citigroup Global Markets Inc., HSBC Securities (USA) Inc., J.P. Morgan Securities LLC or SG Americas Securities, LLC, or, if these firms are unwilling or unable to select the comparable treasury issue, an independent investment banking institution of national standing appointed by the Company.</w:t>
      </w:r>
    </w:p>
    <w:p>
      <w:pPr>
        <w:spacing w:after="0" w:line="126"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“reference treasury dealer” means (1) Citigroup Global Markets Inc., HSBC Securities (USA) Inc., J.P. Morgan Securities LLC and SG Americas Securities,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99" w:lineRule="exact"/>
        <w:rPr>
          <w:sz w:val="20"/>
          <w:szCs w:val="20"/>
          <w:color w:val="auto"/>
        </w:rPr>
      </w:pPr>
    </w:p>
    <w:p>
      <w:pPr>
        <w:ind w:left="120" w:right="180" w:firstLine="440"/>
        <w:spacing w:after="0" w:line="256"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29" w:lineRule="exact"/>
        <w:rPr>
          <w:sz w:val="20"/>
          <w:szCs w:val="20"/>
          <w:color w:val="auto"/>
        </w:rPr>
      </w:pPr>
    </w:p>
    <w:p>
      <w:pPr>
        <w:ind w:left="120" w:right="660" w:firstLine="440"/>
        <w:spacing w:after="0" w:line="268" w:lineRule="auto"/>
        <w:rPr>
          <w:sz w:val="20"/>
          <w:szCs w:val="20"/>
          <w:color w:val="auto"/>
        </w:rPr>
      </w:pPr>
      <w:r>
        <w:rPr>
          <w:rFonts w:ascii="Arial" w:cs="Arial" w:eastAsia="Arial" w:hAnsi="Arial"/>
          <w:sz w:val="18"/>
          <w:szCs w:val="18"/>
          <w:color w:val="auto"/>
        </w:rPr>
        <w:t>For the avoidance of doubt, the Trustee shall have no obligation to determine or calculate any rate, price or amount in respect of any optional redemption under the Indenture.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8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Company or the Guarantor may redeem the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Guarantor, as applicable, for redemption (a “Tax Redemption Date”)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24" w:lineRule="exact"/>
        <w:rPr>
          <w:sz w:val="20"/>
          <w:szCs w:val="20"/>
          <w:color w:val="auto"/>
        </w:rPr>
      </w:pPr>
    </w:p>
    <w:p>
      <w:pPr>
        <w:ind w:left="1080" w:right="42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such later date), or</w:t>
      </w:r>
    </w:p>
    <w:p>
      <w:pPr>
        <w:spacing w:after="0" w:line="11" w:lineRule="exact"/>
        <w:rPr>
          <w:rFonts w:ascii="Arial" w:cs="Arial" w:eastAsia="Arial" w:hAnsi="Arial"/>
          <w:sz w:val="16"/>
          <w:szCs w:val="16"/>
          <w:color w:val="auto"/>
        </w:rPr>
      </w:pPr>
    </w:p>
    <w:p>
      <w:pPr>
        <w:ind w:left="1080" w:right="80" w:hanging="532"/>
        <w:spacing w:after="0" w:line="256"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29"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hereunder. In addition, before the Company or the Guarantor, as applicable, gives notice of redemption of such Notes as described above, it will deliver to the Trustee an Officer’s Certificate to the effect that the Company or Guarantor, as applicable, cannot avoid its obligation to pay Additional Amounts by the Company or the Guarantor, as applicable, taking reasonable measures available to it.</w:t>
      </w:r>
    </w:p>
    <w:p>
      <w:pPr>
        <w:spacing w:after="0" w:line="110" w:lineRule="exact"/>
        <w:rPr>
          <w:sz w:val="20"/>
          <w:szCs w:val="20"/>
          <w:color w:val="auto"/>
        </w:rPr>
      </w:pPr>
    </w:p>
    <w:p>
      <w:pPr>
        <w:ind w:left="120" w:right="280" w:firstLine="440"/>
        <w:spacing w:after="0" w:line="331" w:lineRule="auto"/>
        <w:rPr>
          <w:sz w:val="20"/>
          <w:szCs w:val="20"/>
          <w:color w:val="auto"/>
        </w:rPr>
      </w:pPr>
      <w:r>
        <w:rPr>
          <w:rFonts w:ascii="Arial" w:cs="Arial" w:eastAsia="Arial" w:hAnsi="Arial"/>
          <w:sz w:val="16"/>
          <w:szCs w:val="16"/>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Notes.</w:t>
      </w:r>
    </w:p>
    <w:p>
      <w:pPr>
        <w:spacing w:after="0" w:line="7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 xml:space="preserve">The foregoing will also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jurisdiction in which any successor person to the Company or the Guarantor is incorporated, organized or resident for tax purposes and any political subdivision thereof or therein.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83" w:lineRule="exact"/>
        <w:rPr>
          <w:sz w:val="20"/>
          <w:szCs w:val="20"/>
          <w:color w:val="auto"/>
        </w:rPr>
      </w:pPr>
    </w:p>
    <w:p>
      <w:pPr>
        <w:ind w:left="120" w:right="20" w:firstLine="440"/>
        <w:spacing w:after="0" w:line="306" w:lineRule="auto"/>
        <w:rPr>
          <w:sz w:val="20"/>
          <w:szCs w:val="20"/>
          <w:color w:val="auto"/>
        </w:rPr>
      </w:pPr>
      <w:r>
        <w:rPr>
          <w:rFonts w:ascii="Arial" w:cs="Arial" w:eastAsia="Arial" w:hAnsi="Arial"/>
          <w:sz w:val="16"/>
          <w:szCs w:val="16"/>
          <w:color w:val="auto"/>
        </w:rPr>
        <w:t>If fewer than all of the Notes are to be redeemed at any time, the Trustee will select Notes in non-global form for redemption on a pro rata basis (or, in the case of Notes issued in global form as discussed under “—Book-Entry, Delivery and Form,” Notes to be redeemed shall be selected in accordance with the applicable depository requirements) unless otherwise required by law or applicable stock exchange requirements.</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firstLine="440"/>
        <w:spacing w:after="0" w:line="335" w:lineRule="auto"/>
        <w:rPr>
          <w:sz w:val="20"/>
          <w:szCs w:val="20"/>
          <w:color w:val="auto"/>
        </w:rPr>
      </w:pPr>
      <w:r>
        <w:rPr>
          <w:rFonts w:ascii="Arial" w:cs="Arial" w:eastAsia="Arial" w:hAnsi="Arial"/>
          <w:sz w:val="15"/>
          <w:szCs w:val="15"/>
          <w:color w:val="auto"/>
        </w:rPr>
        <w:t>No Notes in principal amount of U.S.$2,000 or less can be redeemed in part. Notices of redemption will be given at least 10 but not more than 60 days before the redemption date to each holder of Notes to be redeemed at its registered address, except that redemption notices may be given more than 60 days prior to a redemption date if the notice is issued in connection with a defeasance of the Notes or a satisfaction and discharge of the Indenture.</w:t>
      </w:r>
    </w:p>
    <w:p>
      <w:pPr>
        <w:spacing w:after="0" w:line="7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 unless the Company or the Guarantor defaults in payment of the redemption price.</w:t>
      </w:r>
    </w:p>
    <w:p>
      <w:pPr>
        <w:spacing w:after="0" w:line="133"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color w:val="auto"/>
        </w:rPr>
        <w:t>The Trustee will not be liable for selections made as contemplated in this section. For Notes which are represented by global Notes held on behalf of The Depository Trust Company (“DTC”), Euroclear Bank S.A./N.V., as operator of the Euroclear System (“Euroclear”) and Clearstream Banking S.A. (“Clearstream”), notices may be given by delivery of the relevant notices to DTC, Euroclear or Clearstream for communication to entitled account holders in substitution for the aforesaid mailing.</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Other than the restrictions on liens described below, the Indenture and the Notes do not contain any covenants or other provisions designed to protect holders of the Notes in the event of a highly leveraged transaction. The Indenture and the Notes also do not contain provisions that give holders of the Notes the right to require the Company or the Guarantor to repurchase any Notes in the event of a decline in credit rating resulting from a takeover, recapitalization or similar restructuring or otherwise. The Indenture governing the Notes will not obligate us to provide, and we do not intend to provide, holders of the Notes with financial statements of the Company that are separate from the Guarantor’s.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Notes (together with, if the Company or the Guarantor shall so determine, any of its other indebtedness or the indebtedness of any such restricted subsidiary then existing or thereafter created ranking on a parity with the Notes or Guarantee)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2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the Notes;</w:t>
      </w:r>
    </w:p>
    <w:p>
      <w:pPr>
        <w:spacing w:after="0" w:line="76"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37"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00" w:right="340"/>
        <w:spacing w:after="0" w:line="259" w:lineRule="auto"/>
        <w:rPr>
          <w:sz w:val="20"/>
          <w:szCs w:val="20"/>
          <w:color w:val="auto"/>
        </w:rPr>
      </w:pPr>
      <w:r>
        <w:rPr>
          <w:rFonts w:ascii="Arial" w:cs="Arial" w:eastAsia="Arial" w:hAnsi="Arial"/>
          <w:sz w:val="18"/>
          <w:szCs w:val="18"/>
          <w:color w:val="auto"/>
        </w:rPr>
        <w:t>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45"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76"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17"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99" w:lineRule="exact"/>
        <w:rPr>
          <w:rFonts w:ascii="Arial" w:cs="Arial" w:eastAsia="Arial" w:hAnsi="Arial"/>
          <w:sz w:val="16"/>
          <w:szCs w:val="16"/>
          <w:color w:val="auto"/>
        </w:rPr>
      </w:pPr>
    </w:p>
    <w:p>
      <w:pPr>
        <w:ind w:left="1080" w:right="10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4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3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76"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158" w:lineRule="exact"/>
        <w:rPr>
          <w:sz w:val="20"/>
          <w:szCs w:val="20"/>
          <w:color w:val="auto"/>
        </w:rPr>
      </w:pPr>
    </w:p>
    <w:p>
      <w:pPr>
        <w:ind w:left="120" w:right="20" w:firstLine="440"/>
        <w:spacing w:after="0" w:line="294"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02"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18" w:lineRule="exact"/>
        <w:rPr>
          <w:sz w:val="20"/>
          <w:szCs w:val="20"/>
          <w:color w:val="auto"/>
        </w:rPr>
      </w:pPr>
    </w:p>
    <w:p>
      <w:pPr>
        <w:ind w:left="120" w:right="500" w:firstLine="440"/>
        <w:spacing w:after="0" w:line="268"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18" w:lineRule="exact"/>
        <w:rPr>
          <w:sz w:val="20"/>
          <w:szCs w:val="20"/>
          <w:color w:val="auto"/>
        </w:rPr>
      </w:pPr>
    </w:p>
    <w:p>
      <w:pPr>
        <w:ind w:left="120" w:firstLine="440"/>
        <w:spacing w:after="0" w:line="306" w:lineRule="auto"/>
        <w:rPr>
          <w:sz w:val="20"/>
          <w:szCs w:val="20"/>
          <w:color w:val="auto"/>
        </w:rPr>
      </w:pPr>
      <w:r>
        <w:rPr>
          <w:rFonts w:ascii="Arial" w:cs="Arial" w:eastAsia="Arial" w:hAnsi="Arial"/>
          <w:sz w:val="16"/>
          <w:szCs w:val="16"/>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1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Notes, unless, in the opinion of the board of directors of the Guarantor, such plant or facility or other asset is not of material importance to the total business conducted by the Guarantor and its restricted subsidiaries taken as a whole.</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83"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Indenture and the Notes or the Guarantee, as applicable,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Notes, provided that:</w:t>
      </w:r>
    </w:p>
    <w:p>
      <w:pPr>
        <w:spacing w:after="0" w:line="100" w:lineRule="exact"/>
        <w:rPr>
          <w:sz w:val="20"/>
          <w:szCs w:val="20"/>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37"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18"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Notes shall succeed to, and be substituted for, and may exercise any right and power of, the Company under the Notes and the Indenture with the same effect as if such person had been the issuer thereof, and the Company shall be released from its liability as obligor under the Notes. An Officer’s Certificate and an opinion of counsel will be delivered to the Trustee, which will serve as conclusive evidence of compliance with these provisions.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An assumption of the Company’s obligations as the issuer of the Notes by a subsidiary of the Guarantor may be treated for U.S. federal income tax purposes as a taxable exchange of the Notes for new Notes issued by such subsidiary of the Guarantor. In that event, beneficial owners of such Notes may recognize taxable gain for U.S. federal income tax purposes, generally in an amount equal to the excess (if any) of the “issue price” of the new Notes over their basis in the old Notes, as well as other possible adverse tax consequences. Beneficial owners of Notes who are U.S. persons for U.S. federal income tax purposes should consult their tax advisors regarding the non-U.S., U.S. federal, state and local income tax consequences of an assumption of the Company’s obligations as issuer of Notes by a subsidiary of the Guarantor.</w:t>
      </w:r>
    </w:p>
    <w:p>
      <w:pPr>
        <w:spacing w:after="0" w:line="10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Pursuant to the Indenture, the Trustee will notify holders of an assumption of the Company’s obligations as the issuer of the Notes by a subsidiary of the Guarantor. Upon an assumption, such subsidiary will be required under U.S. federal income tax law to determine whether the Notes or the new Notes are “traded on an established market” for purposes of determining the “issue price” of the new Notes for U.S. federal income tax purposes. If such subsidiary determines that either the Notes or the new Notes are “traded on an established market,” then it will make available to holders on the Guarantor’s website (www.slb.com) within 90 days after an assumption its determination that the Notes or the new Notes are “traded on an established market” for these purposes and the “issue price” of the new Notes.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“Events of Default” with respect to the Notes:</w:t>
      </w:r>
    </w:p>
    <w:p>
      <w:pPr>
        <w:spacing w:after="0" w:line="77" w:lineRule="exact"/>
        <w:rPr>
          <w:sz w:val="20"/>
          <w:szCs w:val="20"/>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failure to pay any interest on its Notes within 30 days after such interest becomes due and payable;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failure to pay principal of its Notes at maturity, or if applicable, the redemption price, when the same become due and payable;</w:t>
      </w:r>
    </w:p>
    <w:p>
      <w:pPr>
        <w:spacing w:after="0" w:line="126" w:lineRule="exact"/>
        <w:rPr>
          <w:rFonts w:ascii="Arial" w:cs="Arial" w:eastAsia="Arial" w:hAnsi="Arial"/>
          <w:sz w:val="16"/>
          <w:szCs w:val="16"/>
          <w:color w:val="auto"/>
        </w:rPr>
      </w:pPr>
    </w:p>
    <w:p>
      <w:pPr>
        <w:jc w:val="both"/>
        <w:ind w:left="760" w:right="120" w:hanging="212"/>
        <w:spacing w:after="0" w:line="256"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failure to comply with any of its covenants or agreements in the Notes or the Indenture (other than an agreement or covenant that the Company has included in the Indenture solely for the benefit of another series of debt securities that does not constitute part of the Notes) for 90 days after written notice by the Trustee or by the holders of at least 25% in principal amount of all outstanding debt securities affected by that failure;</w:t>
      </w:r>
    </w:p>
    <w:p>
      <w:pPr>
        <w:spacing w:after="0" w:line="48" w:lineRule="exact"/>
        <w:rPr>
          <w:rFonts w:ascii="Arial" w:cs="Arial" w:eastAsia="Arial" w:hAnsi="Arial"/>
          <w:sz w:val="18"/>
          <w:szCs w:val="18"/>
          <w:color w:val="auto"/>
        </w:rPr>
      </w:pPr>
    </w:p>
    <w:p>
      <w:pPr>
        <w:ind w:left="760" w:right="20" w:hanging="212"/>
        <w:spacing w:after="0" w:line="25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permitted by the Indenture, the Guarantee of the Notes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45" w:lineRule="exact"/>
        <w:rPr>
          <w:rFonts w:ascii="Arial" w:cs="Arial" w:eastAsia="Arial" w:hAnsi="Arial"/>
          <w:sz w:val="18"/>
          <w:szCs w:val="18"/>
          <w:color w:val="auto"/>
        </w:rPr>
      </w:pPr>
    </w:p>
    <w:p>
      <w:pPr>
        <w:ind w:left="760" w:hanging="212"/>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185" w:lineRule="exact"/>
        <w:rPr>
          <w:sz w:val="20"/>
          <w:szCs w:val="20"/>
          <w:color w:val="auto"/>
        </w:rPr>
      </w:pPr>
    </w:p>
    <w:p>
      <w:pPr>
        <w:jc w:val="both"/>
        <w:ind w:left="120" w:right="80" w:firstLine="440"/>
        <w:spacing w:after="0" w:line="306" w:lineRule="auto"/>
        <w:rPr>
          <w:sz w:val="20"/>
          <w:szCs w:val="20"/>
          <w:color w:val="auto"/>
        </w:rPr>
      </w:pPr>
      <w:r>
        <w:rPr>
          <w:rFonts w:ascii="Arial" w:cs="Arial" w:eastAsia="Arial" w:hAnsi="Arial"/>
          <w:sz w:val="16"/>
          <w:szCs w:val="16"/>
          <w:color w:val="auto"/>
        </w:rPr>
        <w:t>A default under the Notes or another series of debt securities issued under the Indenture will not necessarily be a default under another series of debt securities under the Indenture. The Trustee may withhold notice to the holders of the Notes issued under such Indenture of any default or Event of Default (except in any payment on the Notes) if the Trustee considers it in the interest of the holders of such Notes to do so.</w:t>
      </w:r>
    </w:p>
    <w:p>
      <w:pPr>
        <w:spacing w:after="0" w:line="9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an Event of Default for the Notes occurs and is continuing, the Trustee or the holders of at least 25% in principal amount of such outstanding Notes (or, in some cases, 25% in principal amount of all outstanding debt securities under the Indenture affected, voting as one class) may require the Company to pay immediately the principal amount plus accrued and unpaid interest on such Notes. If an Event of Default relating to certain events of bankruptcy, insolvency or reorganization occurs with respect to the Company (or with respect to the Guarantor), the principal amount plus accrued and unpaid interest on the Notes (or in the case of the Guarantor, all Notes) will become immediately due and payable without any action on the part of the Trustee or any holder. The holders of a majority in principal amount of such outstanding Notes (or of all outstanding debt securities under the Indenture affected, voting as one class) may in some cases rescind this accelerated payment requirement.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of Notes may pursue any remedy under the Indenture applicable to such Notes only if:</w:t>
      </w:r>
    </w:p>
    <w:p>
      <w:pPr>
        <w:spacing w:after="0" w:line="77" w:lineRule="exact"/>
        <w:rPr>
          <w:sz w:val="20"/>
          <w:szCs w:val="20"/>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such outstanding Notes make a written request to the Trustee to pursue the remedy;</w:t>
      </w:r>
    </w:p>
    <w:p>
      <w:pPr>
        <w:spacing w:after="0" w:line="126" w:lineRule="exact"/>
        <w:rPr>
          <w:rFonts w:ascii="Arial" w:cs="Arial" w:eastAsia="Arial" w:hAnsi="Arial"/>
          <w:sz w:val="16"/>
          <w:szCs w:val="16"/>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03"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such outstanding Notes do not give the Trustee a direction inconsistent with the request.</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provision does not, however, affect the right of a holder of Notes to sue for enforcement of any overdue payment with respect to such Notes.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most cases, holders of a majority in principal amount of the outstanding Notes issued by the Company may direct the time, method and place of:</w:t>
      </w:r>
    </w:p>
    <w:p>
      <w:pPr>
        <w:spacing w:after="0" w:line="100" w:lineRule="exact"/>
        <w:rPr>
          <w:sz w:val="20"/>
          <w:szCs w:val="20"/>
          <w:color w:val="auto"/>
        </w:rPr>
      </w:pPr>
    </w:p>
    <w:p>
      <w:pPr>
        <w:ind w:left="760" w:hanging="21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such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exercising any trust or power conferred on the Trustee not relating to or arising under an Event of Default with respect to such Notes.</w:t>
      </w:r>
    </w:p>
    <w:p>
      <w:pPr>
        <w:spacing w:after="0" w:line="208" w:lineRule="exact"/>
        <w:rPr>
          <w:sz w:val="20"/>
          <w:szCs w:val="20"/>
          <w:color w:val="auto"/>
        </w:rPr>
      </w:pPr>
    </w:p>
    <w:p>
      <w:pPr>
        <w:ind w:left="120" w:right="260" w:firstLine="440"/>
        <w:spacing w:after="0" w:line="268"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8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Except as provided in the next two succeeding paragraphs, the Indenture or the Notes or Guarantee may be amended or supplemented, and waivers may be obtained, with the consent of the holders of at least a majority in aggregate principal amount of the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Guarantee may be waived with the consent of the holders of a majority in aggregate principal amount of the outstanding Notes (including, without limitation, additional Notes, if any) voting as a single class (including, without limitation, consents obtained in connection with a tender offer or exchange offer for, or purchase of, such Notes).</w:t>
      </w:r>
    </w:p>
    <w:p>
      <w:pPr>
        <w:spacing w:after="0" w:line="110" w:lineRule="exact"/>
        <w:rPr>
          <w:sz w:val="20"/>
          <w:szCs w:val="20"/>
          <w:color w:val="auto"/>
        </w:rPr>
      </w:pPr>
    </w:p>
    <w:p>
      <w:pPr>
        <w:ind w:left="120" w:right="340" w:firstLine="440"/>
        <w:spacing w:after="0" w:line="268" w:lineRule="auto"/>
        <w:rPr>
          <w:sz w:val="20"/>
          <w:szCs w:val="20"/>
          <w:color w:val="auto"/>
        </w:rPr>
      </w:pPr>
      <w:r>
        <w:rPr>
          <w:rFonts w:ascii="Arial" w:cs="Arial" w:eastAsia="Arial" w:hAnsi="Arial"/>
          <w:sz w:val="18"/>
          <w:szCs w:val="18"/>
          <w:color w:val="auto"/>
        </w:rPr>
        <w:t>Without the consent of each holder of Notes affected thereby, an amendment, supplement or waiver may not (with respect to any Notes held by a non-consenting holder):</w:t>
      </w:r>
    </w:p>
    <w:p>
      <w:pPr>
        <w:spacing w:after="0" w:line="37" w:lineRule="exact"/>
        <w:rPr>
          <w:sz w:val="20"/>
          <w:szCs w:val="20"/>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 supplement or waiver;</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any premium payable on the redemption of its Notes or change the time at which its Notes may or must be redeemed;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payments on its Notes payable in currency other than as originally stated in its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its Notes;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140" w:hanging="212"/>
        <w:spacing w:after="0" w:line="268"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its Notes necessary to waive compliance with certain provisions of the Indenture such Notes were issued under or to make any change in this provision for modification;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its Notes.</w:t>
      </w:r>
    </w:p>
    <w:p>
      <w:pPr>
        <w:spacing w:after="0" w:line="185" w:lineRule="exact"/>
        <w:rPr>
          <w:sz w:val="20"/>
          <w:szCs w:val="20"/>
          <w:color w:val="auto"/>
        </w:rPr>
      </w:pPr>
    </w:p>
    <w:p>
      <w:pPr>
        <w:ind w:left="120" w:right="160" w:firstLine="440"/>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the Company, the Guarantor and the Trustee may amend or supplement the Indenture, the Notes or Guarantee in certain circumstances, including:</w:t>
      </w:r>
    </w:p>
    <w:p>
      <w:pPr>
        <w:spacing w:after="0" w:line="37" w:lineRule="exact"/>
        <w:rPr>
          <w:sz w:val="20"/>
          <w:szCs w:val="20"/>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03" w:lineRule="exact"/>
        <w:rPr>
          <w:rFonts w:ascii="Arial" w:cs="Arial" w:eastAsia="Arial" w:hAnsi="Arial"/>
          <w:sz w:val="18"/>
          <w:szCs w:val="18"/>
          <w:color w:val="auto"/>
        </w:rPr>
      </w:pPr>
    </w:p>
    <w:p>
      <w:pPr>
        <w:ind w:left="760" w:right="60" w:hanging="212"/>
        <w:spacing w:after="0" w:line="298"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the Notes or the Guarantee, as applicable, by a successor upon any merger, consolidation or asset transfer in accordance with the requirements under “—Consolidation, Merger and Sale of Assets” or to provide for the assumption of the Company’s obligations under the Indenture and the Notes by a subsidiary of the Guarantor in accordance with the requirements under “—Assumption by a Subsidiary” above;</w:t>
      </w:r>
    </w:p>
    <w:p>
      <w:pPr>
        <w:spacing w:after="0" w:line="17" w:lineRule="exact"/>
        <w:rPr>
          <w:rFonts w:ascii="Arial" w:cs="Arial" w:eastAsia="Arial" w:hAnsi="Arial"/>
          <w:sz w:val="16"/>
          <w:szCs w:val="16"/>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any security for or guarantees of the Notes or for the addition of an additional obligor on the Notes;</w:t>
      </w:r>
    </w:p>
    <w:p>
      <w:pPr>
        <w:spacing w:after="0" w:line="103" w:lineRule="exact"/>
        <w:rPr>
          <w:rFonts w:ascii="Arial" w:cs="Arial" w:eastAsia="Arial" w:hAnsi="Arial"/>
          <w:sz w:val="18"/>
          <w:szCs w:val="18"/>
          <w:color w:val="auto"/>
        </w:rPr>
      </w:pPr>
    </w:p>
    <w:p>
      <w:pPr>
        <w:ind w:left="760" w:right="400" w:hanging="212"/>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add covenants that would benefit the holders of the outstanding Notes or to surrender any rights the Company has under the Indenture;</w:t>
      </w:r>
    </w:p>
    <w:p>
      <w:pPr>
        <w:spacing w:after="0" w:line="126" w:lineRule="exact"/>
        <w:rPr>
          <w:rFonts w:ascii="Arial" w:cs="Arial" w:eastAsia="Arial" w:hAnsi="Arial"/>
          <w:sz w:val="16"/>
          <w:szCs w:val="16"/>
          <w:color w:val="auto"/>
        </w:rPr>
      </w:pPr>
    </w:p>
    <w:p>
      <w:pPr>
        <w:ind w:left="760" w:hanging="212"/>
        <w:spacing w:after="0" w:line="325"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provided that any such change or elimination shall not become effective with respect to any outstanding Notes created prior to the execution of such supplemental indenture which is entitled to the benefit of such provision;</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03" w:lineRule="exact"/>
        <w:rPr>
          <w:rFonts w:ascii="Arial" w:cs="Arial" w:eastAsia="Arial" w:hAnsi="Arial"/>
          <w:sz w:val="18"/>
          <w:szCs w:val="18"/>
          <w:color w:val="auto"/>
        </w:rPr>
      </w:pPr>
    </w:p>
    <w:p>
      <w:pPr>
        <w:ind w:left="760" w:right="60" w:hanging="212"/>
        <w:spacing w:after="0" w:line="26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issue additional Notes; provided that such additional Notes have the same terms as, and shall be deemed part of the same series as, the Notes to the extent required under the Indenture;</w:t>
      </w:r>
    </w:p>
    <w:p>
      <w:pPr>
        <w:spacing w:after="0" w:line="37" w:lineRule="exact"/>
        <w:rPr>
          <w:rFonts w:ascii="Arial" w:cs="Arial" w:eastAsia="Arial" w:hAnsi="Arial"/>
          <w:sz w:val="18"/>
          <w:szCs w:val="18"/>
          <w:color w:val="auto"/>
        </w:rPr>
      </w:pPr>
    </w:p>
    <w:p>
      <w:pPr>
        <w:ind w:left="760" w:right="400" w:hanging="212"/>
        <w:spacing w:after="0" w:line="325"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the Notes and to add to or change any of the provisions of the Indenture as shall be necessary to provide for or facilitate the administration of the trust by more than one trustee;</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the Notes; and</w:t>
      </w:r>
    </w:p>
    <w:p>
      <w:pPr>
        <w:spacing w:after="0" w:line="103" w:lineRule="exact"/>
        <w:rPr>
          <w:rFonts w:ascii="Arial" w:cs="Arial" w:eastAsia="Arial" w:hAnsi="Arial"/>
          <w:sz w:val="18"/>
          <w:szCs w:val="18"/>
          <w:color w:val="auto"/>
        </w:rPr>
      </w:pPr>
    </w:p>
    <w:p>
      <w:pPr>
        <w:ind w:left="760" w:hanging="21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the outstanding Notes in any material respect.</w:t>
      </w:r>
    </w:p>
    <w:p>
      <w:pPr>
        <w:spacing w:after="0" w:line="18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 Liability of Directors, Officers, Employees, Stockholders and Certain Others</w:t>
      </w:r>
    </w:p>
    <w:p>
      <w:pPr>
        <w:spacing w:after="0" w:line="83"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No director, officer, employee, incorporator or similar founder, stockholder or member of the Company or the Guarantor, as such, will have any liability for any obligations of the Company or the Guarantor under the Notes, Indenture or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83"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the Notes on the dates those payments are due and payable, then, at the Company’s option, either of the following will occur:</w:t>
      </w:r>
    </w:p>
    <w:p>
      <w:pPr>
        <w:spacing w:after="0" w:line="45" w:lineRule="exact"/>
        <w:rPr>
          <w:sz w:val="20"/>
          <w:szCs w:val="20"/>
          <w:color w:val="auto"/>
        </w:rPr>
      </w:pPr>
    </w:p>
    <w:p>
      <w:pPr>
        <w:ind w:left="760" w:right="60" w:hanging="212"/>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such Notes, except as described in the paragraph immediately below (“legal defeasance”); or</w:t>
      </w:r>
    </w:p>
    <w:p>
      <w:pPr>
        <w:spacing w:after="0" w:line="37" w:lineRule="exact"/>
        <w:rPr>
          <w:rFonts w:ascii="Arial" w:cs="Arial" w:eastAsia="Arial" w:hAnsi="Arial"/>
          <w:sz w:val="18"/>
          <w:szCs w:val="18"/>
          <w:color w:val="auto"/>
        </w:rPr>
      </w:pPr>
    </w:p>
    <w:p>
      <w:pPr>
        <w:ind w:left="760" w:right="100" w:hanging="212"/>
        <w:spacing w:after="0" w:line="26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and the related Events of Default will no longer apply to the Company (“covenant defeasance”).</w:t>
      </w:r>
    </w:p>
    <w:p>
      <w:pPr>
        <w:spacing w:after="0" w:line="11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the Company defeases the Notes, the holders of the defeased Notes will not be entitled to the benefits of the Indenture under which such Notes were issued, except for the Company’s obligations to register the transfer or exchange of Notes, replace stolen, lost or mutilated Notes, pay Additional Amounts, maintain paying agencies and hold moneys for payment in trust and to compensate and indemnify the Trustee. In the case of covenant defeasance, the Company’s obligation to pay principal, premium and interest on the Notes will also survive.</w:t>
      </w:r>
    </w:p>
    <w:p>
      <w:pPr>
        <w:spacing w:after="0" w:line="133"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Notes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83" w:lineRule="exact"/>
        <w:rPr>
          <w:sz w:val="20"/>
          <w:szCs w:val="20"/>
          <w:color w:val="auto"/>
        </w:rPr>
      </w:pPr>
    </w:p>
    <w:p>
      <w:pPr>
        <w:ind w:left="120" w:right="360" w:firstLine="440"/>
        <w:spacing w:after="0" w:line="268"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18" w:lineRule="exact"/>
        <w:rPr>
          <w:sz w:val="20"/>
          <w:szCs w:val="20"/>
          <w:color w:val="auto"/>
        </w:rPr>
      </w:pPr>
    </w:p>
    <w:p>
      <w:pPr>
        <w:ind w:left="120" w:right="100" w:firstLine="440"/>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Notes issued under the Indenture only after those holders have furnished the Trustee indemnity reasonably satisfactory to it.</w:t>
      </w:r>
    </w:p>
    <w:p>
      <w:pPr>
        <w:spacing w:after="0" w:line="93"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of 1939, as amended), it must eliminate such conflict, resign or obtain an order from the Securities and Exchange Commission permitting it to remain as Trustee.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83"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color w:val="auto"/>
        </w:rPr>
        <w:t>The Company will maintain one or more paying agents (each a “Paying Agent”) for the Notes in the Borough of Manhattan, City of New York. The Company will undertake to maintain a Paying Agent in a member state of the European Union that is not obligated to withhold or deduct tax pursuant to the European 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the Notes. If we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60"/>
        <w:spacing w:after="0" w:line="331" w:lineRule="auto"/>
        <w:rPr>
          <w:sz w:val="20"/>
          <w:szCs w:val="20"/>
          <w:color w:val="auto"/>
        </w:rPr>
      </w:pPr>
      <w:r>
        <w:rPr>
          <w:rFonts w:ascii="Arial" w:cs="Arial" w:eastAsia="Arial" w:hAnsi="Arial"/>
          <w:sz w:val="16"/>
          <w:szCs w:val="16"/>
          <w:color w:val="auto"/>
        </w:rPr>
        <w:t>fail to appoint or maintain another entity as Paying Agent, the Trustee shall act as such. The Company, the Guarantor or any of the Guarantor’s subsidiaries, upon notice to the Trustee, may act as Paying Agent. The initial Paying Agent will be The Bank of New York Mellon in New York.</w:t>
      </w:r>
    </w:p>
    <w:p>
      <w:pPr>
        <w:spacing w:after="0" w:line="73"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The Company will also maintain one registrar (the “Registrar”) with an office in the Borough of Manhattan, City of New York. The Company, upon written notice to the Trustee accompanied by an Officer’s Certificate, may appoint one or more registrars, other than the Trustee, for the Notes. If we fail to appoint or maintain another entity as Registrar, the Trustee shall act as such. The Company, the Guarantor or any of the Guarantor’s subsidiaries, upon notice to the Trustee, may act as Registrar. The initial Registrar will be The Bank of New York Mellon in New York.</w:t>
      </w:r>
    </w:p>
    <w:p>
      <w:pPr>
        <w:spacing w:after="0" w:line="9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the Notes. If we fail to appoint or maintain another entity as transfer agent, the Trustee shall act as such. The Company, the Guarantor or any of the Guarantor’s subsidiaries, upon notice to the Trustee, may act as transfer agent. The initial transfer agent will be The Bank of New York Mellon in New York.</w:t>
      </w:r>
    </w:p>
    <w:p>
      <w:pPr>
        <w:spacing w:after="0" w:line="133"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8"/>
          <w:szCs w:val="18"/>
          <w:color w:val="auto"/>
        </w:rPr>
        <w:t>The Registrar will maintain a register reflecting ownership of Notes outstanding from time to time and the Paying Agent will make payments on and facilitate transfer of Notes on the behalf of the Company.</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Notes.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Issuances</w:t>
      </w:r>
    </w:p>
    <w:p>
      <w:pPr>
        <w:spacing w:after="0" w:line="83"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may, from time to time, without notice to or consent of the registered holders of its Notes, increase the principal amount of such Notes that may be issued under the Indenture and issue such increased principal amount (or any portion thereof), in which case any such additional Notes so issued will have the same form and terms (other than the date of issuance and, under certain circumstances, the date from which interest thereon will begin to accrue), and will carry the same right to receive accrued and unpaid interest, as the Notes previously issued, and such additional Notes will form a single series with the previously issued Notes, including for purposes of voting and redemptions; provided, however, that a separate CUSIP or ISIN would be issued for the additional Notes, unless the Notes and the additional Notes are fungible for U.S. federal income tax purposes. Such additional Notes will also be guaranteed by the Guarantor (with the same ranking as the Guarantee for the Notes).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8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issue the Notes in registered, global form (each, a “global Note”), without coupons, in minimum denominations of U.S.$2,000 and integral multiples of U.S.$1,000 in excess thereof, that will be deposited with, or on behalf of, DTC. The global Notes will be registered in the name of Cede &amp; Co., DTC’s nominee.</w:t>
      </w:r>
    </w:p>
    <w:p>
      <w:pPr>
        <w:spacing w:after="0" w:line="12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8"/>
          <w:szCs w:val="18"/>
          <w:color w:val="auto"/>
        </w:rPr>
        <w:t>Beneficial interests in the Global Notes will be represented through book-entry accounts of financial institutions acting on behalf of beneficial owners as direct or indirect participants in DTC.</w:t>
      </w:r>
    </w:p>
    <w:p>
      <w:pPr>
        <w:spacing w:after="0" w:line="118" w:lineRule="exact"/>
        <w:rPr>
          <w:sz w:val="20"/>
          <w:szCs w:val="20"/>
          <w:color w:val="auto"/>
        </w:rPr>
      </w:pPr>
    </w:p>
    <w:p>
      <w:pPr>
        <w:ind w:left="120" w:right="440" w:firstLine="440"/>
        <w:spacing w:after="0" w:line="294" w:lineRule="auto"/>
        <w:rPr>
          <w:sz w:val="20"/>
          <w:szCs w:val="20"/>
          <w:color w:val="auto"/>
        </w:rPr>
      </w:pPr>
      <w:r>
        <w:rPr>
          <w:rFonts w:ascii="Arial" w:cs="Arial" w:eastAsia="Arial" w:hAnsi="Arial"/>
          <w:sz w:val="16"/>
          <w:szCs w:val="16"/>
          <w:color w:val="auto"/>
        </w:rPr>
        <w:t>Investors may elect to hold their interests in the global Notes in DTC (in the United States) through its direct and indirect participants, including Clearstream or Euroclear. Investors may hold their interests in the global Notes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color w:val="auto"/>
        </w:rPr>
        <w:t>of DTC. Beneficial interests in the global Notes will be held in authorized denominations. Except as set forth below, the global Notes may be transferred, in whole and not in part, only to another nominee of DTC or to a successor of DTC or its nominee.</w:t>
      </w:r>
    </w:p>
    <w:p>
      <w:pPr>
        <w:spacing w:after="0" w:line="1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represented by a global Note can be exchanged for definitive securities in registered form only if:</w:t>
      </w:r>
    </w:p>
    <w:p>
      <w:pPr>
        <w:spacing w:after="0" w:line="77" w:lineRule="exact"/>
        <w:rPr>
          <w:sz w:val="20"/>
          <w:szCs w:val="20"/>
          <w:color w:val="auto"/>
        </w:rPr>
      </w:pPr>
    </w:p>
    <w:p>
      <w:pPr>
        <w:jc w:val="both"/>
        <w:ind w:left="760" w:right="60" w:hanging="212"/>
        <w:spacing w:after="0" w:line="259"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DTC (a) notifies us that it is unwilling or unable to continue as depositary for the global Notes or (b) has ceased to be a clearing agency registered under the Securities Exchange Act of 1934, as amended (the “Exchange Act”), and, in either case, we fail to appoint a successor depositary within 90 days of such event; or</w:t>
      </w:r>
    </w:p>
    <w:p>
      <w:pPr>
        <w:spacing w:after="0" w:line="45" w:lineRule="exact"/>
        <w:rPr>
          <w:rFonts w:ascii="Arial" w:cs="Arial" w:eastAsia="Arial" w:hAnsi="Arial"/>
          <w:sz w:val="18"/>
          <w:szCs w:val="18"/>
          <w:color w:val="auto"/>
        </w:rPr>
      </w:pPr>
    </w:p>
    <w:p>
      <w:pPr>
        <w:ind w:left="760" w:right="140" w:hanging="212"/>
        <w:spacing w:after="0" w:line="26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determine that the Notes will no longer be represented by a global Note and execute and deliver to the Trustee an Officer’s Certificate to such effect.</w:t>
      </w:r>
    </w:p>
    <w:p>
      <w:pPr>
        <w:spacing w:after="0" w:line="118" w:lineRule="exact"/>
        <w:rPr>
          <w:sz w:val="20"/>
          <w:szCs w:val="20"/>
          <w:color w:val="auto"/>
        </w:rPr>
      </w:pPr>
    </w:p>
    <w:p>
      <w:pPr>
        <w:ind w:left="120" w:right="540" w:firstLine="440"/>
        <w:spacing w:after="0" w:line="259" w:lineRule="auto"/>
        <w:rPr>
          <w:sz w:val="20"/>
          <w:szCs w:val="20"/>
          <w:color w:val="auto"/>
        </w:rPr>
      </w:pPr>
      <w:r>
        <w:rPr>
          <w:rFonts w:ascii="Arial" w:cs="Arial" w:eastAsia="Arial" w:hAnsi="Arial"/>
          <w:sz w:val="18"/>
          <w:szCs w:val="18"/>
          <w:color w:val="auto"/>
        </w:rPr>
        <w:t>A global Note that can be exchanged as described in the preceding sentence will be exchanged for definitive Notes issued in authorized denominations in registered form for the same aggregate amount. The definitive Notes will be registered in the names of the owners of the beneficial interests in the global Note as directed by DTC.</w:t>
      </w:r>
    </w:p>
    <w:p>
      <w:pPr>
        <w:spacing w:after="0" w:line="126" w:lineRule="exact"/>
        <w:rPr>
          <w:sz w:val="20"/>
          <w:szCs w:val="20"/>
          <w:color w:val="auto"/>
        </w:rPr>
      </w:pPr>
    </w:p>
    <w:p>
      <w:pPr>
        <w:ind w:left="120" w:right="120" w:firstLine="440"/>
        <w:spacing w:after="0" w:line="306" w:lineRule="auto"/>
        <w:rPr>
          <w:sz w:val="20"/>
          <w:szCs w:val="20"/>
          <w:color w:val="auto"/>
        </w:rPr>
      </w:pPr>
      <w:r>
        <w:rPr>
          <w:rFonts w:ascii="Arial" w:cs="Arial" w:eastAsia="Arial" w:hAnsi="Arial"/>
          <w:sz w:val="16"/>
          <w:szCs w:val="16"/>
          <w:color w:val="auto"/>
        </w:rPr>
        <w:t>We will make principal and interest payments on all Notes represented by a global Note to a Paying Agent which in turn will make payment to DTC or its nominee, as the case may be, as the sole registered owner and the sole holder of the Notes represented by a global Note for all purposes under the Indenture. Accordingly, we, the Guarantor, the Trustee, any Paying Agent, Registrar or transfer agent will have no responsibility or liability for:</w:t>
      </w:r>
    </w:p>
    <w:p>
      <w:pPr>
        <w:spacing w:after="0" w:line="12" w:lineRule="exact"/>
        <w:rPr>
          <w:sz w:val="20"/>
          <w:szCs w:val="20"/>
          <w:color w:val="auto"/>
        </w:rPr>
      </w:pPr>
    </w:p>
    <w:p>
      <w:pPr>
        <w:ind w:left="760" w:hanging="212"/>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aspect of DTC’s records relating to, or payments made on account of, beneficial ownership interests in a Note represented by a global Note; or</w:t>
      </w:r>
    </w:p>
    <w:p>
      <w:pPr>
        <w:spacing w:after="0" w:line="138" w:lineRule="exact"/>
        <w:rPr>
          <w:rFonts w:ascii="Arial" w:cs="Arial" w:eastAsia="Arial" w:hAnsi="Arial"/>
          <w:sz w:val="15"/>
          <w:szCs w:val="15"/>
          <w:color w:val="auto"/>
        </w:rPr>
      </w:pPr>
    </w:p>
    <w:p>
      <w:pPr>
        <w:ind w:left="760" w:right="220" w:hanging="212"/>
        <w:spacing w:after="0" w:line="26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Note held through those participants; or</w:t>
      </w:r>
    </w:p>
    <w:p>
      <w:pPr>
        <w:spacing w:after="0" w:line="37" w:lineRule="exact"/>
        <w:rPr>
          <w:rFonts w:ascii="Arial" w:cs="Arial" w:eastAsia="Arial" w:hAnsi="Arial"/>
          <w:sz w:val="18"/>
          <w:szCs w:val="18"/>
          <w:color w:val="auto"/>
        </w:rPr>
      </w:pPr>
    </w:p>
    <w:p>
      <w:pPr>
        <w:ind w:left="760" w:hanging="212"/>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maintenance, supervision or review of any of DTC’s records relating to those beneficial ownership interests.</w:t>
      </w:r>
    </w:p>
    <w:p>
      <w:pPr>
        <w:spacing w:after="0" w:line="18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DTC has advised us that its current practice is to credit participants’ accounts on each payment date with payments in amounts proportionate to their respective beneficial interests in the principal amount of such global Note as shown on DTC’s records, upon DTC’s receipt of funds and corresponding detail information. The underwriters or agents for the Notes represented by a global Note will initially designate the accounts to be credited. Payments by participants to owners of beneficial interests in a global Note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DTC</w:t>
      </w:r>
    </w:p>
    <w:p>
      <w:pPr>
        <w:spacing w:after="0" w:line="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So long as DTC or its nominee is the registered owner of a global Note, DTC or its nominee, as the case may be, will be considered the sole owner and holder of the Notes represented by that global Note for all purposes of the Notes. Except as set forth above, owners of beneficial interests in the Notes will not be entitled to have Notes registered in their names, will not receive or be entitled to receive physical delivery of the Notes in definitive form and will not be considered owners or holders of Notes under the Indenture. Accordingly, each person owning a beneficial interest in a global Note must rely on the procedures of DTC and, if that person is not a DTC participant, on the procedures of the participant through which that person owns its interest, to exercise any rights of a holder of Notes. The laws of some jurisdictions require that certain purchasers of securities take physical delivery of the securities in certificated form. These laws may impair the ability to transfer beneficial interests in a global Note. Beneficial owners may experience delays in receiving distributions on their Notes since distributions will initially be made to DTC and must then be transferred through the chain of intermediaries to the beneficial owner’s account.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00" w:firstLine="440"/>
        <w:spacing w:after="0" w:line="298" w:lineRule="auto"/>
        <w:rPr>
          <w:sz w:val="20"/>
          <w:szCs w:val="20"/>
          <w:color w:val="auto"/>
        </w:rPr>
      </w:pPr>
      <w:r>
        <w:rPr>
          <w:rFonts w:ascii="Arial" w:cs="Arial" w:eastAsia="Arial" w:hAnsi="Arial"/>
          <w:sz w:val="16"/>
          <w:szCs w:val="16"/>
          <w:color w:val="auto"/>
        </w:rPr>
        <w:t>We understand that, under existing industry practices, if we request holders to take any action, or if an owner of a beneficial interest in a global Note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99"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Beneficial interests in a global Note will be shown on, and transfers of those ownership interests will be effected only through, records maintained by DTC and its participants for that global Note. The conveyance of notices and other communications by DTC to its participants and by its participants to owners of beneficial interests in the Notes will be governed by arrangements among them, subject to any statutory or regulatory requirements in effect.</w:t>
      </w:r>
    </w:p>
    <w:p>
      <w:pPr>
        <w:spacing w:after="0" w:line="93" w:lineRule="exact"/>
        <w:rPr>
          <w:sz w:val="20"/>
          <w:szCs w:val="20"/>
          <w:color w:val="auto"/>
        </w:rPr>
      </w:pPr>
    </w:p>
    <w:p>
      <w:pPr>
        <w:ind w:left="120" w:right="160" w:firstLine="440"/>
        <w:spacing w:after="0" w:line="306" w:lineRule="auto"/>
        <w:rPr>
          <w:sz w:val="20"/>
          <w:szCs w:val="20"/>
          <w:color w:val="auto"/>
        </w:rPr>
      </w:pPr>
      <w:r>
        <w:rPr>
          <w:rFonts w:ascii="Arial" w:cs="Arial" w:eastAsia="Arial" w:hAnsi="Arial"/>
          <w:sz w:val="16"/>
          <w:szCs w:val="16"/>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93"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10"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Clearstream</w:t>
      </w:r>
    </w:p>
    <w:p>
      <w:pPr>
        <w:spacing w:after="0" w:line="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08" w:lineRule="exact"/>
        <w:rPr>
          <w:sz w:val="20"/>
          <w:szCs w:val="20"/>
          <w:color w:val="auto"/>
        </w:rPr>
      </w:pPr>
    </w:p>
    <w:p>
      <w:pPr>
        <w:ind w:left="120" w:right="8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 to the extent received by the U.S. Depositary for Clearstream.</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Euroclear</w:t>
      </w:r>
    </w:p>
    <w:p>
      <w:pPr>
        <w:spacing w:after="0" w:line="7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08" w:lineRule="exact"/>
        <w:rPr>
          <w:sz w:val="20"/>
          <w:szCs w:val="20"/>
          <w:color w:val="auto"/>
        </w:rPr>
      </w:pPr>
    </w:p>
    <w:p>
      <w:pPr>
        <w:ind w:left="120" w:right="500" w:firstLine="440"/>
        <w:spacing w:after="0" w:line="268"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1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06" w:lineRule="exact"/>
        <w:rPr>
          <w:sz w:val="20"/>
          <w:szCs w:val="20"/>
          <w:color w:val="auto"/>
        </w:rPr>
      </w:pPr>
    </w:p>
    <w:p>
      <w:pPr>
        <w:ind w:left="120" w:right="200" w:firstLine="440"/>
        <w:spacing w:after="0" w:line="268" w:lineRule="auto"/>
        <w:rPr>
          <w:sz w:val="20"/>
          <w:szCs w:val="20"/>
          <w:color w:val="auto"/>
        </w:rPr>
      </w:pPr>
      <w:r>
        <w:rPr>
          <w:rFonts w:ascii="Arial" w:cs="Arial" w:eastAsia="Arial" w:hAnsi="Arial"/>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18"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Euroclear has further advised us that investors that acquire, hold and transfer interests in the Notes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8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33" w:lineRule="exact"/>
        <w:rPr>
          <w:sz w:val="20"/>
          <w:szCs w:val="20"/>
          <w:color w:val="auto"/>
        </w:rPr>
      </w:pPr>
    </w:p>
    <w:p>
      <w:pPr>
        <w:ind w:left="120" w:right="200" w:firstLine="440"/>
        <w:spacing w:after="0" w:line="306" w:lineRule="auto"/>
        <w:rPr>
          <w:sz w:val="20"/>
          <w:szCs w:val="20"/>
          <w:color w:val="auto"/>
        </w:rPr>
      </w:pPr>
      <w:r>
        <w:rPr>
          <w:rFonts w:ascii="Arial" w:cs="Arial" w:eastAsia="Arial" w:hAnsi="Arial"/>
          <w:sz w:val="16"/>
          <w:szCs w:val="16"/>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3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Because of time-zone differences, credits of Notes received through Clearstream or Euroclear as a result of a transaction with a DTC participant will be made during subsequent securities settlement processing and dated the business day following the DTC settlement date. Such credits or any transactions in such Notes settled during such processing will be reported to the relevant Euroclear Participants or Clearstream Participants on such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30"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If the Notes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0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NON-UNITED STATES FEDERAL INCOME TAX CONSIDERATIONS</w:t>
      </w:r>
    </w:p>
    <w:p>
      <w:pPr>
        <w:spacing w:after="0" w:line="16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The following summary is of a general nature and is included herein solely for information purposes. It is based on the laws presently in force in Luxembourg, though it is not intended to be, nor should it be construed to be, legal or tax advice. Unless otherwise indicated, all information contained in this section is based on laws, regulations, practice and decisions in effect in Luxembourg at the date of this prospectus supplement. Any changes could apply retroactively and could affect the continued validity of this summary.</w:t>
      </w:r>
    </w:p>
    <w:p>
      <w:pPr>
        <w:spacing w:after="0" w:line="129"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color w:val="auto"/>
        </w:rPr>
        <w:t>This summary does not purport to be a comprehensive description of all potential Luxembourg tax considerations that may be relevant to a decision to invest in, own or dispose of the Notes and is not intended as tax advice to any particular investor. This information also does not take into account the specific circumstances of particular investors. Prospective investors in the Notes, should therefore consult their own professional advisers as to the effects of state, local or foreign laws, including Luxembourg tax law, to which they may be subject.</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overview assumes that each transaction with respect to the Notes is at arm’s length.</w:t>
      </w:r>
    </w:p>
    <w:p>
      <w:pPr>
        <w:spacing w:after="0" w:line="158" w:lineRule="exact"/>
        <w:rPr>
          <w:sz w:val="20"/>
          <w:szCs w:val="20"/>
          <w:color w:val="auto"/>
        </w:rPr>
      </w:pPr>
    </w:p>
    <w:p>
      <w:pPr>
        <w:ind w:left="120" w:right="440" w:firstLine="440"/>
        <w:spacing w:after="0" w:line="331" w:lineRule="auto"/>
        <w:rPr>
          <w:sz w:val="20"/>
          <w:szCs w:val="20"/>
          <w:color w:val="auto"/>
        </w:rPr>
      </w:pPr>
      <w:r>
        <w:rPr>
          <w:rFonts w:ascii="Arial" w:cs="Arial" w:eastAsia="Arial" w:hAnsi="Arial"/>
          <w:sz w:val="16"/>
          <w:szCs w:val="16"/>
          <w:color w:val="auto"/>
        </w:rPr>
        <w:t>Where in this summary English terms and expressions are used to refer to Luxembourg concepts, the meaning to be attributed to such terms and expressions shall be the meaning to be attributed to the equivalent Luxembourg concepts under Luxembourg tax law.</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summary in this Luxembourg taxation paragraph does not address the Luxembourg tax consequences for a holder of Notes who:</w:t>
      </w:r>
    </w:p>
    <w:p>
      <w:pPr>
        <w:spacing w:after="0" w:line="100" w:lineRule="exact"/>
        <w:rPr>
          <w:sz w:val="20"/>
          <w:szCs w:val="20"/>
          <w:color w:val="auto"/>
        </w:rPr>
      </w:pPr>
    </w:p>
    <w:p>
      <w:pPr>
        <w:ind w:left="1200" w:right="40" w:hanging="652"/>
        <w:spacing w:after="0" w:line="294" w:lineRule="auto"/>
        <w:tabs>
          <w:tab w:leader="none" w:pos="1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 an investor as defined in a specific law (such as the law of 11 May 2007 on family estate management companies, as amended, the law of 17 December 2010 on undertakings for collective investment, as amended, the law of 13 February 2007 on specialized investment funds, as amended, the law of 23 July 2016 on reserved alternative investment funds, the law of 22 March 2004 on securitisation, as amended, the law of 15 June 2004 on venture capital vehicles, as amended, the law of 13 July 2005 on pension saving companies and associations, and the law of 15 June 2004 on venture capital vehicles, as amended);</w:t>
      </w:r>
    </w:p>
    <w:p>
      <w:pPr>
        <w:spacing w:after="0" w:line="20" w:lineRule="exact"/>
        <w:rPr>
          <w:rFonts w:ascii="Arial" w:cs="Arial" w:eastAsia="Arial" w:hAnsi="Arial"/>
          <w:sz w:val="16"/>
          <w:szCs w:val="16"/>
          <w:color w:val="auto"/>
        </w:rPr>
      </w:pPr>
    </w:p>
    <w:p>
      <w:pPr>
        <w:ind w:left="1200" w:hanging="652"/>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although in principle subject to Luxembourg tax, in whole or in part, specifically exempt from tax;</w:t>
      </w:r>
    </w:p>
    <w:p>
      <w:pPr>
        <w:spacing w:after="0" w:line="76" w:lineRule="exact"/>
        <w:rPr>
          <w:rFonts w:ascii="Arial" w:cs="Arial" w:eastAsia="Arial" w:hAnsi="Arial"/>
          <w:sz w:val="18"/>
          <w:szCs w:val="18"/>
          <w:color w:val="auto"/>
        </w:rPr>
      </w:pPr>
    </w:p>
    <w:p>
      <w:pPr>
        <w:ind w:left="1200" w:right="600" w:hanging="652"/>
        <w:spacing w:after="0" w:line="268"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owns Notes in connection with a membership of a management board or a supervisory board, an employment relationship, a deemed employment relationship or management role; or</w:t>
      </w:r>
    </w:p>
    <w:p>
      <w:pPr>
        <w:spacing w:after="0" w:line="37" w:lineRule="exact"/>
        <w:rPr>
          <w:rFonts w:ascii="Arial" w:cs="Arial" w:eastAsia="Arial" w:hAnsi="Arial"/>
          <w:sz w:val="18"/>
          <w:szCs w:val="18"/>
          <w:color w:val="auto"/>
        </w:rPr>
      </w:pPr>
    </w:p>
    <w:p>
      <w:pPr>
        <w:jc w:val="both"/>
        <w:ind w:left="1200" w:right="60" w:hanging="652"/>
        <w:spacing w:after="0" w:line="369" w:lineRule="auto"/>
        <w:tabs>
          <w:tab w:leader="none" w:pos="12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has a substantial interest in the Company or a deemed substantial interest in the Company for Luxembourg tax purposes. Generally, a person holds a substantial interest if such person owns or is deemed to own, directly or indirectly, 10% or more of the shares or interest in an entity.</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Tax</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holders of the Notes</w:t>
      </w:r>
    </w:p>
    <w:p>
      <w:pPr>
        <w:spacing w:after="0" w:line="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Under Luxembourg general tax laws currently in force, interest payments (including accrued but unpaid interest) and principal made to non-residents of Luxembourg in the context of the holding, disposal, redemption or repurchase of the Notes which are not profit-sharing will not be subject to any Luxembourg withholding tax.</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holders of the Notes</w:t>
      </w:r>
    </w:p>
    <w:p>
      <w:pPr>
        <w:spacing w:after="0" w:line="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law of 23 December 2005 as amended (the “23 December 2005 Law”), payments of interest or similar income made or ascribed by a Luxembourg paying agent to or for the benefit of an individual beneficial owner who is resident of Luxembourg will be subject to a withholding tax of 20% (the “20% Withholding Tax”).</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firstLine="440"/>
        <w:spacing w:after="0" w:line="306" w:lineRule="auto"/>
        <w:rPr>
          <w:sz w:val="20"/>
          <w:szCs w:val="20"/>
          <w:color w:val="auto"/>
        </w:rPr>
      </w:pPr>
      <w:r>
        <w:rPr>
          <w:rFonts w:ascii="Arial" w:cs="Arial" w:eastAsia="Arial" w:hAnsi="Arial"/>
          <w:sz w:val="16"/>
          <w:szCs w:val="16"/>
          <w:color w:val="auto"/>
        </w:rPr>
        <w:t>Pursuant to the 23 December 2005 Law, Luxembourg resident individuals acting in the course of the management of their private wealth can opt to self-declare and pay a 20% tax (the “20% Self-Declared Tax”) on interest payments made on or after 31 December 2007 by paying agents located in an EU Member State other than Luxembourg or a Member State of the European Economic Area other than an EU Member State.</w:t>
      </w:r>
    </w:p>
    <w:p>
      <w:pPr>
        <w:spacing w:after="0" w:line="93"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20% Withholding Tax or the 20% Self-Declared Tax will be in full discharge of income tax if the beneficial owner is an individual acting in the course of the management of his or her private wealth. Payments of interest under the Notes coming within the scope of the 23 December 2005 Law are subject to the 20% Withholding Tax or the 20% Self-Declared Tax. Responsibility for the payment of tax in application of the 23 December 2005 Law is assumed by the Luxembourg paying agent (in the case of the 20% Withholding Tax) and by the Luxembourg resident holder of the Notes (in the case of the 20% Self-Declared Tax).</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 on Income and Capital Gains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Non-resident Notes holders</w:t>
      </w:r>
    </w:p>
    <w:p>
      <w:pPr>
        <w:spacing w:after="0" w:line="7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Non-resident Notes holders, not having a permanent establishment or a permanent representative, to which the Notes or income thereon are attributable, are not subject to Luxembourg income taxes on interest accrued or received, redemption premiums or issue discounts, under the Notes or on capital gains realised on the disposal or redemption of the Notes.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 Notes holders</w:t>
      </w:r>
    </w:p>
    <w:p>
      <w:pPr>
        <w:spacing w:after="0" w:line="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A resident individual acting in the course of the management of a professional or business undertaking must include any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or received, any redemption premium or issue discount, as well as any gain realized on the sale or disposal in any form whatsoever, of the Notes, in its taxable income for Luxembourg income tax purposes.</w:t>
      </w:r>
    </w:p>
    <w:p>
      <w:pPr>
        <w:spacing w:after="0" w:line="12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resident Notes holder, acting in the course of the management of his or her private wealth, is subject to Luxembourg income tax in respect of interest or similar income received (such as premiums or issue discounts) under the Notes, except if tax is levied on such payments in accordance with the 23 December 2005 Law.</w:t>
      </w:r>
    </w:p>
    <w:p>
      <w:pPr>
        <w:spacing w:after="0" w:line="126" w:lineRule="exact"/>
        <w:rPr>
          <w:sz w:val="20"/>
          <w:szCs w:val="20"/>
          <w:color w:val="auto"/>
        </w:rPr>
      </w:pPr>
    </w:p>
    <w:p>
      <w:pPr>
        <w:ind w:left="120" w:right="200" w:firstLine="440"/>
        <w:spacing w:after="0" w:line="256" w:lineRule="auto"/>
        <w:rPr>
          <w:sz w:val="20"/>
          <w:szCs w:val="20"/>
          <w:color w:val="auto"/>
        </w:rPr>
      </w:pPr>
      <w:r>
        <w:rPr>
          <w:rFonts w:ascii="Arial" w:cs="Arial" w:eastAsia="Arial" w:hAnsi="Arial"/>
          <w:sz w:val="18"/>
          <w:szCs w:val="18"/>
          <w:color w:val="auto"/>
        </w:rPr>
        <w:t>A gain realised by an individual Notes holder, acting in the course of the management of his or her private wealth, upon the sale or disposal, in any form whatsoever, of Notes is not subject to Luxembourg income tax, provided this sale or disposal took place more than six months after the Notes were acquired. However, any portion of such gain corresponding to accrued but unpaid interest income is subject to Luxembourg income tax, except if tax is levied on such interest in accordance with the 23 December 2005 Law.</w:t>
      </w:r>
    </w:p>
    <w:p>
      <w:pPr>
        <w:spacing w:after="0" w:line="129" w:lineRule="exact"/>
        <w:rPr>
          <w:sz w:val="20"/>
          <w:szCs w:val="20"/>
          <w:color w:val="auto"/>
        </w:rPr>
      </w:pPr>
    </w:p>
    <w:p>
      <w:pPr>
        <w:ind w:left="120" w:right="220" w:firstLine="440"/>
        <w:spacing w:after="0" w:line="331" w:lineRule="auto"/>
        <w:rPr>
          <w:sz w:val="20"/>
          <w:szCs w:val="20"/>
          <w:color w:val="auto"/>
        </w:rPr>
      </w:pPr>
      <w:r>
        <w:rPr>
          <w:rFonts w:ascii="Arial" w:cs="Arial" w:eastAsia="Arial" w:hAnsi="Arial"/>
          <w:sz w:val="16"/>
          <w:szCs w:val="16"/>
          <w:b w:val="1"/>
          <w:bCs w:val="1"/>
          <w:i w:val="1"/>
          <w:iCs w:val="1"/>
          <w:color w:val="auto"/>
        </w:rPr>
        <w:t xml:space="preserve">Corporations. </w:t>
      </w:r>
      <w:r>
        <w:rPr>
          <w:rFonts w:ascii="Arial" w:cs="Arial" w:eastAsia="Arial" w:hAnsi="Arial"/>
          <w:sz w:val="16"/>
          <w:szCs w:val="16"/>
          <w:color w:val="auto"/>
        </w:rPr>
        <w:t>A corporate resident holder of Notes must include any interest accrued or received, any redemption premium or issue discount,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any gain realized on the sale or disposal, in any form whatsoever, of the Notes, in its taxable income for Luxembourg income tax purposes.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Wealth Tax</w:t>
      </w:r>
    </w:p>
    <w:p>
      <w:pPr>
        <w:spacing w:after="0" w:line="77"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color w:val="auto"/>
        </w:rPr>
        <w:t>Corporate holders of Notes resident in Luxembourg and non-resident corporate holders of Notes that maintain a permanent establishment or permanent representative in the Grand Duchy of Luxembourg to which or to whom such Notes are attributable are subject to annual net wealth tax on their unitary value (i.e., non-exempt assets minus liabilities and certain provisions as valued according to valuation rules), levied at a rate of 0.5% if the unitary value does not exceed €500,000,000 and 0.05% on the portion of the unitary value that exceeds €500,000,000, in respect of the Notes.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corporate resident holder of Notes will further be subject to a minimum net wealth tax that ranges between €535 and €23,100.</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Individuals are not subject to Luxembourg net wealth tax.</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Notes are transferred for non-consideration:</w:t>
      </w:r>
    </w:p>
    <w:p>
      <w:pPr>
        <w:spacing w:after="0" w:line="77" w:lineRule="exact"/>
        <w:rPr>
          <w:sz w:val="20"/>
          <w:szCs w:val="20"/>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Luxembourg inheritance tax is levied on the transfer of the Notes upon the death of a holder of Notes in cases where the deceased was not a resident of Luxembourg for inheritance tax purposes;</w:t>
      </w:r>
    </w:p>
    <w:p>
      <w:pPr>
        <w:spacing w:after="0" w:line="3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by way of gift, Luxembourg gift tax will be levied in the event that the gift is made pursuant to a notarial deed signed before a Luxembourg notary or is registered in Luxembourg.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7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It is not compulsory that the Notes be filed, recorded or enrolled with any court or other authority in Luxembourg. No registration tax, transfer tax, capital tax, stamp duty or any other similar documentary tax or duty be paid in respect of or in connection with the issue of Notes, the performance by the Company of its obligations under Notes, or the transfer of Notes.</w:t>
      </w:r>
    </w:p>
    <w:p>
      <w:pPr>
        <w:spacing w:after="0" w:line="126"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color w:val="auto"/>
        </w:rPr>
        <w:t>A fixed or ad valorem registration duty in Luxembourg may however apply (i) upon voluntary registration (</w:t>
      </w:r>
      <w:r>
        <w:rPr>
          <w:rFonts w:ascii="Arial" w:cs="Arial" w:eastAsia="Arial" w:hAnsi="Arial"/>
          <w:sz w:val="18"/>
          <w:szCs w:val="18"/>
          <w:i w:val="1"/>
          <w:iCs w:val="1"/>
          <w:color w:val="auto"/>
        </w:rPr>
        <w:t>presentation à l’enregistrement</w:t>
      </w:r>
      <w:r>
        <w:rPr>
          <w:rFonts w:ascii="Arial" w:cs="Arial" w:eastAsia="Arial" w:hAnsi="Arial"/>
          <w:sz w:val="18"/>
          <w:szCs w:val="18"/>
          <w:color w:val="auto"/>
        </w:rPr>
        <w:t>) of the Notes before the Registration and Estates Department (</w:t>
      </w:r>
      <w:r>
        <w:rPr>
          <w:rFonts w:ascii="Arial" w:cs="Arial" w:eastAsia="Arial" w:hAnsi="Arial"/>
          <w:sz w:val="18"/>
          <w:szCs w:val="18"/>
          <w:i w:val="1"/>
          <w:iCs w:val="1"/>
          <w:color w:val="auto"/>
        </w:rPr>
        <w:t>Administration de l’enregistrement, des domaines et de la TVA</w:t>
      </w:r>
      <w:r>
        <w:rPr>
          <w:rFonts w:ascii="Arial" w:cs="Arial" w:eastAsia="Arial" w:hAnsi="Arial"/>
          <w:sz w:val="18"/>
          <w:szCs w:val="18"/>
          <w:color w:val="auto"/>
        </w:rPr>
        <w:t>) in Luxembourg, or (ii) if the Notes are (a) enclosed to a compulsory registrable deed under Luxembourg law (</w:t>
      </w:r>
      <w:r>
        <w:rPr>
          <w:rFonts w:ascii="Arial" w:cs="Arial" w:eastAsia="Arial" w:hAnsi="Arial"/>
          <w:sz w:val="18"/>
          <w:szCs w:val="18"/>
          <w:i w:val="1"/>
          <w:iCs w:val="1"/>
          <w:color w:val="auto"/>
        </w:rPr>
        <w:t>acte obligatoirement enregistrable</w:t>
      </w:r>
      <w:r>
        <w:rPr>
          <w:rFonts w:ascii="Arial" w:cs="Arial" w:eastAsia="Arial" w:hAnsi="Arial"/>
          <w:sz w:val="18"/>
          <w:szCs w:val="18"/>
          <w:color w:val="auto"/>
        </w:rPr>
        <w:t>) or (b) deposited with the official records of a notary (</w:t>
      </w:r>
      <w:r>
        <w:rPr>
          <w:rFonts w:ascii="Arial" w:cs="Arial" w:eastAsia="Arial" w:hAnsi="Arial"/>
          <w:sz w:val="18"/>
          <w:szCs w:val="18"/>
          <w:i w:val="1"/>
          <w:iCs w:val="1"/>
          <w:color w:val="auto"/>
        </w:rPr>
        <w:t>déposé au rang des minutes d’un notaire</w:t>
      </w:r>
      <w:r>
        <w:rPr>
          <w:rFonts w:ascii="Arial" w:cs="Arial" w:eastAsia="Arial" w:hAnsi="Arial"/>
          <w:sz w:val="18"/>
          <w:szCs w:val="18"/>
          <w:color w:val="auto"/>
        </w:rPr>
        <w: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64"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following is a summary of material U.S. federal income tax consequences relating to the ownership and disposition of Notes as of the date hereof, and does not purport to be to be a complete analysis of all the potential tax considerations relating thereto. Except where noted, this summary deals only with Notes that are held as capital assets (within the meaning of Section 1221 of the Code (as defined below)) by a beneficial owner who acquired the Notes upon original issuance at their “issue price,” which will equal the first price to the public (not including bond houses, brokers or similar persons or organizations acting in the capacity of underwriters, placement agents or wholesalers) at which a substantial amount of Notes are sold for money.</w:t>
      </w:r>
    </w:p>
    <w:p>
      <w:pPr>
        <w:spacing w:after="0" w:line="10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this summary, a “U.S. Holder” is a beneficial owner of a Note that, for U.S. federal income tax purposes, is: (a) an individual citizen or resident of the United States; (b) a corporation (or other entity treated as a corporation for U.S. federal tax purposes) created or organized in or under the laws of the United States or any state or political subdivision thereof (including the District of Columbia); (c) an estate the income of which is subject to U.S. federal income taxation regardless of its source; or (d) a trust if (i) a court within the United States is able to exercise primary supervision over the trust’s administration and one or more United States persons have the authority to control all substantial decisions of the trust or (ii) such trust has a valid election in effect under applicable U.S. Treasury regulations to be treated as a United States person.</w:t>
      </w:r>
    </w:p>
    <w:p>
      <w:pPr>
        <w:spacing w:after="0" w:line="106" w:lineRule="exact"/>
        <w:rPr>
          <w:sz w:val="20"/>
          <w:szCs w:val="20"/>
          <w:color w:val="auto"/>
        </w:rPr>
      </w:pPr>
    </w:p>
    <w:p>
      <w:pPr>
        <w:jc w:val="both"/>
        <w:ind w:left="120" w:right="260" w:firstLine="440"/>
        <w:spacing w:after="0" w:line="306" w:lineRule="auto"/>
        <w:rPr>
          <w:sz w:val="20"/>
          <w:szCs w:val="20"/>
          <w:color w:val="auto"/>
        </w:rPr>
      </w:pPr>
      <w:r>
        <w:rPr>
          <w:rFonts w:ascii="Arial" w:cs="Arial" w:eastAsia="Arial" w:hAnsi="Arial"/>
          <w:sz w:val="16"/>
          <w:szCs w:val="16"/>
          <w:color w:val="auto"/>
        </w:rPr>
        <w:t>If any entity or arrangement that is treated as a partnership for U.S. federal income tax purposes holds the Notes, the tax treatment of a partner will generally depend upon the status of the partner and the activities of the partnership. If you are a partner of a partnership considering an investment in the Notes, you should consult your tax advisors concerning the U.S. federal income tax consequences of the ownership and disposition of the Notes.</w:t>
      </w:r>
    </w:p>
    <w:p>
      <w:pPr>
        <w:spacing w:after="0" w:line="93"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may be changed, perhaps retroactively, so as to result in United States federal income tax consequences different from those summarized below. We have not sought and do not intend to seek a ruling from the Internal Revenue Service (the “IRS”), on any aspect of these transactions. Accordingly, we cannot assure you that the IRS will agree with the views expressed in this summary, or that a court will not sustain any challenge to those views by the IRS in the event of litigation. This summary does not address all aspects of United States federal income taxes and does not deal with foreign, state, local or other tax considerations that may be relevant to beneficial owners of the Notes in light of their particular circumstances. In addition, it does not present a detailed description of the U.S. federal income tax consequences applicable to you if you are subject to special treatment under the U.S. federal income tax laws (including, for example, if you are a dealer in securities or currencies, a trader in securities that elects to use a mark-to-market method of tax accounting for your securities holdings, a bank or other financial institution, a regulated investment company, a real estate investment trust, an employee stock ownership plan, a controlled foreign corporation, a foreign personal holding company, a passive foreign investment company, a pass-through entity (or an owner of a pass-through entity), a corporation that accumulates earnings to avoid tax, an insurance company, a tax-exempt organization, a former citizen or resident of the United States, a person liable for the alternative minimum tax, a person that owns Notes that are a hedge or that are hedged against interest rate or currency risks, a person that owns Notes as part of a straddle, hedge, conversion, constructive sale or other integrated transaction for U.S. federal income tax purposes, a person that purchases or sells Notes as part of a wash sale for tax purposes, or a U.S. Holder whose functional currency for tax purposes is not the U.S. dollar) or a person subject to special tax accounting rules under Section 451(b) of the Code applicable to persons that maintain certain specified financial statements. A change in law may alter significantly the tax considerations that we describe in this summary.</w:t>
      </w:r>
    </w:p>
    <w:p>
      <w:pPr>
        <w:spacing w:after="0" w:line="113" w:lineRule="exact"/>
        <w:rPr>
          <w:sz w:val="20"/>
          <w:szCs w:val="20"/>
          <w:color w:val="auto"/>
        </w:rPr>
      </w:pPr>
    </w:p>
    <w:p>
      <w:pPr>
        <w:ind w:left="120" w:right="240" w:firstLine="440"/>
        <w:spacing w:after="0" w:line="262" w:lineRule="auto"/>
        <w:rPr>
          <w:sz w:val="20"/>
          <w:szCs w:val="20"/>
          <w:color w:val="auto"/>
        </w:rPr>
      </w:pPr>
      <w:r>
        <w:rPr>
          <w:rFonts w:ascii="Arial" w:cs="Arial" w:eastAsia="Arial" w:hAnsi="Arial"/>
          <w:sz w:val="18"/>
          <w:szCs w:val="18"/>
          <w:b w:val="1"/>
          <w:bCs w:val="1"/>
          <w:color w:val="auto"/>
        </w:rPr>
        <w:t>If you are considering the purchase of Notes, you should consult your own tax advisors concerning the particular U.S. federal income tax consequences to you of the ownership of the Notes, as well as the consequences to you arising under the laws of any other taxing jurisdiction and the possible effects of changes in tax laws.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Contingent Payments</w:t>
      </w:r>
    </w:p>
    <w:p>
      <w:pPr>
        <w:spacing w:after="0" w:line="8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may become obligated to pay an amount in excess of the stated interest and/or the principal amount of the Notes, as described, for example, in “Description of the Notes—Optional Redemption” and “Description of the Notes—Additional Amounts” The obligation to make these payments may cause a special method of accounting for interest income and expense arising with respect to debt instruments that provide for one or more contingent payments (“contingent payment debt instruments”) to apply. The relevant U.S. Treasury regulations state, however, that, for purposes of determining whether a debt instrument is a contingent payment debt instrument, remote or incidental contingencies are ignored. We intend to take the position, that the Notes should not be characterized as contingent payment debt instruments under United States federal income tax law because the contingency that would require us to make any of these contingent payments is remote, or is incidental. Our determination is binding on a beneficial owner, unless the beneficial owner discloses in the proper manner to the IRS that it is taking a different position. Our determination is not, however, binding on the IRS, and if the IRS successfully takes a contrary position, you may be required (i) to accrue interest income at a rate higher than the stated interest rate on the Notes, and (ii) to treat as ordinary income, rather than capital gain, a portion or all of any gain on the sale or retirement of the Notes. You should consult your tax advisor about the risk of the Notes being treated as contingent payment debt instruments. The remainder of this discussion assumes that the Notes are not contingent payment debt instruments.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left="120" w:right="160" w:firstLine="440"/>
        <w:spacing w:after="0" w:line="256"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Interest on a Note will generally be taxable to you as ordinary interest income as it accrues or is received by you in accordance with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usual method of accounting for U.S. federal income tax purposes. Interest income from the Notes will constitute foreign-source income, which may be relevant to you in calculating your foreign tax credit limitation. The limitation on foreign taxes eligible for credit is calculated separately with respect to specific classes of income.</w:t>
      </w:r>
    </w:p>
    <w:p>
      <w:pPr>
        <w:spacing w:after="0" w:line="1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i w:val="1"/>
          <w:iCs w:val="1"/>
          <w:color w:val="auto"/>
        </w:rPr>
        <w:t xml:space="preserve">Sale, Exchange or Other Taxable Dispositions of Notes. </w:t>
      </w:r>
      <w:r>
        <w:rPr>
          <w:rFonts w:ascii="Arial" w:cs="Arial" w:eastAsia="Arial" w:hAnsi="Arial"/>
          <w:sz w:val="18"/>
          <w:szCs w:val="18"/>
          <w:color w:val="auto"/>
        </w:rPr>
        <w:t>If you are a U.S. Holder, upon the sale, exchange, redemption, retirement or other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disposition of a Note, you will generally recognize gain or loss for U.S. federal income tax purposes in an amount equal to the difference between (i) the amount of the cash and the fair market value of any property you receive on the sale or other taxable disposition (less an amount attributable to any accrued but unpaid interest, which will be taxable as ordinary interest income to the extent not previously taken into income), and (ii) your adjusted tax basis in the Note. Your adjusted tax basis in a Note will generally be equal to your cost for the Note (increased by any accrued but unpaid interest that you have previously taken into income).</w:t>
      </w:r>
    </w:p>
    <w:p>
      <w:pPr>
        <w:spacing w:after="0" w:line="130" w:lineRule="exact"/>
        <w:rPr>
          <w:sz w:val="20"/>
          <w:szCs w:val="20"/>
          <w:color w:val="auto"/>
        </w:rPr>
      </w:pPr>
    </w:p>
    <w:p>
      <w:pPr>
        <w:ind w:left="120" w:right="60" w:firstLine="440"/>
        <w:spacing w:after="0" w:line="256" w:lineRule="auto"/>
        <w:rPr>
          <w:sz w:val="20"/>
          <w:szCs w:val="20"/>
          <w:color w:val="auto"/>
        </w:rPr>
      </w:pPr>
      <w:r>
        <w:rPr>
          <w:rFonts w:ascii="Arial" w:cs="Arial" w:eastAsia="Arial" w:hAnsi="Arial"/>
          <w:sz w:val="18"/>
          <w:szCs w:val="18"/>
          <w:color w:val="auto"/>
        </w:rPr>
        <w:t>Such gain or loss will generally be treated as capital gain or loss, and will be treated as long-term capital gain or loss if your holding period for the Note exceeds one year at the time of the disposition. Long-term capital gains of non-corporate taxpayers are subject to reduced rates of taxation. The deductibility of capital losses is subject to limitations. Gain or loss, if any, will generally be U.S.-source income for purposes of computing your foreign tax credit limitation.</w:t>
      </w:r>
    </w:p>
    <w:p>
      <w:pPr>
        <w:spacing w:after="0" w:line="12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 xml:space="preserve">Additional Tax on Net Investment Income. </w:t>
      </w:r>
      <w:r>
        <w:rPr>
          <w:rFonts w:ascii="Arial" w:cs="Arial" w:eastAsia="Arial" w:hAnsi="Arial"/>
          <w:sz w:val="16"/>
          <w:szCs w:val="16"/>
          <w:color w:val="auto"/>
        </w:rPr>
        <w:t>U.S. persons that are individuals, estates, or certain trusts are generally subject to a 3.8% tax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lesser of (1) the U.S. person’s “net investment income” for the relevant taxable year and (2) the excess of the U.S. person’s modified adjusted gross income for the taxable year over a certain threshold (which in the case of individuals will be between $125,000 and $250,000, depending on the individual’s tax return filing status). Your net investment income will generally include any income or gain recognized by such beneficial owner with respect to the Notes, unless such income or gain is derived in the ordinary course of the conduct of such beneficial owner’s trade or business (other than a trade or business that consists of certain passive or trading activities). U.S. persons that are individuals, estates, or trusts should consult their tax advisors on the applicability of this additional tax to its income and gains in respect of their investment in the Notes.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U.S. federal backup withholding will apply to interest on the Notes and proceeds from the sale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disposition of the Notes unless (a) you are an exempt recipient and, when required, demonstrate this fact, (b) you provide a correct taxpayer identification number and otherwise comply with applicable requirements of the backup withholding rules, or (c) in certain circumstances, you certify under penalty of perjury that you are not subject to backup withholding. The backup withholding rate is currently 24%. A U.S. Holder who does not provide a correct taxpayer identification number may also be subject to penalties imposed by the IRS.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credit against your U.S.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liability and may entitle you to a refund, provided the required information is timely furnished to the IRS.</w:t>
      </w:r>
    </w:p>
    <w:p>
      <w:pPr>
        <w:spacing w:after="0" w:line="151"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8"/>
          <w:szCs w:val="18"/>
          <w:color w:val="auto"/>
        </w:rPr>
        <w:t>You will also be subject to information reporting on interest on the Notes and proceeds from the sale or other disposition of the Notes, unless you are an exempt recipient and appropriately establish that exemption.</w:t>
      </w:r>
    </w:p>
    <w:p>
      <w:pPr>
        <w:spacing w:after="0" w:line="112" w:lineRule="exact"/>
        <w:rPr>
          <w:sz w:val="20"/>
          <w:szCs w:val="20"/>
          <w:color w:val="auto"/>
        </w:rPr>
      </w:pPr>
    </w:p>
    <w:p>
      <w:pPr>
        <w:jc w:val="both"/>
        <w:ind w:left="120" w:right="80" w:firstLine="440"/>
        <w:spacing w:after="0" w:line="310" w:lineRule="auto"/>
        <w:rPr>
          <w:sz w:val="20"/>
          <w:szCs w:val="20"/>
          <w:color w:val="auto"/>
        </w:rPr>
      </w:pPr>
      <w:r>
        <w:rPr>
          <w:rFonts w:ascii="Arial" w:cs="Arial" w:eastAsia="Arial" w:hAnsi="Arial"/>
          <w:sz w:val="16"/>
          <w:szCs w:val="16"/>
          <w:b w:val="1"/>
          <w:bCs w:val="1"/>
          <w:color w:val="auto"/>
        </w:rPr>
        <w:t>The preceding discussion of certain U.S. federal income tax considerations is for general information only and is not tax advice. Accordingly, you should consult your tax advisor as to particular tax consequences to you of holding and disposing of the Notes, including the applicability and effect of any foreign, state, local or other tax laws, and of any pending or subsequent changes in applicable laws.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left="120" w:right="200" w:firstLine="440"/>
        <w:spacing w:after="0" w:line="298" w:lineRule="auto"/>
        <w:rPr>
          <w:sz w:val="20"/>
          <w:szCs w:val="20"/>
          <w:color w:val="auto"/>
        </w:rPr>
      </w:pPr>
      <w:r>
        <w:rPr>
          <w:rFonts w:ascii="Arial" w:cs="Arial" w:eastAsia="Arial" w:hAnsi="Arial"/>
          <w:sz w:val="16"/>
          <w:szCs w:val="16"/>
          <w:color w:val="auto"/>
        </w:rPr>
        <w:t>Subject to the terms and conditions contained in an underwriting agreement, dated as of the date of this prospectus supplement among us, the Guarantor and the underwriters named below, for whom Citigroup Global Markets Inc., HSBC Securities (USA) Inc., J.P. Morgan Securities LLC and SG Americas Securities, LLC are acting as representatives, we have agreed to sell to each underwriter, and each underwriter has severally agreed to purchase from us, the principal amount of Notes that appears opposite its name in the table below:</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0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Underwriter</w:t>
            </w:r>
          </w:p>
        </w:tc>
        <w:tc>
          <w:tcPr>
            <w:tcW w:w="390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Principal Amount</w:t>
            </w:r>
          </w:p>
        </w:tc>
        <w:tc>
          <w:tcPr>
            <w:tcW w:w="0" w:type="dxa"/>
            <w:vAlign w:val="bottom"/>
          </w:tcPr>
          <w:p>
            <w:pPr>
              <w:spacing w:after="0"/>
              <w:rPr>
                <w:sz w:val="1"/>
                <w:szCs w:val="1"/>
                <w:color w:val="auto"/>
              </w:rPr>
            </w:pPr>
          </w:p>
        </w:tc>
      </w:tr>
      <w:tr>
        <w:trPr>
          <w:trHeight w:val="148"/>
        </w:trPr>
        <w:tc>
          <w:tcPr>
            <w:tcW w:w="6020" w:type="dxa"/>
            <w:vAlign w:val="bottom"/>
            <w:gridSpan w:val="2"/>
            <w:vMerge w:val="continue"/>
          </w:tcPr>
          <w:p>
            <w:pPr>
              <w:spacing w:after="0"/>
              <w:rPr>
                <w:sz w:val="12"/>
                <w:szCs w:val="12"/>
                <w:color w:val="auto"/>
              </w:rPr>
            </w:pPr>
          </w:p>
        </w:tc>
        <w:tc>
          <w:tcPr>
            <w:tcW w:w="3900" w:type="dxa"/>
            <w:vAlign w:val="bottom"/>
          </w:tcPr>
          <w:p>
            <w:pPr>
              <w:spacing w:after="0"/>
              <w:rPr>
                <w:sz w:val="12"/>
                <w:szCs w:val="12"/>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3"/>
                <w:szCs w:val="13"/>
                <w:b w:val="1"/>
                <w:bCs w:val="1"/>
                <w:color w:val="auto"/>
              </w:rPr>
              <w:t>of Notes</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3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39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ind w:left="3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120" w:right="340" w:firstLine="440"/>
        <w:spacing w:after="0" w:line="335" w:lineRule="auto"/>
        <w:rPr>
          <w:sz w:val="20"/>
          <w:szCs w:val="20"/>
          <w:color w:val="auto"/>
        </w:rPr>
      </w:pPr>
      <w:r>
        <w:rPr>
          <w:rFonts w:ascii="Arial" w:cs="Arial" w:eastAsia="Arial" w:hAnsi="Arial"/>
          <w:sz w:val="15"/>
          <w:szCs w:val="15"/>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certain conditions. The underwriters are obligated to take and pay for all of the Notes offered by this prospectus supplement if any such Notes are taken.</w:t>
      </w:r>
    </w:p>
    <w:p>
      <w:pPr>
        <w:spacing w:after="0" w:line="74" w:lineRule="exact"/>
        <w:rPr>
          <w:sz w:val="20"/>
          <w:szCs w:val="20"/>
          <w:color w:val="auto"/>
        </w:rPr>
      </w:pPr>
    </w:p>
    <w:p>
      <w:pPr>
        <w:ind w:left="120" w:right="180" w:firstLine="440"/>
        <w:spacing w:after="0" w:line="284" w:lineRule="auto"/>
        <w:rPr>
          <w:sz w:val="20"/>
          <w:szCs w:val="20"/>
          <w:color w:val="auto"/>
        </w:rPr>
      </w:pPr>
      <w:r>
        <w:rPr>
          <w:rFonts w:ascii="Arial" w:cs="Arial" w:eastAsia="Arial" w:hAnsi="Arial"/>
          <w:sz w:val="16"/>
          <w:szCs w:val="16"/>
          <w:color w:val="auto"/>
        </w:rPr>
        <w:t>The underwriters initially propose to offer the Notes to the public at the public offering price that appears on the cover page of this prospectus supplement. In addition, the underwriters initially propose to offer the Notes to certain dealers at prices that represent a concession not in excess of % of the principal amount of the Notes. Any underwriter may allow, and any such dealer may reallow, a concession not in excess of % of the principal</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amount of the Notes to certain other dealers. After the initial offering of the Notes, the underwriters may from time to time vary the offering prices and other selling terms. The underwriters may offer and sell Notes through certain of their affiliates.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underwriting discount that we will pay to the underwriters in connection with the offering of the Notes: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Paid by Us</w:t>
            </w:r>
          </w:p>
        </w:tc>
      </w:tr>
      <w:tr>
        <w:trPr>
          <w:trHeight w:val="210"/>
        </w:trPr>
        <w:tc>
          <w:tcPr>
            <w:tcW w:w="10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2"/>
        </w:trPr>
        <w:tc>
          <w:tcPr>
            <w:tcW w:w="1018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356"/>
        </w:trPr>
        <w:tc>
          <w:tcPr>
            <w:tcW w:w="10180" w:type="dxa"/>
            <w:vAlign w:val="bottom"/>
          </w:tcPr>
          <w:p>
            <w:pPr>
              <w:ind w:left="440"/>
              <w:spacing w:after="0"/>
              <w:rPr>
                <w:sz w:val="20"/>
                <w:szCs w:val="20"/>
                <w:color w:val="auto"/>
              </w:rPr>
            </w:pPr>
            <w:r>
              <w:rPr>
                <w:rFonts w:ascii="Arial" w:cs="Arial" w:eastAsia="Arial" w:hAnsi="Arial"/>
                <w:sz w:val="18"/>
                <w:szCs w:val="18"/>
                <w:color w:val="auto"/>
                <w:w w:val="93"/>
              </w:rPr>
              <w:t>Expenses associated with this offering to be paid by us, other than underwriting discounts, are estimated to be approximately U.S.$</w:t>
            </w:r>
          </w:p>
        </w:tc>
        <w:tc>
          <w:tcPr>
            <w:tcW w:w="62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bl>
    <w:p>
      <w:pPr>
        <w:spacing w:after="0" w:line="142" w:lineRule="exact"/>
        <w:rPr>
          <w:sz w:val="20"/>
          <w:szCs w:val="20"/>
          <w:color w:val="auto"/>
        </w:rPr>
      </w:pPr>
    </w:p>
    <w:p>
      <w:pPr>
        <w:jc w:val="both"/>
        <w:ind w:left="120" w:right="160" w:firstLine="440"/>
        <w:spacing w:after="0" w:line="268" w:lineRule="auto"/>
        <w:rPr>
          <w:sz w:val="20"/>
          <w:szCs w:val="20"/>
          <w:color w:val="auto"/>
        </w:rPr>
      </w:pPr>
      <w:r>
        <w:rPr>
          <w:rFonts w:ascii="Arial" w:cs="Arial" w:eastAsia="Arial" w:hAnsi="Arial"/>
          <w:sz w:val="18"/>
          <w:szCs w:val="18"/>
          <w:color w:val="auto"/>
        </w:rPr>
        <w:t>We have also agreed to indemnify the underwriters against certain liabilities, including liabilities under the Securities Act of 1933, as amended, or to contribute to payments which the underwriters may be required to make in respect of any such liabilities.</w:t>
      </w:r>
    </w:p>
    <w:p>
      <w:pPr>
        <w:spacing w:after="0" w:line="118" w:lineRule="exact"/>
        <w:rPr>
          <w:sz w:val="20"/>
          <w:szCs w:val="20"/>
          <w:color w:val="auto"/>
        </w:rPr>
      </w:pPr>
    </w:p>
    <w:p>
      <w:pPr>
        <w:jc w:val="both"/>
        <w:ind w:left="120" w:right="140" w:firstLine="440"/>
        <w:spacing w:after="0" w:line="294" w:lineRule="auto"/>
        <w:rPr>
          <w:sz w:val="20"/>
          <w:szCs w:val="20"/>
          <w:color w:val="auto"/>
        </w:rPr>
      </w:pPr>
      <w:r>
        <w:rPr>
          <w:rFonts w:ascii="Arial" w:cs="Arial" w:eastAsia="Arial" w:hAnsi="Arial"/>
          <w:sz w:val="16"/>
          <w:szCs w:val="16"/>
          <w:color w:val="auto"/>
        </w:rPr>
        <w:t>The Notes are a new issue of securities, and there is currently no established trading market for the Notes. We do not intend to apply for the Notes to be listed on any securities exchange or to arrange for the Notes to be quoted on any quotation system. The underwriters have advised us that they intend to make a market in the Notes, but they are not obligated to do so. The underwriters may discontinue any market making in the Notes at any time at their sole discretion. Accordingly, we cannot assure you that a liquid trading market will develop for the Notes, that you will be able to sell your Notes at a particular time or that the prices you receive when you sell will be favorable.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creating a short position. In addition, the underwriters may bid for, and purchase, the Notes in the open market to cover short positions or to stabilize the price of the Notes. Any of these activities may stabilize or maintain the market price of the Notes above independent market levels, but no representation is made hereby that the underwriters will engage in any of those transactions or of the magnitude of any effect that the transactions described above may have on the market price of the Notes. The underwriters will not be required to engage in these activities, and if they engage in these activities, they may end any of these activities at any time without notice.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 and the United Kingdom</w:t>
      </w:r>
    </w:p>
    <w:p>
      <w:pPr>
        <w:spacing w:after="0" w:line="7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or the United Kingdom.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No. 2017/1129 (as amended, the “Prospectus Regulation”).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and the United Kingdom may be unlawful under the PRIIPs Regulation. This prospectus supplement has been prepared on the basis that any offer of Notes in any Member State of the EEA and the United Kingdom will be made pursuant to an exemption under the Prospectus Regulation from the requirement to publish a prospectus for offers of Notes. This prospectus supplement is not a prospectus for the purposes of the Prospectus Regulation. 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Luxembourg</w:t>
      </w:r>
    </w:p>
    <w:p>
      <w:pPr>
        <w:spacing w:after="0" w:line="7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terms and conditions relating to this prospectus supplement have not been approved by and will not be submitted for approval to the Luxembourg Financial Services Authority (</w:t>
      </w:r>
      <w:r>
        <w:rPr>
          <w:rFonts w:ascii="Arial" w:cs="Arial" w:eastAsia="Arial" w:hAnsi="Arial"/>
          <w:sz w:val="18"/>
          <w:szCs w:val="18"/>
          <w:i w:val="1"/>
          <w:iCs w:val="1"/>
          <w:color w:val="auto"/>
        </w:rPr>
        <w:t>Commission de Surveillance du Secteur Financier</w:t>
      </w:r>
      <w:r>
        <w:rPr>
          <w:rFonts w:ascii="Arial" w:cs="Arial" w:eastAsia="Arial" w:hAnsi="Arial"/>
          <w:sz w:val="18"/>
          <w:szCs w:val="18"/>
          <w:color w:val="auto"/>
        </w:rPr>
        <w:t>) for purposes of public offering or sale in the Grand Duchy of Luxembourg (“Luxembourg”).</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Accordingly, the Notes may not be offered or sold to the public in Luxembourg, directly or indirectly, and neither this prospectus supplement, the Indenture nor any other circular, prospectus, form of application, advertisement or other material related to such offer may be distributed, or otherwise be made available in or from, or published in, Luxembourg except in circumstances where the offer benefits from an exemption to or constitutes a transaction otherwise not subject to the requirement to publish a prospectus for the purposes of the Prospectus Regulation and the Luxembourg law of 16 July 2019 on prospectuses for securities.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7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initial purchasers are not required to comply with the disclosure requirements of NI 33-105 regarding underwriter conflicts of interest in connection with this offering.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of Japan (Act No. 25 of 1948, as amended)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Neither this prospectus supplement nor the accompanying prospectus has been, and neither will be,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any Notes are subscribed or purchased under Section 275 by a relevant person which is:</w:t>
      </w:r>
    </w:p>
    <w:p>
      <w:pPr>
        <w:spacing w:after="0" w:line="77" w:lineRule="exact"/>
        <w:rPr>
          <w:sz w:val="20"/>
          <w:szCs w:val="20"/>
          <w:color w:val="auto"/>
        </w:rPr>
      </w:pPr>
    </w:p>
    <w:p>
      <w:pPr>
        <w:ind w:left="1200" w:right="240" w:hanging="652"/>
        <w:spacing w:after="0" w:line="325" w:lineRule="auto"/>
        <w:tabs>
          <w:tab w:leader="none" w:pos="1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Arial" w:cs="Arial" w:eastAsia="Arial" w:hAnsi="Arial"/>
          <w:sz w:val="16"/>
          <w:szCs w:val="16"/>
          <w:color w:val="auto"/>
        </w:rPr>
      </w:pPr>
    </w:p>
    <w:p>
      <w:pPr>
        <w:ind w:left="1200" w:right="440" w:hanging="652"/>
        <w:spacing w:after="0" w:line="268"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45" w:lineRule="exact"/>
        <w:rPr>
          <w:sz w:val="20"/>
          <w:szCs w:val="20"/>
          <w:color w:val="auto"/>
        </w:rPr>
      </w:pPr>
    </w:p>
    <w:p>
      <w:pPr>
        <w:ind w:left="1200" w:hanging="652"/>
        <w:spacing w:after="0"/>
        <w:tabs>
          <w:tab w:leader="none" w:pos="1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38"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70" w:lineRule="exact"/>
        <w:rPr>
          <w:rFonts w:ascii="Arial" w:cs="Arial" w:eastAsia="Arial" w:hAnsi="Arial"/>
          <w:sz w:val="16"/>
          <w:szCs w:val="16"/>
          <w:color w:val="auto"/>
        </w:rPr>
      </w:pPr>
    </w:p>
    <w:p>
      <w:pPr>
        <w:ind w:left="1200" w:hanging="65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76" w:lineRule="exact"/>
        <w:rPr>
          <w:rFonts w:ascii="Arial" w:cs="Arial" w:eastAsia="Arial" w:hAnsi="Arial"/>
          <w:sz w:val="18"/>
          <w:szCs w:val="18"/>
          <w:color w:val="auto"/>
        </w:rPr>
      </w:pPr>
    </w:p>
    <w:p>
      <w:pPr>
        <w:ind w:left="1200" w:hanging="65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76" w:lineRule="exact"/>
        <w:rPr>
          <w:rFonts w:ascii="Arial" w:cs="Arial" w:eastAsia="Arial" w:hAnsi="Arial"/>
          <w:sz w:val="18"/>
          <w:szCs w:val="18"/>
          <w:color w:val="auto"/>
        </w:rPr>
      </w:pPr>
    </w:p>
    <w:p>
      <w:pPr>
        <w:ind w:left="1200" w:hanging="65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76" w:lineRule="exact"/>
        <w:rPr>
          <w:rFonts w:ascii="Arial" w:cs="Arial" w:eastAsia="Arial" w:hAnsi="Arial"/>
          <w:sz w:val="18"/>
          <w:szCs w:val="18"/>
          <w:color w:val="auto"/>
        </w:rPr>
      </w:pPr>
    </w:p>
    <w:p>
      <w:pPr>
        <w:ind w:left="1200" w:right="100" w:hanging="652"/>
        <w:spacing w:after="0" w:line="268"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1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Notification under Section 309B(1) of the SFA—The Notes shall be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77" w:lineRule="exact"/>
        <w:rPr>
          <w:sz w:val="20"/>
          <w:szCs w:val="20"/>
          <w:color w:val="auto"/>
        </w:rPr>
      </w:pPr>
    </w:p>
    <w:p>
      <w:pPr>
        <w:ind w:left="120" w:right="40" w:firstLine="440"/>
        <w:spacing w:after="0" w:line="294" w:lineRule="auto"/>
        <w:rPr>
          <w:sz w:val="20"/>
          <w:szCs w:val="20"/>
          <w:color w:val="auto"/>
        </w:rPr>
      </w:pPr>
      <w:r>
        <w:rPr>
          <w:rFonts w:ascii="Arial" w:cs="Arial" w:eastAsia="Arial" w:hAnsi="Arial"/>
          <w:sz w:val="16"/>
          <w:szCs w:val="16"/>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initial purchasers from time to time.</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Taiwan</w:t>
      </w:r>
    </w:p>
    <w:p>
      <w:pPr>
        <w:spacing w:after="0" w:line="77"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color w:val="auto"/>
        </w:rPr>
        <w:t>The Notes have not been and will not be registered or filed with, or approved by, the Financial Supervisory Commission of Taiwan and/or any other regulatory authority of Taiwan pursuant to relevant securities laws and regulations and may not be sold, issued or offered within Taiwan through a public offering or in circumstances which could constitute an offer within the meaning of the Securities and Exchange Act of Taiwan or relevant laws and regulations that require a registration, filing or approval of the Financial Supervisory Commission of Taiwan and/or other regulatory authority of Taiwan. No person or entity in Taiwan has been authorized to offer or sell the Notes in Taiwan.</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 and Sale of the Notes</w:t>
      </w:r>
    </w:p>
    <w:p>
      <w:pPr>
        <w:spacing w:after="0" w:line="83"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We expect to deliver the Notes against payment for the Notes on or about the date specified in the last paragraph of the cover page of this prospectus supplement, which will be the seventh business day following the date of the pricing of the Notes. Since trades in the secondary market generally settle in two business days, purchasers who wish to trade Notes on the date of pricing or the next four succeeding business days will be required, by virtue of the fact that the Notes initially will settle in T+7, to specify alternative settlement arrangements to prevent a failed settlement.</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83"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From time to time in the ordinary course of their respective businesses, certain of the underwriters and their affiliates have engaged in and may in the future engage in commercial banking, derivatives and/or financial advisory, investment banking and other commercial transactions and services with us and our affiliates for which they have received or will receive customary fees and commissions. Goldman Sachs &amp; Co. LLC and J.P. Morgan Securities, Inc. are acting as dealer managers in connection with the Tender Offer. Standard Chartered Bank and UniCredit Capital Markets LLC are acting as the co-dealer managers in connection with the Tender Offer. To the extent any of the underwriters or their affiliates hold a portion of the notes subject to the Tender Offer, they may tender such notes pursuant to the terms of the Tender Offer and accordingly may receive or be deemed to receive a portion of the net proceeds from this offering.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Certain legal matters in connection with the notes offered hereby will be passed upon for us by Gibson, Dunn &amp; Crutcher LLP, New York, New York, Loyens &amp; Loeff Luxembourg S.à r.l., Luxembourg and STvB Advocaten, Curaçao and for the underwriters by Davis Polk &amp; Wardwell LLP, New York, New York.</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left="120" w:right="300" w:firstLine="440"/>
        <w:spacing w:after="0" w:line="298"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of Schlumberger Limited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120" w:right="140" w:firstLine="440"/>
        <w:spacing w:after="0" w:line="268"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18" w:lineRule="exact"/>
        <w:rPr>
          <w:sz w:val="20"/>
          <w:szCs w:val="20"/>
          <w:color w:val="auto"/>
        </w:rPr>
      </w:pPr>
    </w:p>
    <w:p>
      <w:pPr>
        <w:ind w:left="120" w:right="140" w:firstLine="440"/>
        <w:spacing w:after="0" w:line="256"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supplement and the accompanying prospectus are for informational purposes only and are not intended to be hyperlinks. Accordingly, no information found or provided at such internet addresses is intended or deemed to be incorporated by reference herein.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64" w:lineRule="exact"/>
        <w:rPr>
          <w:sz w:val="20"/>
          <w:szCs w:val="20"/>
          <w:color w:val="auto"/>
        </w:rPr>
      </w:pPr>
    </w:p>
    <w:p>
      <w:pPr>
        <w:ind w:left="120" w:right="140" w:firstLine="440"/>
        <w:spacing w:after="0" w:line="294" w:lineRule="auto"/>
        <w:rPr>
          <w:sz w:val="20"/>
          <w:szCs w:val="20"/>
          <w:color w:val="auto"/>
        </w:rPr>
      </w:pPr>
      <w:r>
        <w:rPr>
          <w:rFonts w:ascii="Arial" w:cs="Arial" w:eastAsia="Arial" w:hAnsi="Arial"/>
          <w:sz w:val="16"/>
          <w:szCs w:val="16"/>
          <w:color w:val="auto"/>
        </w:rPr>
        <w:t>The SEC allows us to incorporate information into this prospectus supplement and the accompanying prospectus by reference, which means that we can disclose important information to you by referring you to another document that the Guarantor has filed separately with the SEC. The information incorporated by reference is deemed to be part of this prospectus supplement and the accompanying prospectus, except for any information superseded by information contained directly in this prospectus supplement or the accompanying prospectus. These documents contain important information about the Schlumberger Group and its financial condition, business and results.</w:t>
      </w:r>
    </w:p>
    <w:p>
      <w:pPr>
        <w:spacing w:after="0" w:line="102"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We are incorporating by reference into this prospectus supplement and the accompanying prospectus the following documents listed below and any other filings made by the Guarantor under Section 13(a), 13(c), 14 or 15(d) of the Exchange Act after the date of this prospectus supplement and prior to the termination of this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18" w:lineRule="exact"/>
        <w:rPr>
          <w:sz w:val="20"/>
          <w:szCs w:val="20"/>
          <w:color w:val="auto"/>
        </w:rPr>
      </w:pPr>
    </w:p>
    <w:p>
      <w:pPr>
        <w:ind w:left="760" w:right="360" w:hanging="212"/>
        <w:spacing w:after="0" w:line="325"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Annual Report on </w:t>
      </w:r>
      <w:hyperlink r:id="rId60">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Schlumberger Limited for the fiscal year ended December 31, 2019, as filed with the SEC on January 22, 2020 (including the portions of our proxy statement for our 2020 annual meeting of shareholders incorporated by reference therein);</w:t>
      </w:r>
    </w:p>
    <w:p>
      <w:pPr>
        <w:spacing w:after="0" w:line="1" w:lineRule="exact"/>
        <w:rPr>
          <w:rFonts w:ascii="Arial" w:cs="Arial" w:eastAsia="Arial" w:hAnsi="Arial"/>
          <w:sz w:val="16"/>
          <w:szCs w:val="16"/>
          <w:color w:val="auto"/>
        </w:rPr>
      </w:pPr>
    </w:p>
    <w:p>
      <w:pPr>
        <w:ind w:left="760" w:hanging="212"/>
        <w:spacing w:after="0" w:line="268"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Quarterly Report on </w:t>
      </w:r>
      <w:hyperlink r:id="rId61">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Schlumberger Limited for the fiscal quarter ended March 31, 2020, as filed with the SEC on April 22, 2020; and</w:t>
      </w:r>
    </w:p>
    <w:p>
      <w:pPr>
        <w:spacing w:after="0" w:line="11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60" w:right="180" w:hanging="212"/>
        <w:spacing w:after="0" w:line="268"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Current Reports on Form 8-K of Schlumberger Limited as filed with the SEC on </w:t>
      </w:r>
      <w:hyperlink r:id="rId63">
        <w:r>
          <w:rPr>
            <w:rFonts w:ascii="Arial" w:cs="Arial" w:eastAsia="Arial" w:hAnsi="Arial"/>
            <w:sz w:val="18"/>
            <w:szCs w:val="18"/>
            <w:u w:val="single" w:color="auto"/>
            <w:color w:val="0000EE"/>
          </w:rPr>
          <w:t>February 14, 2020</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April 1, 2020</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April 17,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8.01 only) and </w:t>
      </w:r>
      <w:hyperlink r:id="rId66">
        <w:r>
          <w:rPr>
            <w:rFonts w:ascii="Arial" w:cs="Arial" w:eastAsia="Arial" w:hAnsi="Arial"/>
            <w:sz w:val="18"/>
            <w:szCs w:val="18"/>
            <w:u w:val="single" w:color="auto"/>
            <w:color w:val="0000EE"/>
          </w:rPr>
          <w:t>June 16,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(Item 2.05 only).</w:t>
      </w:r>
    </w:p>
    <w:p>
      <w:pPr>
        <w:spacing w:after="0" w:line="118" w:lineRule="exact"/>
        <w:rPr>
          <w:rFonts w:ascii="Arial" w:cs="Arial" w:eastAsia="Arial" w:hAnsi="Arial"/>
          <w:sz w:val="18"/>
          <w:szCs w:val="18"/>
          <w:color w:val="auto"/>
        </w:rPr>
      </w:pPr>
    </w:p>
    <w:p>
      <w:pPr>
        <w:ind w:left="120" w:firstLine="440"/>
        <w:spacing w:after="0" w:line="291" w:lineRule="auto"/>
        <w:rPr>
          <w:sz w:val="20"/>
          <w:szCs w:val="20"/>
          <w:color w:val="auto"/>
        </w:rPr>
      </w:pPr>
      <w:r>
        <w:rPr>
          <w:rFonts w:ascii="Arial" w:cs="Arial" w:eastAsia="Arial" w:hAnsi="Arial"/>
          <w:sz w:val="16"/>
          <w:szCs w:val="16"/>
          <w:color w:val="auto"/>
        </w:rPr>
        <w:t>Any statement contained in this prospectus supplement and accompanying prospectus or in a document incorporated or deemed to be incorporated by reference in this prospectus supplement and accompanying prospectus shall be deemed to be modified or superseded for purposes of this prospectus supplement to the extent that a statement contained in this prospectus supplement and accompanying prospectus or in any other document subsequently filed with the SEC which is or is deemed to be incorporated by reference in this prospectus supplement and accompanying prospectus modifies or supersedes such statement. No such statement so modified or superseded shall be deemed, except as so modified or superseded, to constitute a part of this prospectus supplement and accompanying prospectus.</w:t>
      </w:r>
    </w:p>
    <w:p>
      <w:pPr>
        <w:spacing w:after="0" w:line="106" w:lineRule="exact"/>
        <w:rPr>
          <w:rFonts w:ascii="Arial" w:cs="Arial" w:eastAsia="Arial" w:hAnsi="Arial"/>
          <w:sz w:val="18"/>
          <w:szCs w:val="18"/>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supplement or the accompanying prospectus you should rely on the most recent information. If information in an incorporated document conflicts with information in another incorporated document, you should rely on the information in the most recent incorporated document.</w:t>
      </w:r>
    </w:p>
    <w:p>
      <w:pPr>
        <w:spacing w:after="0" w:line="126"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supplement or the accompanying prospectus or in the incorporated document, by making such a request in writing or by telephone to the following address:</w:t>
      </w:r>
    </w:p>
    <w:p>
      <w:pPr>
        <w:spacing w:after="0" w:line="12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15"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rFonts w:ascii="Arial" w:cs="Arial" w:eastAsia="Arial" w:hAnsi="Arial"/>
          <w:sz w:val="18"/>
          <w:szCs w:val="18"/>
          <w:color w:val="auto"/>
        </w:rPr>
      </w:pPr>
    </w:p>
    <w:p>
      <w:pPr>
        <w:ind w:left="5500" w:hanging="424"/>
        <w:spacing w:after="0"/>
        <w:tabs>
          <w:tab w:leader="none" w:pos="5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51" w:lineRule="exact"/>
        <w:rPr>
          <w:rFonts w:ascii="Arial" w:cs="Arial" w:eastAsia="Arial" w:hAnsi="Arial"/>
          <w:sz w:val="18"/>
          <w:szCs w:val="18"/>
          <w:color w:val="auto"/>
        </w:rPr>
      </w:pPr>
    </w:p>
    <w:p>
      <w:pPr>
        <w:ind w:left="120" w:right="180" w:firstLine="440"/>
        <w:spacing w:after="0" w:line="268" w:lineRule="auto"/>
        <w:rPr>
          <w:sz w:val="20"/>
          <w:szCs w:val="20"/>
          <w:color w:val="auto"/>
        </w:rPr>
      </w:pPr>
      <w:r>
        <w:rPr>
          <w:rFonts w:ascii="Arial" w:cs="Arial" w:eastAsia="Arial" w:hAnsi="Arial"/>
          <w:sz w:val="18"/>
          <w:szCs w:val="18"/>
          <w:color w:val="auto"/>
        </w:rPr>
        <w:t>Except as provided above, no other information (including information on our website) is incorporated by reference into this prospectus supplement and accompanying prospectus.</w:t>
      </w:r>
    </w:p>
    <w:p>
      <w:pPr>
        <w:spacing w:after="0" w:line="118"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334645</wp:posOffset>
            </wp:positionV>
            <wp:extent cx="1568450" cy="394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5684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Investment SA</w:t>
      </w: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Fully and Unconditionally Guaranteed by</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396875</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Schlumberger Investment SA (the “Company”) may, from time to time, offer to sell senior debt securities. Such senior debt securities will be fully and unconditionally guaranteed by Schlumberger Limited (the “Guarantor”), the ultimate parent company of the Company.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252" w:lineRule="exact"/>
        <w:rPr>
          <w:sz w:val="20"/>
          <w:szCs w:val="20"/>
          <w:color w:val="auto"/>
        </w:rPr>
      </w:pPr>
    </w:p>
    <w:p>
      <w:pPr>
        <w:ind w:left="120" w:firstLine="440"/>
        <w:spacing w:after="0" w:line="239" w:lineRule="auto"/>
        <w:rPr>
          <w:sz w:val="20"/>
          <w:szCs w:val="20"/>
          <w:color w:val="auto"/>
        </w:rPr>
      </w:pPr>
      <w:r>
        <w:rPr>
          <w:rFonts w:ascii="Arial" w:cs="Arial" w:eastAsia="Arial" w:hAnsi="Arial"/>
          <w:sz w:val="22"/>
          <w:szCs w:val="22"/>
          <w:b w:val="1"/>
          <w:bCs w:val="1"/>
          <w:color w:val="auto"/>
        </w:rPr>
        <w:t>Investing in the securities involves risks. You should consider carefully the risk factors identified in Part I, Item 1A “Risk Factors” of our most recent Annual Report on Form 10-K, as well as any risk factors we may describe in any subsequent periodic reports or information we file with the SEC, or in any prospectus supplement, before making an investment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380365</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350520</wp:posOffset>
            </wp:positionV>
            <wp:extent cx="147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April 25, 2019</w:t>
      </w:r>
    </w:p>
    <w:p>
      <w:pPr>
        <w:sectPr>
          <w:pgSz w:w="11900" w:h="16838" w:orient="portrait"/>
          <w:cols w:equalWidth="0" w:num="1">
            <w:col w:w="11100"/>
          </w:cols>
          <w:pgMar w:left="320" w:top="459" w:right="4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710"/>
              <w:spacing w:after="0"/>
              <w:rPr>
                <w:sz w:val="20"/>
                <w:szCs w:val="20"/>
                <w:color w:val="auto"/>
              </w:rPr>
            </w:pPr>
            <w:r>
              <w:rPr>
                <w:rFonts w:ascii="Arial" w:cs="Arial" w:eastAsia="Arial" w:hAnsi="Arial"/>
                <w:sz w:val="18"/>
                <w:szCs w:val="18"/>
                <w:b w:val="1"/>
                <w:bCs w:val="1"/>
                <w:color w:val="auto"/>
                <w:w w:val="97"/>
              </w:rPr>
              <w:t>Table of contents</w:t>
            </w:r>
          </w:p>
        </w:tc>
      </w:tr>
      <w:tr>
        <w:trPr>
          <w:trHeight w:val="459"/>
        </w:trPr>
        <w:tc>
          <w:tcPr>
            <w:tcW w:w="480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800" w:type="dxa"/>
            <w:vAlign w:val="bottom"/>
          </w:tcPr>
          <w:p>
            <w:pPr>
              <w:ind w:left="120"/>
              <w:spacing w:after="0"/>
              <w:rPr>
                <w:rFonts w:ascii="Arial" w:cs="Arial" w:eastAsia="Arial" w:hAnsi="Arial"/>
                <w:sz w:val="18"/>
                <w:szCs w:val="18"/>
                <w:u w:val="single" w:color="auto"/>
                <w:color w:val="0000EE"/>
                <w:w w:val="93"/>
              </w:rPr>
            </w:pPr>
            <w:hyperlink w:anchor="page49">
              <w:r>
                <w:rPr>
                  <w:rFonts w:ascii="Arial" w:cs="Arial" w:eastAsia="Arial" w:hAnsi="Arial"/>
                  <w:sz w:val="18"/>
                  <w:szCs w:val="18"/>
                  <w:u w:val="single" w:color="auto"/>
                  <w:color w:val="0000EE"/>
                  <w:w w:val="93"/>
                </w:rPr>
                <w:t>Cautionary Statement Regarding Forward-Looking Statements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800" w:type="dxa"/>
            <w:vAlign w:val="bottom"/>
          </w:tcPr>
          <w:p>
            <w:pPr>
              <w:ind w:left="1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Experts</w:t>
              </w:r>
            </w:hyperlink>
          </w:p>
        </w:tc>
        <w:tc>
          <w:tcPr>
            <w:tcW w:w="62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and in any accompanying prospectus supplement or in any related free writing prospectus. Neither the Company nor the Guarantor have authorized any other person to provide you with different information.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or financial position of the Company and the Guarantor may have changed since that date. Neither the delivery of this prospectus nor of any prospectus supplement, nor any sale made thereunder, shall under any circumstances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refers to Schlumberger Investment 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“Guarantor” or “Schlumberger” refers to Schlumberger Limited, the ultimate parent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“Schlumberger Group” refers to Schlumberger Limited and its consolidated subsidiaries, including the Company; and</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prospectus is part of an automatic shelf registration statement that we have filed with the SEC as a “well-known seasoned issuer” as defined in Rule 405 under the Securities Act of 1933, as amended.</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9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6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or at the SEC as described under “Where You Can Find More Information.”</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Guarantor</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Guarantor, together with its subsidiaries, is the world’s leading provider of technology for reservoir characterization, drilling, production and processing to the oil and gas industry, and supplies the industry’s most comprehensive range of products and services, from exploration through production, and integrated pore-to-pipeline solutions that optimize hydrocarbon recovery to deliver reservoir performance.</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Guarantor was founded in 1926 and incorporated in the former Netherlands Antilles as a public limited company on November 6, 1956 for an unlimited duration. The Netherlands Antilles dissolved on October 10, 2010 and, pursuant to such dissolution, the Guarantor is now governed by the applicable laws of Curaçao. It is entered in the Curaçao Commercial Register with company number 1674. The Guarantor is the ultimate parent of the Company.</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Guarantor has principal executive offices in Paris, Houston, London and The Hague. The principal United States market for Schlumberger’s common stock is the NYSE, where it is traded under the symbol “SLB.”</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organizational status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Schlumberger Investment SA is a Société Anonyme incorporated on August 18, 2011 under the laws of the Grand Duchy of Luxembourg and registered with the Luxembourg Register of Commerce and Companies under number B 163.122. Schlumberger Investment SA’s registered office is at 42-44 Avenue de la Gare, L-1610 Luxembourg and its telephone number is +3522848781045.</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part of the Schlumberger Group and all of the shares of the Company are owned indirectly by the Guarantor.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Activities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subsidiaries, and its principal activities are debt issuance and intercompany group financing.</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Guarantor files annual, quarterly and other reports and other information with the SEC. You may read and download its filings over the Internet from several commercial document retrieval services, as well as at the SEC’s website at www.sec.gov.</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addition, the Guarantor’s SEC filings are available on its website at www.slb.com at no cost as soon as reasonably practicable after its electronic filing or furnishing thereof with the SEC. Please note that any internet addresses provided in this prospectus are for informational purposes only and are not intended to be hyperlinks. Accordingly, no information found or provided at such internet addresses is intended or deemed to be incorporated by reference herein.</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21"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incorporating by reference into this prospectus the following documents listed below and any other filings made by the Guarantor under Section 13(a), 13(c), 14 or 15(d) of the Exchange Act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92" w:lineRule="exact"/>
        <w:rPr>
          <w:sz w:val="20"/>
          <w:szCs w:val="20"/>
          <w:color w:val="auto"/>
        </w:rPr>
      </w:pPr>
    </w:p>
    <w:p>
      <w:pPr>
        <w:ind w:left="1080" w:right="2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Annual Report on </w:t>
      </w:r>
      <w:hyperlink r:id="rId7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Schlumberger Limited for the fiscal year ended December 31, 2018, as filed with the SEC on January 23, 2019 (including the portions of our proxy statement for our 2019 annual meeting of shareholders incorporated by reference therein);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3"/>
        </w:numPr>
        <w:rPr>
          <w:rFonts w:ascii="Arial" w:cs="Arial" w:eastAsia="Arial" w:hAnsi="Arial"/>
          <w:sz w:val="18"/>
          <w:szCs w:val="18"/>
          <w:color w:val="0000EE"/>
        </w:rPr>
      </w:pPr>
      <w:r>
        <w:rPr>
          <w:rFonts w:ascii="Arial" w:cs="Arial" w:eastAsia="Arial" w:hAnsi="Arial"/>
          <w:sz w:val="18"/>
          <w:szCs w:val="18"/>
          <w:color w:val="auto"/>
        </w:rPr>
        <w:t xml:space="preserve">the Current Reports on Form 8-K or Form 8-K/A of Schlumberger Limited as filed with the SEC on </w:t>
      </w:r>
      <w:hyperlink r:id="rId77">
        <w:r>
          <w:rPr>
            <w:rFonts w:ascii="Arial" w:cs="Arial" w:eastAsia="Arial" w:hAnsi="Arial"/>
            <w:sz w:val="18"/>
            <w:szCs w:val="18"/>
            <w:u w:val="single" w:color="auto"/>
            <w:color w:val="0000EE"/>
          </w:rPr>
          <w:t>February 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(Item 5.02 only), </w:t>
      </w:r>
      <w:hyperlink r:id="rId78">
        <w:r>
          <w:rPr>
            <w:rFonts w:ascii="Arial" w:cs="Arial" w:eastAsia="Arial" w:hAnsi="Arial"/>
            <w:sz w:val="18"/>
            <w:szCs w:val="18"/>
            <w:u w:val="single" w:color="auto"/>
            <w:color w:val="0000EE"/>
          </w:rPr>
          <w:t>March 1,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9">
        <w:r>
          <w:rPr>
            <w:rFonts w:ascii="Arial" w:cs="Arial" w:eastAsia="Arial" w:hAnsi="Arial"/>
            <w:sz w:val="18"/>
            <w:szCs w:val="18"/>
            <w:u w:val="single" w:color="auto"/>
            <w:color w:val="0000EE"/>
          </w:rPr>
          <w:t xml:space="preserve">March 28,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80">
        <w:r>
          <w:rPr>
            <w:rFonts w:ascii="Arial" w:cs="Arial" w:eastAsia="Arial" w:hAnsi="Arial"/>
            <w:sz w:val="18"/>
            <w:szCs w:val="18"/>
            <w:u w:val="single" w:color="auto"/>
            <w:color w:val="0000EE"/>
          </w:rPr>
          <w:t>April 3, 2019</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left="120" w:firstLine="440"/>
        <w:spacing w:after="0" w:line="255" w:lineRule="auto"/>
        <w:rPr>
          <w:sz w:val="20"/>
          <w:szCs w:val="20"/>
          <w:color w:val="auto"/>
        </w:rPr>
      </w:pPr>
      <w:r>
        <w:rPr>
          <w:rFonts w:ascii="Arial" w:cs="Arial" w:eastAsia="Arial" w:hAnsi="Arial"/>
          <w:sz w:val="18"/>
          <w:szCs w:val="18"/>
          <w:color w:val="auto"/>
        </w:rPr>
        <w:t>Any statement contained in this prospectus and any accompanying prospectus or in a document incorporated or deemed to be incorporated by reference in this prospectus and any accompanying prospectus shall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shall be deemed, except as so modified or superseded, to constitute a part of this prospectus and any accompanying prospectus.</w:t>
      </w:r>
    </w:p>
    <w:p>
      <w:pPr>
        <w:spacing w:after="0" w:line="192" w:lineRule="exact"/>
        <w:rPr>
          <w:rFonts w:ascii="Arial" w:cs="Arial" w:eastAsia="Arial" w:hAnsi="Arial"/>
          <w:sz w:val="18"/>
          <w:szCs w:val="18"/>
          <w:color w:val="0000EE"/>
        </w:rPr>
      </w:pPr>
    </w:p>
    <w:p>
      <w:pPr>
        <w:jc w:val="both"/>
        <w:ind w:left="120" w:right="800" w:firstLine="440"/>
        <w:spacing w:after="0" w:line="263" w:lineRule="auto"/>
        <w:rPr>
          <w:sz w:val="20"/>
          <w:szCs w:val="20"/>
          <w:color w:val="auto"/>
        </w:rPr>
      </w:pPr>
      <w:r>
        <w:rPr>
          <w:rFonts w:ascii="Arial" w:cs="Arial" w:eastAsia="Arial" w:hAnsi="Arial"/>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16"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375-3400</w:t>
      </w:r>
    </w:p>
    <w:p>
      <w:pPr>
        <w:spacing w:after="0" w:line="9" w:lineRule="exact"/>
        <w:rPr>
          <w:rFonts w:ascii="Arial" w:cs="Arial" w:eastAsia="Arial" w:hAnsi="Arial"/>
          <w:sz w:val="18"/>
          <w:szCs w:val="18"/>
          <w:color w:val="auto"/>
        </w:rPr>
      </w:pPr>
    </w:p>
    <w:p>
      <w:pPr>
        <w:ind w:left="458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Except as provided above, no other information (including information on our website) is incorporated by reference into this prospectus.</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92" w:lineRule="exact"/>
        <w:rPr>
          <w:sz w:val="20"/>
          <w:szCs w:val="20"/>
          <w:color w:val="auto"/>
        </w:rPr>
      </w:pPr>
    </w:p>
    <w:p>
      <w:pPr>
        <w:jc w:val="both"/>
        <w:ind w:left="120" w:right="60" w:firstLine="440"/>
        <w:spacing w:after="0" w:line="257" w:lineRule="auto"/>
        <w:rPr>
          <w:sz w:val="20"/>
          <w:szCs w:val="20"/>
          <w:color w:val="auto"/>
        </w:rPr>
      </w:pPr>
      <w:r>
        <w:rPr>
          <w:rFonts w:ascii="Arial" w:cs="Arial" w:eastAsia="Arial" w:hAnsi="Arial"/>
          <w:sz w:val="18"/>
          <w:szCs w:val="18"/>
          <w:color w:val="auto"/>
        </w:rPr>
        <w:t>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93"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Schlumberger Group’s forecasts or expectations regarding business outlook;</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growth for the Schlumberger Group as a whole and for each of its segments (and for specified products or geographic areas within each segment);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oil and natural gas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Schlumberger Group’s effective tax 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effects of U.S. tax reform;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improvements in operating procedures and technology, including our transformation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expenditures by the Schlumberger Group and the oil and gas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Schlumberger Group’s SPM projects, joint ventures and alliances;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business strategies of the Schlumberger Group’s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global economic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results of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global economic conditions;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exploration and production spending by the Schlumberger Group’s customers and changes in the level of oil and natural gas exploration and development;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political and business conditions in key regions of the world;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weather and seasonal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operational modifications, delays or cancellations;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declines;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of technology to meet new challenges in exploration;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risks and uncertainties detailed in the Guarantor’s filings with the SEC.</w:t>
      </w:r>
    </w:p>
    <w:p>
      <w:pPr>
        <w:spacing w:after="0" w:line="22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 The net proceeds may be temporarily invested or applied to repay short-term or revolving debt prior to use.</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defined terms used in this description but not defined below have the meanings assigned to them in the indenture.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debt securities that we may issue will be senior debt securities that will be issued under an indenture, dated December 3, 2013, among us, Schlumberger Limited, as guarantor, and The Bank of New York Mellon, as trustee.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indenture has been filed as an exhibit to the registration statement of which this prospectus is a part. The indenture is subject to, and is governed by, the Trust Indenture Act of 1939, as amended.</w:t>
      </w:r>
    </w:p>
    <w:p>
      <w:pPr>
        <w:spacing w:after="0" w:line="16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7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Reference is made to the prospectus supplement for the following and other possible terms of each series of the debt securities with respect to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of the series to be issued;</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on which the principal and premium, if any, of the debt securities of the series is payable;</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debt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9"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debt securities of the series shall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92"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trustees, authenticating agents or paying agents with respect to such series, if different from those set forth in the indenture;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defer the payment of interest and the duration of such extension or deferral;</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debt securities of the series may be redeemed by the Company, in whole or in part, at our option;</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shall be redeemed, purchased or repaid, in whole or in part, pursuant to such obligation;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form of the debt securities of the series including the form of the trustee’s certificate of authentication for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denominations of $2,000 or integral multiples of $1,000 in excess thereof, the denominations in which the debt securities of the series shall be issuable;</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currencies in which payment of the principal of, premium, if any, and interest on, debt securities of the series shall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debt securities of the series that shall be payable upon declaration of acceleration of the maturity thereof;</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any repurchase or remarketing rights;</w:t>
      </w:r>
    </w:p>
    <w:p>
      <w:pPr>
        <w:spacing w:after="0" w:line="130"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debt securities of the series shall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93"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when a specified event occurs;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 including provisions for original issue discount securities, if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and upon what terms debt securities of a series may be defeased if different from the provisions set forth in the indenture;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guarantees on the debt securities of the series, if different from the provisions set forth in the indenture;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debt securities of the series;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debt securities of such series if other than those appointed in the indenture;</w:t>
      </w:r>
    </w:p>
    <w:p>
      <w:pPr>
        <w:spacing w:after="0" w:line="75"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w:t>
      </w:r>
    </w:p>
    <w:p>
      <w:pPr>
        <w:spacing w:after="0" w:line="66"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additional, eliminated or changed terms that shall apply to the debt securities of the series, including any terms that may be required by or advisable under United States laws or regulations, including the Securities Act and the rules and regulations promulgated thereunder, or advisable in connection with the marketing of debt securities of that series;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84"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Schlumberger will fully and unconditionally guarantee the due and punctual payment of the principal of, and any premium and interest on, the debt securities, and all other amounts payable under the indenture when and 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Schlumberger will:</w:t>
      </w:r>
    </w:p>
    <w:p>
      <w:pPr>
        <w:spacing w:after="0" w:line="131" w:lineRule="exact"/>
        <w:rPr>
          <w:sz w:val="20"/>
          <w:szCs w:val="20"/>
          <w:color w:val="auto"/>
        </w:rPr>
      </w:pPr>
    </w:p>
    <w:p>
      <w:pPr>
        <w:ind w:left="1080" w:right="3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debt securities of any series will be:</w:t>
      </w:r>
    </w:p>
    <w:p>
      <w:pPr>
        <w:spacing w:after="0" w:line="131" w:lineRule="exact"/>
        <w:rPr>
          <w:sz w:val="20"/>
          <w:szCs w:val="20"/>
          <w:color w:val="auto"/>
        </w:rPr>
      </w:pPr>
    </w:p>
    <w:p>
      <w:pPr>
        <w:ind w:left="1080" w:right="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unsecured obligations of the Company and will rank equally and ratably with all of Company’s other unsecured and unsubordinated indebtedness;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guaranteed on a senior unsecured basis by the Guarantor, which Guarantee will rank equally and ratably with all other unsecured and unsubordinated indebtedness of the Guarantor.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Amounts</w:t>
      </w:r>
    </w:p>
    <w:p>
      <w:pPr>
        <w:spacing w:after="0" w:line="12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All payments made by the Company under or with respect to its debt securities, or by the Guarantor with respect to the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1" w:lineRule="exact"/>
        <w:rPr>
          <w:sz w:val="20"/>
          <w:szCs w:val="20"/>
          <w:color w:val="auto"/>
        </w:rPr>
      </w:pPr>
    </w:p>
    <w:p>
      <w:pPr>
        <w:ind w:left="120" w:hanging="4"/>
        <w:spacing w:after="0" w:line="286" w:lineRule="auto"/>
        <w:tabs>
          <w:tab w:leader="none" w:pos="3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the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74" w:lineRule="exact"/>
        <w:rPr>
          <w:rFonts w:ascii="Arial" w:cs="Arial" w:eastAsia="Arial" w:hAnsi="Arial"/>
          <w:sz w:val="16"/>
          <w:szCs w:val="16"/>
          <w:color w:val="auto"/>
        </w:rPr>
      </w:pPr>
    </w:p>
    <w:p>
      <w:pPr>
        <w:ind w:left="1080" w:right="120" w:hanging="532"/>
        <w:spacing w:after="0" w:line="255"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Taxes, to the extent such Taxes would not have been imposed but for the existence of any actual or deemed present or former connection between the holder or the beneficial owner of such debt securities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9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 day period);</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estate, inheritance, gift, sales, transfer, personal property or similar Taxes;</w:t>
      </w:r>
    </w:p>
    <w:p>
      <w:pPr>
        <w:spacing w:after="0" w:line="130" w:lineRule="exact"/>
        <w:rPr>
          <w:rFonts w:ascii="Arial" w:cs="Arial" w:eastAsia="Arial" w:hAnsi="Arial"/>
          <w:sz w:val="18"/>
          <w:szCs w:val="18"/>
          <w:color w:val="auto"/>
        </w:rPr>
      </w:pPr>
    </w:p>
    <w:p>
      <w:pPr>
        <w:ind w:left="1080" w:right="220" w:hanging="532"/>
        <w:spacing w:after="0" w:line="286" w:lineRule="auto"/>
        <w:tabs>
          <w:tab w:leader="none" w:pos="10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70" w:lineRule="exact"/>
        <w:rPr>
          <w:rFonts w:ascii="Arial" w:cs="Arial" w:eastAsia="Arial" w:hAnsi="Arial"/>
          <w:sz w:val="17"/>
          <w:szCs w:val="17"/>
          <w:color w:val="auto"/>
        </w:rPr>
      </w:pPr>
    </w:p>
    <w:p>
      <w:pPr>
        <w:ind w:left="1080" w:right="620" w:hanging="532"/>
        <w:spacing w:after="0" w:line="277" w:lineRule="auto"/>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Taxes withheld, deducted or imposed on a payment to an individual that are required to be made pursuant to European Council Directive 2003/48/EC or any other directive implementing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7" w:lineRule="auto"/>
        <w:rPr>
          <w:sz w:val="20"/>
          <w:szCs w:val="20"/>
          <w:color w:val="auto"/>
        </w:rPr>
      </w:pPr>
      <w:r>
        <w:rPr>
          <w:rFonts w:ascii="Arial" w:cs="Arial" w:eastAsia="Arial" w:hAnsi="Arial"/>
          <w:sz w:val="18"/>
          <w:szCs w:val="18"/>
          <w:color w:val="auto"/>
        </w:rPr>
        <w:t>conclusions of the ECOFIN Council meeting of November 26 and 27, 2000 on the taxation of savings income, or any law implementing or complying with or introduced in order to conform to, such directive;</w:t>
      </w:r>
    </w:p>
    <w:p>
      <w:pPr>
        <w:spacing w:after="0" w:line="76" w:lineRule="exact"/>
        <w:rPr>
          <w:sz w:val="20"/>
          <w:szCs w:val="20"/>
          <w:color w:val="auto"/>
        </w:rPr>
      </w:pPr>
    </w:p>
    <w:p>
      <w:pPr>
        <w:ind w:left="1080" w:right="800" w:hanging="532"/>
        <w:spacing w:after="0" w:line="34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Taxes payable other than by deduction or withholding from payments under, or with respect to, such debt securities or the Guarantee;</w:t>
      </w:r>
    </w:p>
    <w:p>
      <w:pPr>
        <w:spacing w:after="0" w:line="153" w:lineRule="exact"/>
        <w:rPr>
          <w:rFonts w:ascii="Arial" w:cs="Arial" w:eastAsia="Arial" w:hAnsi="Arial"/>
          <w:sz w:val="16"/>
          <w:szCs w:val="16"/>
          <w:color w:val="auto"/>
        </w:rPr>
      </w:pPr>
    </w:p>
    <w:p>
      <w:pPr>
        <w:ind w:left="1080" w:right="40" w:hanging="532"/>
        <w:spacing w:after="0" w:line="25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combination of items (1) through (8) above.</w:t>
      </w:r>
    </w:p>
    <w:p>
      <w:pPr>
        <w:spacing w:after="0" w:line="225" w:lineRule="exact"/>
        <w:rPr>
          <w:sz w:val="20"/>
          <w:szCs w:val="20"/>
          <w:color w:val="auto"/>
        </w:rPr>
      </w:pPr>
    </w:p>
    <w:p>
      <w:pPr>
        <w:jc w:val="both"/>
        <w:ind w:left="120" w:right="120" w:firstLine="440"/>
        <w:spacing w:after="0" w:line="301" w:lineRule="auto"/>
        <w:rPr>
          <w:sz w:val="20"/>
          <w:szCs w:val="20"/>
          <w:color w:val="auto"/>
        </w:rPr>
      </w:pPr>
      <w:r>
        <w:rPr>
          <w:rFonts w:ascii="Arial" w:cs="Arial" w:eastAsia="Arial" w:hAnsi="Arial"/>
          <w:sz w:val="16"/>
          <w:szCs w:val="16"/>
          <w:color w:val="auto"/>
        </w:rPr>
        <w:t>In addition to the foregoing, the Company and the Guarantor, as the case may be, will also pay and indemnify the holder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its debt securities, or the related indenture, Guarantee or any other document or instrument referred to therein.</w:t>
      </w:r>
    </w:p>
    <w:p>
      <w:pPr>
        <w:spacing w:after="0" w:line="15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If the Company or the Guarantor, as the case may be, becomes aware that it will be obligated to pay Additional Amounts with respect to any payment under or with respect to its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17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or the Guarantor, as the case may be, will make all withholdings and deductions required by law in respect of its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shall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deemed to include mention of the payment of Additional Amounts to the extent that, in such context, Additional Amounts are, were or would be payable in respect thereof.</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above obligations will survive any termination, defeasance or discharge of the indenture, any transfer by a holder or beneficial owner of its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specified in the applicable prospectus supplement, the Company may redeem the debt securities of any series, as a whole or in part, at its option on and after the dates and in accordance with the terms established for such series, if any, in the applicable prospectus supplement. If the Company redeems the debt securities of any series, the Company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Upon Changes in Tax Law</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Company or the Guarantor, as applicable, may redeem the debt securities (and the Guarantor may redeem any debt securities which it has guaranteed), in whole but not in part, at its discretion at any time upon giving not less than 30 nor more than 60 days’ prior notice to the holders of such debt securities (which notice will be irrevocable), at a redemption price equal to 100% of the aggregate principal amount thereof, together with accrued and unpaid interest, if any, to the date fixed by the Company or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and the requirement arises as a result of:</w:t>
      </w:r>
    </w:p>
    <w:p>
      <w:pPr>
        <w:spacing w:after="0" w:line="86" w:lineRule="exact"/>
        <w:rPr>
          <w:sz w:val="20"/>
          <w:szCs w:val="20"/>
          <w:color w:val="auto"/>
        </w:rPr>
      </w:pPr>
    </w:p>
    <w:p>
      <w:pPr>
        <w:ind w:left="1080" w:right="1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issue date (or, if the applicable Relevant Tax Jurisdiction became a Relevant Tax Jurisdiction on a date after the issue date of the relevant debt securities, such later date), or</w:t>
      </w:r>
    </w:p>
    <w:p>
      <w:pPr>
        <w:spacing w:after="0" w:line="9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amendment to, or change in, an official interpretation or application of such laws, regulations or rulings (including by virtue of a holding, judgment, order by a court of competent jurisdiction or a change in published administrative practice) which amendment or change becomes effective on or after the issue date (or, if the applicable Relevant Tax Jurisdiction became a Relevant Tax Jurisdiction on a date after the issue date of the relevant debt securities, such later date).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Neither the Company nor the Guarantor, as applicable, will give any such notice of redemption earlier than 90 days prior to the earliest date on which the Company or Guarantor, as applicable, would be obligated to make such payment or withholding if a payment in respect of the applicable debt securities was then due, and the obligation to pay Additional Amounts must be in effect at the time such notice is given. Prior to giving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foregoing will also apply to any jurisdiction in which any successor person to the Company or the Guarantor is incorporated or organized, or any jurisdiction from or through which payment is made by or on behalf of such person on the debt securities of such series (or any Guarantee) and any political subdivision thereof or therein.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Selection and Notice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fewer than all of the debt securities of a series are to be redeemed at any time, the trustee will select the debt securities of such series for redemption on a pro rata basis (or, in the case of debt securities issued in global form as discussed under “—Book-Entry, Delivery and Form,” based on a method that most nearly approximates a pro rata selection as the trustee deems fair and appropriate) unless otherwise required by law or applicable stock exchange or depository requirements.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No debt securities in principal amount of less than the minimum authorized denomination can be redeemed in part. Notices of redemption will be mailed by first class mail at least 30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 or any supplement thereto.</w:t>
      </w:r>
    </w:p>
    <w:p>
      <w:pPr>
        <w:spacing w:after="0" w:line="15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trustee will not be liable for selections made by it as contemplated in this section. For any debt securities which are represented by global securities held on behalf of the relevant Debt Depository, notices may be given by delivery of the relevant notices to the relevant Debt Depository for communication to entitled account holders in substitution for the aforesaid mailing.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So long as any debt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trustee shall not have any obligation to determine if and when the Guarantor’s information is available on the SEC’s (EDGAR) website. The Guarantor shall either (i) provide the trustee with prompt written notification at such time as the Guarantor becomes or ceases to be a reporting company 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hanging="4"/>
        <w:spacing w:after="0" w:line="259" w:lineRule="auto"/>
        <w:tabs>
          <w:tab w:leader="none" w:pos="3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continue to provide the trustee with the foregoing information. Delivery of such reports, information and documents to the trustee is for informational purposes only and the trustee’s receipt of such shall not constitute constructive notice of any information contained therein or determinable from information contained therein, including compliance by us or the Guarantor with any covenants under the indenture (as to which the trustee is entitled to rely exclusively on officer’s certificates).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do not contain provisions that give holders of the debt securities the right to require the Company or the Guarantor to repurchase any debt securities in the event of a decline in credit rating resulting from a takeover, recapitalization or similar restructuring or otherwise. The indenture governing the debt securities will not obligate us to provide, and we do not intend to provide, holders of the debt securities with financial statements of any of the Company that are separate from the Guarantor’s.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Liens</w:t>
      </w:r>
    </w:p>
    <w:p>
      <w:pPr>
        <w:spacing w:after="0" w:line="121"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shall so determine, any of its other indebtedness or the indebtedness of any such restricted subsidiary then existing or thereafter created ranking on a parity with the debt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shall not apply to:</w:t>
      </w:r>
    </w:p>
    <w:p>
      <w:pPr>
        <w:spacing w:after="0" w:line="7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mortgages existing on the date of original issuance of any debt securities;</w:t>
      </w:r>
    </w:p>
    <w:p>
      <w:pPr>
        <w:spacing w:after="0" w:line="130" w:lineRule="exact"/>
        <w:rPr>
          <w:rFonts w:ascii="Arial" w:cs="Arial" w:eastAsia="Arial" w:hAnsi="Arial"/>
          <w:sz w:val="18"/>
          <w:szCs w:val="18"/>
          <w:color w:val="auto"/>
        </w:rPr>
      </w:pPr>
    </w:p>
    <w:p>
      <w:pPr>
        <w:ind w:left="1080" w:right="300" w:hanging="532"/>
        <w:spacing w:after="0" w:line="308"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1" w:lineRule="exact"/>
        <w:rPr>
          <w:rFonts w:ascii="Arial" w:cs="Arial" w:eastAsia="Arial" w:hAnsi="Arial"/>
          <w:sz w:val="17"/>
          <w:szCs w:val="17"/>
          <w:color w:val="auto"/>
        </w:rPr>
      </w:pPr>
    </w:p>
    <w:p>
      <w:pPr>
        <w:ind w:left="1080" w:right="180" w:hanging="532"/>
        <w:spacing w:after="0" w:line="296"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mortgages in favor of the Company, the Guarantor or any other subsidiary of the Guarantor;</w:t>
      </w:r>
    </w:p>
    <w:p>
      <w:pPr>
        <w:spacing w:after="0" w:line="130" w:lineRule="exact"/>
        <w:rPr>
          <w:rFonts w:ascii="Arial" w:cs="Arial" w:eastAsia="Arial" w:hAnsi="Arial"/>
          <w:sz w:val="18"/>
          <w:szCs w:val="18"/>
          <w:color w:val="auto"/>
        </w:rPr>
      </w:pPr>
    </w:p>
    <w:p>
      <w:pPr>
        <w:ind w:left="1080" w:hanging="532"/>
        <w:spacing w:after="0" w:line="279"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mortgage of any of the Guarantor’s property or assets or any property or assets of any of its restricted subsidiaries in favor of the United States of America, the Grand Duchy of Luxembourg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mortgage of any property or assets to secure indebtedness of the pollution control, industrial revenue or other revenue bond type;</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mortgages created in connection with the acquisition of property or assets, or a project financed with, non-recourse debt; and</w:t>
      </w:r>
    </w:p>
    <w:p>
      <w:pPr>
        <w:spacing w:after="0" w:line="130" w:lineRule="exact"/>
        <w:rPr>
          <w:rFonts w:ascii="Arial" w:cs="Arial" w:eastAsia="Arial" w:hAnsi="Arial"/>
          <w:sz w:val="18"/>
          <w:szCs w:val="18"/>
          <w:color w:val="auto"/>
        </w:rPr>
      </w:pPr>
    </w:p>
    <w:p>
      <w:pPr>
        <w:ind w:left="1080" w:hanging="532"/>
        <w:spacing w:after="0" w:line="31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“consolidated net worth” means the amount of total stockholders’ equity shown in the Guarantor’s most recent quarterly consolidated statement of financial position.</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“mortgage” means and includes any mortgage, pledge, lien, security interest, conditional sale or other title retention agreement or other similar encumbrance.</w:t>
      </w:r>
    </w:p>
    <w:p>
      <w:pPr>
        <w:spacing w:after="0" w:line="170"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“non-recourse debt” means indebtedness as to which (a) neither the Company, the Guarantor nor any of its other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original issue date of the debt securities, unless, in the opinion of the board of directors of the Guarantor, such plant or facility or other asset is not of material importance to the total business conducted by the Guarantor and its restricted subsidiaries taken as a whole.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subsidiary” means any subsidiary of the Guarantor which owns a restricted property.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Neither the Company nor the Guarantor may consolidate with or merge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to,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subsidiary of the Guarantor may, at its option, assume the obligations of the Company under the indenture and the debt securities, provided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w:t>
      </w:r>
    </w:p>
    <w:p>
      <w:pPr>
        <w:spacing w:after="0" w:line="116" w:lineRule="exact"/>
        <w:rPr>
          <w:sz w:val="20"/>
          <w:szCs w:val="20"/>
          <w:color w:val="auto"/>
        </w:rPr>
      </w:pPr>
    </w:p>
    <w:p>
      <w:pPr>
        <w:ind w:left="540" w:right="8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subsidiary shall expressly assume such obligations in an assumption agreement or supplemental indenture duly executed and delivered to the trustee, and</w:t>
      </w:r>
    </w:p>
    <w:p>
      <w:pPr>
        <w:spacing w:after="0" w:line="75"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Upon any such assumption, the person so assuming the Company’s obligations under the indenture and the debt securities shall succeed to, and be substituted for, and may exercise any right and power of, the Company under such debt securities and the indenture with the same effect as if such person had been the issuer thereof, and the Company shall be released from its liability as obligor under such debt securities. An officer’s certificate and an opinion of counsel will be delivered to the trustee, which will serve as conclusive evidence of compliance with these provisions.</w:t>
      </w:r>
    </w:p>
    <w:p>
      <w:pPr>
        <w:spacing w:after="0" w:line="15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An assumption of the Company’s obligations as the issuer of the debt securities by a subsidiary of the Guarantor may be treated for U.S.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Beneficial owners of debt securities who are U.S. persons for U.S. federal income tax purposes should consult their tax advisors regarding the U.S. federal, state and local income tax consequences of an assumption of the Company’s obligations as issuer of debt securities by a subsidiary of the Guarantor.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are “Events of Default” with respect to debt securities of a particular series, except to the extent provided in the officer’s certificate, supplemental indenture or resolution of the board of directors pursuant to which a series of debt securities is issued:</w:t>
      </w:r>
    </w:p>
    <w:p>
      <w:pPr>
        <w:spacing w:after="0" w:line="76" w:lineRule="exact"/>
        <w:rPr>
          <w:sz w:val="20"/>
          <w:szCs w:val="20"/>
          <w:color w:val="auto"/>
        </w:rPr>
      </w:pPr>
    </w:p>
    <w:p>
      <w:pPr>
        <w:ind w:left="1080" w:right="2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failure to pay any interest on any of the debt securities of such series within 30 days after such interest becomes due and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failure to pay principal on any of the debt securities of such series at maturity, or if applicable, the redemption price, when the same become due and payable;</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Company’s failure to pay any sinking fund installment as and when the same shall become due and payable by the terms of the debt securities of such series, and continuance of such default for a period of 30 days;</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Company’s failure to comply with any of its covenants or agreements in any of the debt securities of such series or the indenture (other than an agreement or covenant that the Company has included in 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76"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holder of debt securities of any series may pursue any remedy under the indenture applicable to the debt securities of that series only if:</w:t>
      </w:r>
    </w:p>
    <w:p>
      <w:pPr>
        <w:spacing w:after="0" w:line="142"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such debt securities;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debt securities of such series then outstanding make a written request to the trustee to pursue the remedy;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furnishes to the trustee indemnity reasonably satisfactory to the trustee;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notice and furnishing of indemnity;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outstanding debt securities of that series do not give the trustee a direction inconsistent with the request.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provision does not, however, affect the right of any holder to sue for enforcement of any overdue payment with respect to the debt securities of such series.</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76"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with respect to the debt securities of such series;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not relating to or arising under an event of default with respect to the debt securities of such series.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indenture requires the Company to file with the trustee each year a written statement as to its compliance with the covenants contained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w:t>
      </w:r>
    </w:p>
    <w:p>
      <w:pPr>
        <w:spacing w:after="0" w:line="18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Without the consent of each holder of outstanding debt securities of any series, an amendment, supplement or waiver may not (with respect to any debt securities held by a non-consenting holder):</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amount of debt securities of such series whose holders must consent to an amendment, supplement or waiver;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debt securities of such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any premium payable on the redemption of any debt security of such series or change the time at which any debt security of such series may or must be redeemed;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payments on any debt security of such series payable in currency other than as originally stated in such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any debt security of such series;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4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make any change in the percentage of principal amount of the debt securities of such series necessary to waive compliance with certain provisions of the indenture the debt securities of such series were issued under or to make any change in this provision for modification; or</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52"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provide for the assumption of the Company’s or the Guarantor’s obligations under the indenture, and such series of debt securities or the Guarantee, as applicable, by a successor upon any merger, consolidation or asset transfer in accordance with the requirements under “— Consolidation, Merger and Sale of Assets” or to provide for the assumption of the Company’s obligations under the indenture by a subsidiary of the Guarantor in accordance with the requirements under “—Assumption by a Subsidiary” above;</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uncertificated debt securities of any series in addition to or in place of certificated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any security for or guarantees of the debt securities or for the addition of an additional obligor on the debt securities;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the indenture under the Trust Indenture Act of 1939, as amended, if applicable;</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outstanding series of debt securities or to surrender any rights the Company has under the indenture;</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the indenture, provided that any such change or elimination shall not become effective with respect to any outstanding debt security of any series created prior to the execution of such supplemental indenture which is entitled to the benefit of such provision;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provide for the issuance of and establish forms and terms and conditions of a new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permit or facilitate the defeasance and discharge of the debt securities;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issue additional debt securities of any series; provided that such additional debt securities have the same terms as, and be deemed part of the same series as, the applicable series of debt securities to the extent required under the indenture;</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 with respect to the debt securities of one or more series and to add to or change any of the provisions of the indenture as shall be necessary to provide for or facilitate the administration of the trust by more than one trustee;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add additional Events of Default with respect to any series of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of its outstanding debt securities of such series in any material respect.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Stockholders and Certain Others</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term defeasance means the discharge of the Company from some or all of its obligations under the indenture to which it is a party.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54" w:lineRule="exact"/>
        <w:rPr>
          <w:sz w:val="20"/>
          <w:szCs w:val="20"/>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will be discharged from its obligations with respect to the debt securities of such series, except as described in the paragraph immediately below (“legal defeasance”); or</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may exercise our legal defeasance option notwithstanding our prior exercise of our covenant defeasance option. If we defease any series of debt securities, the holders of the defeased debt securities will not be entitled to the benefits of the indenture under which such debt securities were issued, except for the Company’s obligations to register the transfer or exchange of debt securities of such series, replace stolen, lost or mutilated debt securities, maintain paying agencies, hold moneys for payment in trust and to compensate and indemnify the trustee. In the case of covenant defeasance, the Company’s obligation to pay principal, premium and interest on the debt securities of such series will also survive.</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to the other requirements, we will be required to deliver to the trustee an opinion of counsel that the deposit and related defeasance would not cause the beneficial owners of the debt securities of such series to recognize income, gain or loss for U.S. federal income tax purposes. If the Company elects legal defeasance, that opinion of counsel must be based upon a ruling from the United States Internal Revenue Service addressed to the Company or trustee or a change in law to that effect.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Bank of New York Mellon is trustee under the indenture. The trustee performs services for the Guarantor and its subsidiaries in the ordinary course of business.</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and skill of a prudent man in the conduct of his own affairs. The trustee will become obligated to exercise any of its powers under the indenture at the request of any of the holders of any debt securities issued under the indenture only after those holders have furnished the trustee indemnity reasonably satisfactory to it.</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If the trustee becomes a creditor of the Company, it will be subject to limitations in the indenture to which the Company is a party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Securities and Exchange Commission permitting it to remain as trustee.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Paying Agent and Registrar for the Debt Securities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will maintain one or more paying agents (each, a “Paying Agent”) for any debt securities we issue in the Borough of Manhattan, City of New York. The Company will undertake to maintain a Paying Agent in a member state of the European Union that is not obligated to withhold or deduct tax pursuant to the European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Union Directive 2003/48/EC or any other directive implementing the conclusions of the ECOFIN Council meeting of 26 and 27 November 2000 on the taxation of savings income, or any law implementing, or complying with or introduced in order to conform to, such directive. The Company, upon written notice to the trustee accompanied by an officer’s certificate, may appoint one or more paying agents, other than the trustee, for all or any series of such debt securities. If we fail to appoint or maintain another entity as paying agent, the trustee shall act as such. The Company, the Guarantor or any of the Guarantor’s subsidiaries, upon notice to the trustee, may act as paying agent.</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will also maintain one or more registrars (each, a “Registrar”) with an office in the Borough of Manhattan, City of New York. The Company, upon written notice to the trustee accompanied by an officer’s certificate, may appoint one or more registrars, other than the trustee, for all or any series of debt securities. If we fail to appoint or maintain another entity as registrar, the trustee shall act as such. The Company, the Guarantor or any of the Guarantor’s subsidiaries, upon notice to the trustee, may act as registrar.</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will also maintain a transfer agent with an office in the Borough of Manhattan, City of New York. Each transfer agent shall perform the functions of a transfer agent. The Company, upon written notice to the trustee accompanied by an officer’s certificate, may appoint one or more transfer agents, other than the trustee, for all or any series of debt securities. If we fail to appoint or maintain another entity as transfer agent, the trustee shall act as such. The Company, the Guarantor or any of the Guarantor’s subsidiaries, upon notice to the trustee, may act as transfer agent.</w:t>
      </w:r>
    </w:p>
    <w:p>
      <w:pPr>
        <w:spacing w:after="0" w:line="15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Registrar will maintain a register reflecting ownership of debt securities outstanding from time to time and the Paying Agent will make payments on and facilitate transfer of debt securities on the behalf of the Company.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anticipate that the Debt Depository for the debt securities shall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70" w:lineRule="exact"/>
        <w:rPr>
          <w:sz w:val="20"/>
          <w:szCs w:val="20"/>
          <w:color w:val="auto"/>
        </w:rPr>
      </w:pPr>
    </w:p>
    <w:p>
      <w:pPr>
        <w:ind w:left="120" w:right="480" w:firstLine="440"/>
        <w:spacing w:after="0" w:line="301" w:lineRule="auto"/>
        <w:rPr>
          <w:sz w:val="20"/>
          <w:szCs w:val="20"/>
          <w:color w:val="auto"/>
        </w:rPr>
      </w:pPr>
      <w:r>
        <w:rPr>
          <w:rFonts w:ascii="Arial" w:cs="Arial" w:eastAsia="Arial" w:hAnsi="Arial"/>
          <w:sz w:val="16"/>
          <w:szCs w:val="16"/>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any time DTC ceases to be a clearing agency registered or in good standing under the Securities Exchange Act of 1934, as amended, or other applicable statute or regulation and we do not appoint a successor depositary within 90 days after becoming aware that DTC has ceased to be registered as a clearing agency; or</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determine that that global security will be exchangeable for definitive securities in registered form and notify the trustee of such decision in writing.</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92" w:lineRule="exact"/>
        <w:rPr>
          <w:sz w:val="20"/>
          <w:szCs w:val="20"/>
          <w:color w:val="auto"/>
        </w:rPr>
      </w:pPr>
    </w:p>
    <w:p>
      <w:pPr>
        <w:ind w:left="10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aspect of DTC’s records relating to, or payments made on account of, beneficial ownership interests in a debt security represented by a global security; or</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7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Euroclear Operator advises us that it is regulated and examined by the Belgian banking and Finance Commission and the National Bank of Belgium.</w:t>
      </w:r>
    </w:p>
    <w:p>
      <w:pPr>
        <w:spacing w:after="0" w:line="170"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Clearance and Settlement Procedures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Initial settlement for the debt securities will be made in immediately available funds. Secondary market trading between DTC participants will occur in the ordinary way in accordance with DTC rules and will be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6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7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7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6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292"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underwriters, brokers or dealers;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brokers, dealers, agents or direct purchasers and their compensation in a prospectus supplement.</w:t>
      </w:r>
    </w:p>
    <w:p>
      <w:pPr>
        <w:spacing w:after="0" w:line="27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Validity of the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debt securities offered hereby will be passed upon for us by Gibson, Dunn &amp; Crutcher LLP, New York, New York.</w:t>
      </w:r>
    </w:p>
    <w:p>
      <w:pPr>
        <w:spacing w:after="0" w:line="3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Guarantor’s Annual Report on Form 10-K for the year ended December 31, 2018 have been so incorporated in reliance on the report of PricewaterhouseCoopers LLP, an independent registered public accounting firm, given on the authority of that firm as experts in auditing and accounting.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320" w:top="459" w:right="5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right"/>
        <w:ind w:right="1280"/>
        <w:spacing w:after="0"/>
        <w:rPr>
          <w:sz w:val="20"/>
          <w:szCs w:val="20"/>
          <w:color w:val="auto"/>
        </w:rPr>
      </w:pPr>
      <w:r>
        <w:rPr>
          <w:rFonts w:ascii="Arial" w:cs="Arial" w:eastAsia="Arial" w:hAnsi="Arial"/>
          <w:sz w:val="65"/>
          <w:szCs w:val="65"/>
          <w:b w:val="1"/>
          <w:bCs w:val="1"/>
          <w:color w:val="auto"/>
        </w:rPr>
        <w:t>Schlumberger Investment SA</w:t>
      </w:r>
    </w:p>
    <w:p>
      <w:pPr>
        <w:spacing w:after="0" w:line="160" w:lineRule="exact"/>
        <w:rPr>
          <w:sz w:val="20"/>
          <w:szCs w:val="20"/>
          <w:color w:val="auto"/>
        </w:rPr>
      </w:pPr>
    </w:p>
    <w:p>
      <w:pPr>
        <w:ind w:left="4300" w:hanging="818"/>
        <w:spacing w:after="0"/>
        <w:tabs>
          <w:tab w:leader="none" w:pos="4300" w:val="left"/>
        </w:tabs>
        <w:numPr>
          <w:ilvl w:val="0"/>
          <w:numId w:val="60"/>
        </w:numPr>
        <w:rPr>
          <w:rFonts w:ascii="Arial" w:cs="Arial" w:eastAsia="Arial" w:hAnsi="Arial"/>
          <w:sz w:val="32"/>
          <w:szCs w:val="32"/>
          <w:b w:val="1"/>
          <w:bCs w:val="1"/>
          <w:color w:val="auto"/>
        </w:rPr>
      </w:pPr>
      <w:r>
        <w:rPr>
          <w:rFonts w:ascii="Arial" w:cs="Arial" w:eastAsia="Arial" w:hAnsi="Arial"/>
          <w:sz w:val="32"/>
          <w:szCs w:val="32"/>
          <w:b w:val="1"/>
          <w:bCs w:val="1"/>
          <w:color w:val="auto"/>
        </w:rPr>
        <w:t>% Senior Notes due 2030</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Fully and unconditionally guaranteed by</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567055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155575</wp:posOffset>
            </wp:positionV>
            <wp:extent cx="1448435"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4484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PRELIMINARY PROSPECTUS SUPPLEMENT</w:t>
      </w:r>
    </w:p>
    <w:p>
      <w:pPr>
        <w:spacing w:after="0" w:line="158" w:lineRule="exact"/>
        <w:rPr>
          <w:sz w:val="20"/>
          <w:szCs w:val="20"/>
          <w:color w:val="auto"/>
        </w:rPr>
      </w:pPr>
    </w:p>
    <w:p>
      <w:pPr>
        <w:jc w:val="center"/>
        <w:ind w:left="3560"/>
        <w:spacing w:after="0"/>
        <w:tabs>
          <w:tab w:leader="none" w:pos="200" w:val="left"/>
        </w:tabs>
        <w:rPr>
          <w:sz w:val="20"/>
          <w:szCs w:val="20"/>
          <w:color w:val="auto"/>
        </w:rPr>
      </w:pPr>
      <w:r>
        <w:rPr>
          <w:rFonts w:ascii="Arial" w:cs="Arial" w:eastAsia="Arial" w:hAnsi="Arial"/>
          <w:sz w:val="18"/>
          <w:szCs w:val="18"/>
          <w:b w:val="1"/>
          <w:bCs w:val="1"/>
          <w:color w:val="auto"/>
        </w:rPr>
        <w:t>June</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160655</wp:posOffset>
            </wp:positionV>
            <wp:extent cx="7715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0980"/>
          </w:cols>
          <w:pgMar w:left="320" w:top="459" w:right="599" w:bottom="1440" w:gutter="0" w:footer="0" w:header="0"/>
        </w:sectPr>
      </w:pPr>
    </w:p>
    <w:p>
      <w:pPr>
        <w:spacing w:after="0" w:line="125" w:lineRule="exact"/>
        <w:rPr>
          <w:sz w:val="20"/>
          <w:szCs w:val="20"/>
          <w:color w:val="auto"/>
        </w:rPr>
      </w:pPr>
    </w:p>
    <w:p>
      <w:pPr>
        <w:ind w:left="88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HSBC</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219710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254000</wp:posOffset>
            </wp:positionV>
            <wp:extent cx="699516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SOCIETE GENERALE</w:t>
      </w:r>
    </w:p>
    <w:sectPr>
      <w:pgSz w:w="11900" w:h="16838" w:orient="portrait"/>
      <w:cols w:equalWidth="0" w:num="4">
        <w:col w:w="2500" w:space="720"/>
        <w:col w:w="880" w:space="720"/>
        <w:col w:w="2100" w:space="720"/>
        <w:col w:w="3340"/>
      </w:cols>
      <w:pgMar w:left="320" w:top="459"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lowerLetter"/>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4"/>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lowerRoman"/>
      <w:start w:val="1"/>
    </w:lvl>
  </w:abstractNum>
  <w:abstractNum w:abstractNumId="25">
    <w:nsid w:val="2A487CB0"/>
    <w:multiLevelType w:val="hybridMultilevel"/>
    <w:lvl w:ilvl="0">
      <w:lvlJc w:val="left"/>
      <w:lvlText w:val="(%1)"/>
      <w:numFmt w:val="lowerRoman"/>
      <w:start w:val="1"/>
    </w:lvl>
  </w:abstractNum>
  <w:abstractNum w:abstractNumId="26">
    <w:nsid w:val="1D4ED43B"/>
    <w:multiLevelType w:val="hybridMultilevel"/>
    <w:lvl w:ilvl="0">
      <w:lvlJc w:val="left"/>
      <w:lvlText w:val="(%1)"/>
      <w:numFmt w:val="lowerLetter"/>
      <w:start w:val="1"/>
    </w:lvl>
  </w:abstractNum>
  <w:abstractNum w:abstractNumId="27">
    <w:nsid w:val="725A06FB"/>
    <w:multiLevelType w:val="hybridMultilevel"/>
    <w:lvl w:ilvl="0">
      <w:lvlJc w:val="left"/>
      <w:lvlText w:val="(%1)"/>
      <w:numFmt w:val="lowerRoman"/>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1)"/>
      <w:numFmt w:val="decimal"/>
      <w:start w:val="713"/>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713"/>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lvl w:ilvl="1">
      <w:lvlJc w:val="left"/>
      <w:lvlText w:val="(%2)"/>
      <w:numFmt w:val="decimal"/>
      <w:start w:val="1"/>
    </w:lvl>
  </w:abstractNum>
  <w:abstractNum w:abstractNumId="42">
    <w:nsid w:val="79A1DEAA"/>
    <w:multiLevelType w:val="hybridMultilevel"/>
    <w:lvl w:ilvl="0">
      <w:lvlJc w:val="left"/>
      <w:lvlText w:val="(%1)"/>
      <w:numFmt w:val="decimal"/>
      <w:start w:val="6"/>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lowerRoman"/>
      <w:start w:val="2"/>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7"/>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jpe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jpe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60" Type="http://schemas.openxmlformats.org/officeDocument/2006/relationships/hyperlink" Target="http://www.sec.gov/Archives/edgar/data/87347/000156459020001578/slb-10k_20191231.htm" TargetMode="External"/><Relationship Id="rId61" Type="http://schemas.openxmlformats.org/officeDocument/2006/relationships/hyperlink" Target="http://www.sec.gov/Archives/edgar/data/87347/000156459020017823/slb-10q_20200331.htm" TargetMode="External"/><Relationship Id="rId63" Type="http://schemas.openxmlformats.org/officeDocument/2006/relationships/hyperlink" Target="http://www.sec.gov/Archives/edgar/data/87347/000119312520037368/d835809d8k.htm" TargetMode="External"/><Relationship Id="rId64" Type="http://schemas.openxmlformats.org/officeDocument/2006/relationships/hyperlink" Target="http://www.sec.gov/Archives/edgar/data/87347/000119312520094782/d913820d8k.htm" TargetMode="External"/><Relationship Id="rId65" Type="http://schemas.openxmlformats.org/officeDocument/2006/relationships/hyperlink" Target="http://www.sec.gov/Archives/edgar/data/87347/000119312520109899/d905144d8k.htm" TargetMode="External"/><Relationship Id="rId66" Type="http://schemas.openxmlformats.org/officeDocument/2006/relationships/hyperlink" Target="http://www.sec.gov/ix?doc=/Archives/edgar/data/87347/000119312520170138/d944136d8k.htm" TargetMode="External"/><Relationship Id="rId76" Type="http://schemas.openxmlformats.org/officeDocument/2006/relationships/hyperlink" Target="http://www.sec.gov/ix?doc=/Archives/edgar/data/87347/000156459020001578/slb-10k_20191231.htm" TargetMode="External"/><Relationship Id="rId77" Type="http://schemas.openxmlformats.org/officeDocument/2006/relationships/hyperlink" Target="http://www.sec.gov/Archives/edgar/data/87347/000119312519031479/d662264d8k.htm" TargetMode="External"/><Relationship Id="rId78" Type="http://schemas.openxmlformats.org/officeDocument/2006/relationships/hyperlink" Target="http://www.sec.gov/Archives/edgar/data/87347/000119312519060080/d717830d8ka.htm" TargetMode="External"/><Relationship Id="rId79" Type="http://schemas.openxmlformats.org/officeDocument/2006/relationships/hyperlink" Target="http://www.sec.gov/Archives/edgar/data/87347/000119312519090118/d722544d8k.htm" TargetMode="External"/><Relationship Id="rId80" Type="http://schemas.openxmlformats.org/officeDocument/2006/relationships/hyperlink" Target="http://www.sec.gov/Archives/edgar/data/87347/000119312519096693/d72956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2020-06-17T07:18:18Z</dcterms:created>
  <dcterms:modified xsi:type="dcterms:W3CDTF">2020-06-17T07:18:18Z</dcterms:modified>
</cp:coreProperties>
</file>