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 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QUARTERLY REPORT UNDER SECTION 13 OR 15(d)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177800</wp:posOffset>
            </wp:positionV>
            <wp:extent cx="10375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1-4601</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Schlumberger N.V. (Schlumberger Limited)</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1280" w:type="dxa"/>
        <w:tblCellMar>
          <w:top w:w="0" w:type="dxa"/>
          <w:left w:w="0" w:type="dxa"/>
          <w:bottom w:w="0" w:type="dxa"/>
          <w:right w:w="0" w:type="dxa"/>
        </w:tblCellMar>
      </w:tblPr>
      <w:tr>
        <w:trPr>
          <w:trHeight w:val="216"/>
        </w:trPr>
        <w:tc>
          <w:tcPr>
            <w:tcW w:w="4580" w:type="dxa"/>
            <w:vAlign w:val="bottom"/>
          </w:tcPr>
          <w:p>
            <w:pPr>
              <w:jc w:val="center"/>
              <w:ind w:right="1432"/>
              <w:spacing w:after="0"/>
              <w:rPr>
                <w:sz w:val="20"/>
                <w:szCs w:val="20"/>
                <w:color w:val="auto"/>
              </w:rPr>
            </w:pPr>
            <w:r>
              <w:rPr>
                <w:rFonts w:ascii="Arial" w:cs="Arial" w:eastAsia="Arial" w:hAnsi="Arial"/>
                <w:sz w:val="18"/>
                <w:szCs w:val="18"/>
                <w:b w:val="1"/>
                <w:bCs w:val="1"/>
                <w:color w:val="auto"/>
                <w:w w:val="88"/>
              </w:rPr>
              <w:t>Netherlands Antilles</w:t>
            </w:r>
          </w:p>
        </w:tc>
        <w:tc>
          <w:tcPr>
            <w:tcW w:w="4220" w:type="dxa"/>
            <w:vAlign w:val="bottom"/>
          </w:tcPr>
          <w:p>
            <w:pPr>
              <w:jc w:val="center"/>
              <w:ind w:left="1452"/>
              <w:spacing w:after="0"/>
              <w:rPr>
                <w:sz w:val="20"/>
                <w:szCs w:val="20"/>
                <w:color w:val="auto"/>
              </w:rPr>
            </w:pPr>
            <w:r>
              <w:rPr>
                <w:rFonts w:ascii="Arial" w:cs="Arial" w:eastAsia="Arial" w:hAnsi="Arial"/>
                <w:sz w:val="18"/>
                <w:szCs w:val="18"/>
                <w:b w:val="1"/>
                <w:bCs w:val="1"/>
                <w:color w:val="auto"/>
                <w:w w:val="87"/>
              </w:rPr>
              <w:t>52-0684746</w:t>
            </w:r>
          </w:p>
        </w:tc>
      </w:tr>
      <w:tr>
        <w:trPr>
          <w:trHeight w:val="216"/>
        </w:trPr>
        <w:tc>
          <w:tcPr>
            <w:tcW w:w="4580" w:type="dxa"/>
            <w:vAlign w:val="bottom"/>
          </w:tcPr>
          <w:p>
            <w:pPr>
              <w:jc w:val="center"/>
              <w:ind w:right="1432"/>
              <w:spacing w:after="0"/>
              <w:rPr>
                <w:sz w:val="20"/>
                <w:szCs w:val="20"/>
                <w:color w:val="auto"/>
              </w:rPr>
            </w:pPr>
            <w:r>
              <w:rPr>
                <w:rFonts w:ascii="Arial" w:cs="Arial" w:eastAsia="Arial" w:hAnsi="Arial"/>
                <w:sz w:val="18"/>
                <w:szCs w:val="18"/>
                <w:b w:val="1"/>
                <w:bCs w:val="1"/>
                <w:color w:val="auto"/>
                <w:w w:val="88"/>
              </w:rPr>
              <w:t>(State or other jurisdiction of</w:t>
            </w:r>
          </w:p>
        </w:tc>
        <w:tc>
          <w:tcPr>
            <w:tcW w:w="4220" w:type="dxa"/>
            <w:vAlign w:val="bottom"/>
          </w:tcPr>
          <w:p>
            <w:pPr>
              <w:jc w:val="center"/>
              <w:ind w:left="1452"/>
              <w:spacing w:after="0"/>
              <w:rPr>
                <w:sz w:val="20"/>
                <w:szCs w:val="20"/>
                <w:color w:val="auto"/>
              </w:rPr>
            </w:pPr>
            <w:r>
              <w:rPr>
                <w:rFonts w:ascii="Arial" w:cs="Arial" w:eastAsia="Arial" w:hAnsi="Arial"/>
                <w:sz w:val="18"/>
                <w:szCs w:val="18"/>
                <w:b w:val="1"/>
                <w:bCs w:val="1"/>
                <w:color w:val="auto"/>
                <w:w w:val="90"/>
              </w:rPr>
              <w:t>(I.R.S. Employer Identification No.)</w:t>
            </w:r>
          </w:p>
        </w:tc>
      </w:tr>
      <w:tr>
        <w:trPr>
          <w:trHeight w:val="228"/>
        </w:trPr>
        <w:tc>
          <w:tcPr>
            <w:tcW w:w="4580" w:type="dxa"/>
            <w:vAlign w:val="bottom"/>
          </w:tcPr>
          <w:p>
            <w:pPr>
              <w:jc w:val="center"/>
              <w:ind w:right="1432"/>
              <w:spacing w:after="0"/>
              <w:rPr>
                <w:sz w:val="20"/>
                <w:szCs w:val="20"/>
                <w:color w:val="auto"/>
              </w:rPr>
            </w:pPr>
            <w:r>
              <w:rPr>
                <w:rFonts w:ascii="Arial" w:cs="Arial" w:eastAsia="Arial" w:hAnsi="Arial"/>
                <w:sz w:val="18"/>
                <w:szCs w:val="18"/>
                <w:b w:val="1"/>
                <w:bCs w:val="1"/>
                <w:color w:val="auto"/>
                <w:w w:val="89"/>
              </w:rPr>
              <w:t>incorporation or organization)</w:t>
            </w:r>
          </w:p>
        </w:tc>
        <w:tc>
          <w:tcPr>
            <w:tcW w:w="4220" w:type="dxa"/>
            <w:vAlign w:val="bottom"/>
          </w:tcPr>
          <w:p>
            <w:pPr>
              <w:spacing w:after="0"/>
              <w:rPr>
                <w:sz w:val="19"/>
                <w:szCs w:val="19"/>
                <w:color w:val="auto"/>
              </w:rPr>
            </w:pPr>
          </w:p>
        </w:tc>
      </w:tr>
      <w:tr>
        <w:trPr>
          <w:trHeight w:val="325"/>
        </w:trPr>
        <w:tc>
          <w:tcPr>
            <w:tcW w:w="4580" w:type="dxa"/>
            <w:vAlign w:val="bottom"/>
          </w:tcPr>
          <w:p>
            <w:pPr>
              <w:jc w:val="center"/>
              <w:ind w:right="1432"/>
              <w:spacing w:after="0"/>
              <w:rPr>
                <w:sz w:val="20"/>
                <w:szCs w:val="20"/>
                <w:color w:val="auto"/>
              </w:rPr>
            </w:pPr>
            <w:r>
              <w:rPr>
                <w:rFonts w:ascii="Arial" w:cs="Arial" w:eastAsia="Arial" w:hAnsi="Arial"/>
                <w:sz w:val="18"/>
                <w:szCs w:val="18"/>
                <w:b w:val="1"/>
                <w:bCs w:val="1"/>
                <w:color w:val="auto"/>
                <w:w w:val="88"/>
              </w:rPr>
              <w:t>153 East 53 Street, 57th Floor</w:t>
            </w:r>
          </w:p>
        </w:tc>
        <w:tc>
          <w:tcPr>
            <w:tcW w:w="4220" w:type="dxa"/>
            <w:vAlign w:val="bottom"/>
          </w:tcPr>
          <w:p>
            <w:pPr>
              <w:jc w:val="center"/>
              <w:ind w:left="1452"/>
              <w:spacing w:after="0"/>
              <w:rPr>
                <w:sz w:val="20"/>
                <w:szCs w:val="20"/>
                <w:color w:val="auto"/>
              </w:rPr>
            </w:pPr>
            <w:r>
              <w:rPr>
                <w:rFonts w:ascii="Arial" w:cs="Arial" w:eastAsia="Arial" w:hAnsi="Arial"/>
                <w:sz w:val="18"/>
                <w:szCs w:val="18"/>
                <w:b w:val="1"/>
                <w:bCs w:val="1"/>
                <w:color w:val="auto"/>
                <w:w w:val="87"/>
              </w:rPr>
              <w:t>10022</w:t>
            </w:r>
          </w:p>
        </w:tc>
      </w:tr>
      <w:tr>
        <w:trPr>
          <w:trHeight w:val="228"/>
        </w:trPr>
        <w:tc>
          <w:tcPr>
            <w:tcW w:w="4580" w:type="dxa"/>
            <w:vAlign w:val="bottom"/>
          </w:tcPr>
          <w:p>
            <w:pPr>
              <w:jc w:val="center"/>
              <w:ind w:right="1432"/>
              <w:spacing w:after="0"/>
              <w:rPr>
                <w:sz w:val="20"/>
                <w:szCs w:val="20"/>
                <w:color w:val="auto"/>
              </w:rPr>
            </w:pPr>
            <w:r>
              <w:rPr>
                <w:rFonts w:ascii="Arial" w:cs="Arial" w:eastAsia="Arial" w:hAnsi="Arial"/>
                <w:sz w:val="18"/>
                <w:szCs w:val="18"/>
                <w:b w:val="1"/>
                <w:bCs w:val="1"/>
                <w:color w:val="auto"/>
                <w:w w:val="90"/>
              </w:rPr>
              <w:t>New York, New York, U.S.A.</w:t>
            </w:r>
          </w:p>
        </w:tc>
        <w:tc>
          <w:tcPr>
            <w:tcW w:w="4220" w:type="dxa"/>
            <w:vAlign w:val="bottom"/>
          </w:tcPr>
          <w:p>
            <w:pPr>
              <w:spacing w:after="0"/>
              <w:rPr>
                <w:sz w:val="19"/>
                <w:szCs w:val="19"/>
                <w:color w:val="auto"/>
              </w:rPr>
            </w:pPr>
          </w:p>
        </w:tc>
      </w:tr>
      <w:tr>
        <w:trPr>
          <w:trHeight w:val="325"/>
        </w:trPr>
        <w:tc>
          <w:tcPr>
            <w:tcW w:w="4580" w:type="dxa"/>
            <w:vAlign w:val="bottom"/>
          </w:tcPr>
          <w:p>
            <w:pPr>
              <w:jc w:val="center"/>
              <w:ind w:right="1432"/>
              <w:spacing w:after="0"/>
              <w:rPr>
                <w:sz w:val="20"/>
                <w:szCs w:val="20"/>
                <w:color w:val="auto"/>
              </w:rPr>
            </w:pPr>
            <w:r>
              <w:rPr>
                <w:rFonts w:ascii="Arial" w:cs="Arial" w:eastAsia="Arial" w:hAnsi="Arial"/>
                <w:sz w:val="18"/>
                <w:szCs w:val="18"/>
                <w:b w:val="1"/>
                <w:bCs w:val="1"/>
                <w:color w:val="auto"/>
                <w:w w:val="88"/>
              </w:rPr>
              <w:t>42, rue Saint-Dominique</w:t>
            </w:r>
          </w:p>
        </w:tc>
        <w:tc>
          <w:tcPr>
            <w:tcW w:w="4220" w:type="dxa"/>
            <w:vAlign w:val="bottom"/>
          </w:tcPr>
          <w:p>
            <w:pPr>
              <w:jc w:val="center"/>
              <w:ind w:left="1452"/>
              <w:spacing w:after="0"/>
              <w:rPr>
                <w:sz w:val="20"/>
                <w:szCs w:val="20"/>
                <w:color w:val="auto"/>
              </w:rPr>
            </w:pPr>
            <w:r>
              <w:rPr>
                <w:rFonts w:ascii="Arial" w:cs="Arial" w:eastAsia="Arial" w:hAnsi="Arial"/>
                <w:sz w:val="18"/>
                <w:szCs w:val="18"/>
                <w:b w:val="1"/>
                <w:bCs w:val="1"/>
                <w:color w:val="auto"/>
                <w:w w:val="87"/>
              </w:rPr>
              <w:t>75007</w:t>
            </w:r>
          </w:p>
        </w:tc>
      </w:tr>
      <w:tr>
        <w:trPr>
          <w:trHeight w:val="228"/>
        </w:trPr>
        <w:tc>
          <w:tcPr>
            <w:tcW w:w="4580" w:type="dxa"/>
            <w:vAlign w:val="bottom"/>
          </w:tcPr>
          <w:p>
            <w:pPr>
              <w:jc w:val="center"/>
              <w:ind w:right="1432"/>
              <w:spacing w:after="0"/>
              <w:rPr>
                <w:sz w:val="20"/>
                <w:szCs w:val="20"/>
                <w:color w:val="auto"/>
              </w:rPr>
            </w:pPr>
            <w:r>
              <w:rPr>
                <w:rFonts w:ascii="Arial" w:cs="Arial" w:eastAsia="Arial" w:hAnsi="Arial"/>
                <w:sz w:val="18"/>
                <w:szCs w:val="18"/>
                <w:b w:val="1"/>
                <w:bCs w:val="1"/>
                <w:color w:val="auto"/>
                <w:w w:val="90"/>
              </w:rPr>
              <w:t>Paris, France</w:t>
            </w:r>
          </w:p>
        </w:tc>
        <w:tc>
          <w:tcPr>
            <w:tcW w:w="4220" w:type="dxa"/>
            <w:vAlign w:val="bottom"/>
          </w:tcPr>
          <w:p>
            <w:pPr>
              <w:spacing w:after="0"/>
              <w:rPr>
                <w:sz w:val="19"/>
                <w:szCs w:val="19"/>
                <w:color w:val="auto"/>
              </w:rPr>
            </w:pPr>
          </w:p>
        </w:tc>
      </w:tr>
      <w:tr>
        <w:trPr>
          <w:trHeight w:val="325"/>
        </w:trPr>
        <w:tc>
          <w:tcPr>
            <w:tcW w:w="4580" w:type="dxa"/>
            <w:vAlign w:val="bottom"/>
          </w:tcPr>
          <w:p>
            <w:pPr>
              <w:jc w:val="center"/>
              <w:ind w:right="1432"/>
              <w:spacing w:after="0"/>
              <w:rPr>
                <w:sz w:val="20"/>
                <w:szCs w:val="20"/>
                <w:color w:val="auto"/>
              </w:rPr>
            </w:pPr>
            <w:r>
              <w:rPr>
                <w:rFonts w:ascii="Arial" w:cs="Arial" w:eastAsia="Arial" w:hAnsi="Arial"/>
                <w:sz w:val="18"/>
                <w:szCs w:val="18"/>
                <w:b w:val="1"/>
                <w:bCs w:val="1"/>
                <w:color w:val="auto"/>
                <w:w w:val="89"/>
              </w:rPr>
              <w:t>Parkstraat 83, The Hague,</w:t>
            </w:r>
          </w:p>
        </w:tc>
        <w:tc>
          <w:tcPr>
            <w:tcW w:w="4220" w:type="dxa"/>
            <w:vAlign w:val="bottom"/>
          </w:tcPr>
          <w:p>
            <w:pPr>
              <w:spacing w:after="0"/>
              <w:rPr>
                <w:sz w:val="24"/>
                <w:szCs w:val="24"/>
                <w:color w:val="auto"/>
              </w:rPr>
            </w:pPr>
          </w:p>
        </w:tc>
      </w:tr>
      <w:tr>
        <w:trPr>
          <w:trHeight w:val="230"/>
        </w:trPr>
        <w:tc>
          <w:tcPr>
            <w:tcW w:w="4580" w:type="dxa"/>
            <w:vAlign w:val="bottom"/>
          </w:tcPr>
          <w:p>
            <w:pPr>
              <w:jc w:val="center"/>
              <w:ind w:right="1432"/>
              <w:spacing w:after="0"/>
              <w:rPr>
                <w:sz w:val="20"/>
                <w:szCs w:val="20"/>
                <w:color w:val="auto"/>
              </w:rPr>
            </w:pPr>
            <w:r>
              <w:rPr>
                <w:rFonts w:ascii="Arial" w:cs="Arial" w:eastAsia="Arial" w:hAnsi="Arial"/>
                <w:sz w:val="18"/>
                <w:szCs w:val="18"/>
                <w:b w:val="1"/>
                <w:bCs w:val="1"/>
                <w:color w:val="auto"/>
                <w:w w:val="89"/>
              </w:rPr>
              <w:t>The Netherlands</w:t>
            </w:r>
          </w:p>
        </w:tc>
        <w:tc>
          <w:tcPr>
            <w:tcW w:w="4220" w:type="dxa"/>
            <w:vAlign w:val="bottom"/>
          </w:tcPr>
          <w:p>
            <w:pPr>
              <w:jc w:val="center"/>
              <w:ind w:left="1432"/>
              <w:spacing w:after="0"/>
              <w:rPr>
                <w:sz w:val="20"/>
                <w:szCs w:val="20"/>
                <w:color w:val="auto"/>
              </w:rPr>
            </w:pPr>
            <w:r>
              <w:rPr>
                <w:rFonts w:ascii="Arial" w:cs="Arial" w:eastAsia="Arial" w:hAnsi="Arial"/>
                <w:sz w:val="18"/>
                <w:szCs w:val="18"/>
                <w:b w:val="1"/>
                <w:bCs w:val="1"/>
                <w:color w:val="auto"/>
                <w:w w:val="89"/>
              </w:rPr>
              <w:t>2514 JG</w:t>
            </w:r>
          </w:p>
        </w:tc>
      </w:tr>
      <w:tr>
        <w:trPr>
          <w:trHeight w:val="228"/>
        </w:trPr>
        <w:tc>
          <w:tcPr>
            <w:tcW w:w="4580" w:type="dxa"/>
            <w:vAlign w:val="bottom"/>
          </w:tcPr>
          <w:p>
            <w:pPr>
              <w:jc w:val="center"/>
              <w:ind w:right="1432"/>
              <w:spacing w:after="0"/>
              <w:rPr>
                <w:sz w:val="20"/>
                <w:szCs w:val="20"/>
                <w:color w:val="auto"/>
              </w:rPr>
            </w:pPr>
            <w:r>
              <w:rPr>
                <w:rFonts w:ascii="Arial" w:cs="Arial" w:eastAsia="Arial" w:hAnsi="Arial"/>
                <w:sz w:val="18"/>
                <w:szCs w:val="18"/>
                <w:b w:val="1"/>
                <w:bCs w:val="1"/>
                <w:color w:val="auto"/>
                <w:w w:val="85"/>
              </w:rPr>
              <w:t>(Addresses of principal executive offices)</w:t>
            </w:r>
          </w:p>
        </w:tc>
        <w:tc>
          <w:tcPr>
            <w:tcW w:w="4220" w:type="dxa"/>
            <w:vAlign w:val="bottom"/>
          </w:tcPr>
          <w:p>
            <w:pPr>
              <w:jc w:val="center"/>
              <w:ind w:left="1452"/>
              <w:spacing w:after="0"/>
              <w:rPr>
                <w:sz w:val="20"/>
                <w:szCs w:val="20"/>
                <w:color w:val="auto"/>
              </w:rPr>
            </w:pPr>
            <w:r>
              <w:rPr>
                <w:rFonts w:ascii="Arial" w:cs="Arial" w:eastAsia="Arial" w:hAnsi="Arial"/>
                <w:sz w:val="18"/>
                <w:szCs w:val="18"/>
                <w:b w:val="1"/>
                <w:bCs w:val="1"/>
                <w:color w:val="auto"/>
                <w:w w:val="88"/>
              </w:rPr>
              <w:t>(Zip Codes)</w:t>
            </w:r>
          </w:p>
        </w:tc>
      </w:tr>
    </w:tbl>
    <w:p>
      <w:pPr>
        <w:spacing w:after="0" w:line="1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350-9400</w:t>
      </w:r>
    </w:p>
    <w:p>
      <w:pPr>
        <w:spacing w:after="0" w:line="151" w:lineRule="exact"/>
        <w:rPr>
          <w:sz w:val="24"/>
          <w:szCs w:val="24"/>
          <w:color w:val="auto"/>
        </w:rPr>
      </w:pPr>
    </w:p>
    <w:p>
      <w:pPr>
        <w:ind w:right="180"/>
        <w:spacing w:after="0" w:line="31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29"/>
          <w:szCs w:val="29"/>
          <w:color w:val="auto"/>
          <w:vertAlign w:val="superscript"/>
        </w:rPr>
        <w:t>☐</w:t>
      </w:r>
    </w:p>
    <w:p>
      <w:pPr>
        <w:spacing w:after="0" w:line="2" w:lineRule="exact"/>
        <w:rPr>
          <w:sz w:val="24"/>
          <w:szCs w:val="24"/>
          <w:color w:val="auto"/>
        </w:rPr>
      </w:pPr>
    </w:p>
    <w:p>
      <w:pPr>
        <w:ind w:right="160"/>
        <w:spacing w:after="0" w:line="310" w:lineRule="exact"/>
        <w:rPr>
          <w:sz w:val="20"/>
          <w:szCs w:val="20"/>
          <w:color w:val="auto"/>
        </w:rPr>
      </w:pPr>
      <w:r>
        <w:rPr>
          <w:rFonts w:ascii="Arial" w:cs="Arial" w:eastAsia="Arial" w:hAnsi="Arial"/>
          <w:sz w:val="16"/>
          <w:szCs w:val="16"/>
          <w:color w:val="auto"/>
        </w:rPr>
        <w:t xml:space="preserve">Indicate by check mark whether the Registrant is a large accelerated filer, an accelerated filer, or a non-accelerated filer. See definition of “accelerated filer” and “large accelerated filer” in Rule 12b-2 of the Exchange Act. 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26"/>
          <w:szCs w:val="26"/>
          <w:color w:val="auto"/>
          <w:vertAlign w:val="superscript"/>
        </w:rPr>
        <w:t>☐</w:t>
      </w:r>
      <w:r>
        <w:rPr>
          <w:rFonts w:ascii="Arial" w:cs="Arial" w:eastAsia="Arial" w:hAnsi="Arial"/>
          <w:sz w:val="16"/>
          <w:szCs w:val="16"/>
          <w:color w:val="auto"/>
        </w:rPr>
        <w:t xml:space="preserve"> Non-accelerated filer </w:t>
      </w:r>
      <w:r>
        <w:rPr>
          <w:rFonts w:ascii="MS PGothic" w:cs="MS PGothic" w:eastAsia="MS PGothic" w:hAnsi="MS PGothic"/>
          <w:sz w:val="26"/>
          <w:szCs w:val="26"/>
          <w:color w:val="auto"/>
          <w:vertAlign w:val="superscript"/>
        </w:rPr>
        <w:t>☐</w:t>
      </w:r>
    </w:p>
    <w:p>
      <w:pPr>
        <w:spacing w:after="0" w:line="1" w:lineRule="exact"/>
        <w:rPr>
          <w:sz w:val="24"/>
          <w:szCs w:val="24"/>
          <w:color w:val="auto"/>
        </w:rPr>
      </w:pPr>
    </w:p>
    <w:p>
      <w:pPr>
        <w:ind w:right="2280"/>
        <w:spacing w:after="0" w:line="312"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26"/>
          <w:szCs w:val="26"/>
          <w:color w:val="auto"/>
          <w:vertAlign w:val="superscript"/>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issuer’s classes of common stock, as of the latest practicable date.</w:t>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3160" w:type="dxa"/>
            <w:vAlign w:val="bottom"/>
          </w:tcPr>
          <w:p>
            <w:pPr>
              <w:spacing w:after="0"/>
              <w:rPr>
                <w:sz w:val="15"/>
                <w:szCs w:val="15"/>
                <w:color w:val="auto"/>
              </w:rPr>
            </w:pPr>
          </w:p>
        </w:tc>
        <w:tc>
          <w:tcPr>
            <w:tcW w:w="4000" w:type="dxa"/>
            <w:vAlign w:val="bottom"/>
            <w:gridSpan w:val="2"/>
          </w:tcPr>
          <w:p>
            <w:pPr>
              <w:jc w:val="center"/>
              <w:ind w:right="3540"/>
              <w:spacing w:after="0"/>
              <w:rPr>
                <w:sz w:val="20"/>
                <w:szCs w:val="20"/>
                <w:color w:val="auto"/>
              </w:rPr>
            </w:pPr>
            <w:r>
              <w:rPr>
                <w:rFonts w:ascii="Arial" w:cs="Arial" w:eastAsia="Arial" w:hAnsi="Arial"/>
                <w:sz w:val="14"/>
                <w:szCs w:val="14"/>
                <w:b w:val="1"/>
                <w:bCs w:val="1"/>
                <w:color w:val="auto"/>
                <w:w w:val="80"/>
              </w:rPr>
              <w:t>Class</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 at June 30, 2006</w:t>
            </w:r>
          </w:p>
        </w:tc>
        <w:tc>
          <w:tcPr>
            <w:tcW w:w="1860" w:type="dxa"/>
            <w:vAlign w:val="bottom"/>
          </w:tcPr>
          <w:p>
            <w:pPr>
              <w:spacing w:after="0"/>
              <w:rPr>
                <w:sz w:val="15"/>
                <w:szCs w:val="15"/>
                <w:color w:val="auto"/>
              </w:rPr>
            </w:pPr>
          </w:p>
        </w:tc>
      </w:tr>
      <w:tr>
        <w:trPr>
          <w:trHeight w:val="95"/>
        </w:trPr>
        <w:tc>
          <w:tcPr>
            <w:tcW w:w="31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540" w:type="dxa"/>
            <w:vAlign w:val="bottom"/>
          </w:tcPr>
          <w:p>
            <w:pPr>
              <w:spacing w:after="0"/>
              <w:rPr>
                <w:sz w:val="8"/>
                <w:szCs w:val="8"/>
                <w:color w:val="auto"/>
              </w:rPr>
            </w:pPr>
          </w:p>
        </w:tc>
        <w:tc>
          <w:tcPr>
            <w:tcW w:w="2400" w:type="dxa"/>
            <w:vAlign w:val="bottom"/>
            <w:tcBorders>
              <w:bottom w:val="single" w:sz="8" w:color="auto"/>
            </w:tcBorders>
          </w:tcPr>
          <w:p>
            <w:pPr>
              <w:spacing w:after="0"/>
              <w:rPr>
                <w:sz w:val="8"/>
                <w:szCs w:val="8"/>
                <w:color w:val="auto"/>
              </w:rPr>
            </w:pPr>
          </w:p>
        </w:tc>
        <w:tc>
          <w:tcPr>
            <w:tcW w:w="1860" w:type="dxa"/>
            <w:vAlign w:val="bottom"/>
          </w:tcPr>
          <w:p>
            <w:pPr>
              <w:spacing w:after="0"/>
              <w:rPr>
                <w:sz w:val="8"/>
                <w:szCs w:val="8"/>
                <w:color w:val="auto"/>
              </w:rPr>
            </w:pPr>
          </w:p>
        </w:tc>
      </w:tr>
      <w:tr>
        <w:trPr>
          <w:trHeight w:val="316"/>
        </w:trPr>
        <w:tc>
          <w:tcPr>
            <w:tcW w:w="7160" w:type="dxa"/>
            <w:vAlign w:val="bottom"/>
            <w:gridSpan w:val="3"/>
          </w:tcPr>
          <w:p>
            <w:pPr>
              <w:jc w:val="center"/>
              <w:ind w:right="380"/>
              <w:spacing w:after="0"/>
              <w:rPr>
                <w:sz w:val="20"/>
                <w:szCs w:val="20"/>
                <w:color w:val="auto"/>
              </w:rPr>
            </w:pPr>
            <w:r>
              <w:rPr>
                <w:rFonts w:ascii="Arial" w:cs="Arial" w:eastAsia="Arial" w:hAnsi="Arial"/>
                <w:sz w:val="18"/>
                <w:szCs w:val="18"/>
                <w:color w:val="auto"/>
                <w:w w:val="87"/>
              </w:rPr>
              <w:t>Common Stock, $0.01 par value</w:t>
            </w:r>
          </w:p>
        </w:tc>
        <w:tc>
          <w:tcPr>
            <w:tcW w:w="2400" w:type="dxa"/>
            <w:vAlign w:val="bottom"/>
          </w:tcPr>
          <w:p>
            <w:pPr>
              <w:jc w:val="right"/>
              <w:ind w:right="602"/>
              <w:spacing w:after="0"/>
              <w:rPr>
                <w:sz w:val="20"/>
                <w:szCs w:val="20"/>
                <w:color w:val="auto"/>
              </w:rPr>
            </w:pPr>
            <w:r>
              <w:rPr>
                <w:rFonts w:ascii="Arial" w:cs="Arial" w:eastAsia="Arial" w:hAnsi="Arial"/>
                <w:sz w:val="18"/>
                <w:szCs w:val="18"/>
                <w:color w:val="auto"/>
              </w:rPr>
              <w:t>1,184,036,644</w:t>
            </w:r>
          </w:p>
        </w:tc>
        <w:tc>
          <w:tcPr>
            <w:tcW w:w="1860" w:type="dxa"/>
            <w:vAlign w:val="bottom"/>
          </w:tcPr>
          <w:p>
            <w:pPr>
              <w:spacing w:after="0"/>
              <w:rPr>
                <w:sz w:val="24"/>
                <w:szCs w:val="24"/>
                <w:color w:val="auto"/>
              </w:rPr>
            </w:pPr>
          </w:p>
        </w:tc>
      </w:tr>
      <w:tr>
        <w:trPr>
          <w:trHeight w:val="259"/>
        </w:trPr>
        <w:tc>
          <w:tcPr>
            <w:tcW w:w="31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354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spacing w:after="0"/>
              <w:rPr>
                <w:sz w:val="22"/>
                <w:szCs w:val="22"/>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SCHLUMBERGER LIMITED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Second Quarter 2006 Form 10-Q</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2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60" w:type="dxa"/>
            <w:vAlign w:val="bottom"/>
            <w:tcBorders>
              <w:top w:val="single" w:sz="8" w:color="auto"/>
            </w:tcBorders>
          </w:tcPr>
          <w:p>
            <w:pPr>
              <w:spacing w:after="0"/>
              <w:rPr>
                <w:sz w:val="16"/>
                <w:szCs w:val="16"/>
                <w:color w:val="auto"/>
              </w:rPr>
            </w:pPr>
          </w:p>
        </w:tc>
        <w:tc>
          <w:tcPr>
            <w:tcW w:w="34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82"/>
        </w:trPr>
        <w:tc>
          <w:tcPr>
            <w:tcW w:w="1220" w:type="dxa"/>
            <w:vAlign w:val="bottom"/>
            <w:vMerge w:val="restart"/>
          </w:tcPr>
          <w:p>
            <w:pPr>
              <w:spacing w:after="0"/>
              <w:rPr>
                <w:sz w:val="20"/>
                <w:szCs w:val="20"/>
                <w:color w:val="auto"/>
              </w:rPr>
            </w:pPr>
            <w:r>
              <w:rPr>
                <w:rFonts w:ascii="Arial" w:cs="Arial" w:eastAsia="Arial" w:hAnsi="Arial"/>
                <w:sz w:val="18"/>
                <w:szCs w:val="18"/>
                <w:b w:val="1"/>
                <w:bCs w:val="1"/>
                <w:color w:val="auto"/>
              </w:rPr>
              <w:t>PART 1</w:t>
            </w:r>
          </w:p>
        </w:tc>
        <w:tc>
          <w:tcPr>
            <w:tcW w:w="9760" w:type="dxa"/>
            <w:vAlign w:val="bottom"/>
            <w:gridSpan w:val="13"/>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4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9"/>
        </w:trPr>
        <w:tc>
          <w:tcPr>
            <w:tcW w:w="1220" w:type="dxa"/>
            <w:vAlign w:val="bottom"/>
            <w:vMerge w:val="continue"/>
          </w:tcPr>
          <w:p>
            <w:pPr>
              <w:spacing w:after="0"/>
              <w:rPr>
                <w:sz w:val="24"/>
                <w:szCs w:val="24"/>
                <w:color w:val="auto"/>
              </w:rPr>
            </w:pPr>
          </w:p>
        </w:tc>
        <w:tc>
          <w:tcPr>
            <w:tcW w:w="9760" w:type="dxa"/>
            <w:vAlign w:val="bottom"/>
            <w:gridSpan w:val="13"/>
            <w:vMerge w:val="continue"/>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220" w:type="dxa"/>
            <w:vAlign w:val="bottom"/>
          </w:tcPr>
          <w:p>
            <w:pPr>
              <w:spacing w:after="0" w:line="184" w:lineRule="exact"/>
              <w:rPr>
                <w:sz w:val="20"/>
                <w:szCs w:val="20"/>
                <w:color w:val="auto"/>
              </w:rPr>
            </w:pPr>
            <w:r>
              <w:rPr>
                <w:rFonts w:ascii="Arial" w:cs="Arial" w:eastAsia="Arial" w:hAnsi="Arial"/>
                <w:sz w:val="18"/>
                <w:szCs w:val="18"/>
                <w:color w:val="auto"/>
              </w:rPr>
              <w:t>Item 1.</w:t>
            </w:r>
          </w:p>
        </w:tc>
        <w:tc>
          <w:tcPr>
            <w:tcW w:w="1480" w:type="dxa"/>
            <w:vAlign w:val="bottom"/>
            <w:tcBorders>
              <w:bottom w:val="single" w:sz="8" w:color="0000EE"/>
            </w:tcBorders>
            <w:gridSpan w:val="6"/>
          </w:tcPr>
          <w:p>
            <w:pPr>
              <w:spacing w:after="0" w:line="184"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8280" w:type="dxa"/>
            <w:vAlign w:val="bottom"/>
            <w:gridSpan w:val="7"/>
          </w:tcPr>
          <w:p>
            <w:pPr>
              <w:spacing w:after="0"/>
              <w:rPr>
                <w:sz w:val="15"/>
                <w:szCs w:val="15"/>
                <w:color w:val="auto"/>
              </w:rPr>
            </w:pPr>
          </w:p>
        </w:tc>
        <w:tc>
          <w:tcPr>
            <w:tcW w:w="440" w:type="dxa"/>
            <w:vAlign w:val="bottom"/>
          </w:tcPr>
          <w:p>
            <w:pPr>
              <w:jc w:val="right"/>
              <w:spacing w:after="0" w:line="184"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22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760" w:type="dxa"/>
            <w:vAlign w:val="bottom"/>
            <w:gridSpan w:val="13"/>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22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63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346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2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42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5560" w:type="dxa"/>
            <w:vAlign w:val="bottom"/>
            <w:gridSpan w:val="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44"/>
        </w:trPr>
        <w:tc>
          <w:tcPr>
            <w:tcW w:w="12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720" w:type="dxa"/>
            <w:vAlign w:val="bottom"/>
            <w:tcBorders>
              <w:top w:val="single" w:sz="8" w:color="0000EE"/>
            </w:tcBorders>
            <w:gridSpan w:val="7"/>
          </w:tcPr>
          <w:p>
            <w:pPr>
              <w:spacing w:after="0"/>
              <w:rPr>
                <w:sz w:val="20"/>
                <w:szCs w:val="20"/>
                <w:color w:val="auto"/>
              </w:rPr>
            </w:pPr>
            <w:r>
              <w:rPr>
                <w:rFonts w:ascii="Arial" w:cs="Arial" w:eastAsia="Arial" w:hAnsi="Arial"/>
                <w:sz w:val="18"/>
                <w:szCs w:val="18"/>
                <w:b w:val="1"/>
                <w:bCs w:val="1"/>
                <w:color w:val="auto"/>
              </w:rPr>
              <w:t>Other Information</w:t>
            </w:r>
          </w:p>
        </w:tc>
        <w:tc>
          <w:tcPr>
            <w:tcW w:w="8040" w:type="dxa"/>
            <w:vAlign w:val="bottom"/>
            <w:gridSpan w:val="6"/>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220" w:type="dxa"/>
            <w:vAlign w:val="bottom"/>
          </w:tcPr>
          <w:p>
            <w:pPr>
              <w:spacing w:after="0" w:line="184" w:lineRule="exact"/>
              <w:rPr>
                <w:sz w:val="20"/>
                <w:szCs w:val="20"/>
                <w:color w:val="auto"/>
              </w:rPr>
            </w:pPr>
            <w:r>
              <w:rPr>
                <w:rFonts w:ascii="Arial" w:cs="Arial" w:eastAsia="Arial" w:hAnsi="Arial"/>
                <w:sz w:val="18"/>
                <w:szCs w:val="18"/>
                <w:color w:val="auto"/>
              </w:rPr>
              <w:t>Item 1.</w:t>
            </w:r>
          </w:p>
        </w:tc>
        <w:tc>
          <w:tcPr>
            <w:tcW w:w="9760" w:type="dxa"/>
            <w:vAlign w:val="bottom"/>
            <w:gridSpan w:val="13"/>
          </w:tcPr>
          <w:p>
            <w:pPr>
              <w:spacing w:after="0" w:line="184" w:lineRule="exact"/>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440" w:type="dxa"/>
            <w:vAlign w:val="bottom"/>
          </w:tcPr>
          <w:p>
            <w:pPr>
              <w:jc w:val="right"/>
              <w:spacing w:after="0" w:line="184"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22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8460" w:type="dxa"/>
            <w:vAlign w:val="bottom"/>
            <w:gridSpan w:val="8"/>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760" w:type="dxa"/>
            <w:vAlign w:val="bottom"/>
            <w:gridSpan w:val="13"/>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Unregistered Sales of Equity Securities and Use of Proceeds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22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31">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3"/>
          </w:tcPr>
          <w:p>
            <w:pPr>
              <w:spacing w:after="0"/>
              <w:rPr>
                <w:sz w:val="17"/>
                <w:szCs w:val="17"/>
                <w:color w:val="auto"/>
              </w:rPr>
            </w:pPr>
          </w:p>
        </w:tc>
        <w:tc>
          <w:tcPr>
            <w:tcW w:w="5520" w:type="dxa"/>
            <w:vAlign w:val="bottom"/>
            <w:gridSpan w:val="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2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368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31">
              <w:r>
                <w:rPr>
                  <w:rFonts w:ascii="Arial" w:cs="Arial" w:eastAsia="Arial" w:hAnsi="Arial"/>
                  <w:sz w:val="18"/>
                  <w:szCs w:val="18"/>
                  <w:color w:val="0000EE"/>
                  <w:w w:val="88"/>
                </w:rPr>
                <w:t>Submission of Matters to a Vote of Security Holders</w:t>
              </w:r>
            </w:hyperlink>
          </w:p>
        </w:tc>
        <w:tc>
          <w:tcPr>
            <w:tcW w:w="6080" w:type="dxa"/>
            <w:vAlign w:val="bottom"/>
            <w:gridSpan w:val="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22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9760" w:type="dxa"/>
            <w:vAlign w:val="bottom"/>
            <w:gridSpan w:val="1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Other Information</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22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2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c>
          <w:tcPr>
            <w:tcW w:w="8480" w:type="dxa"/>
            <w:vAlign w:val="bottom"/>
            <w:gridSpan w:val="9"/>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80" w:type="dxa"/>
            <w:vAlign w:val="bottom"/>
            <w:gridSpan w:val="1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9760" w:type="dxa"/>
            <w:vAlign w:val="bottom"/>
            <w:gridSpan w:val="13"/>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Signature</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
        </w:trPr>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PART  I. FINANCIAL INFORMATION</w:t>
      </w:r>
    </w:p>
    <w:p>
      <w:pPr>
        <w:spacing w:after="0" w:line="14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71" w:lineRule="exact"/>
        <w:rPr>
          <w:sz w:val="20"/>
          <w:szCs w:val="20"/>
          <w:color w:val="auto"/>
        </w:rPr>
      </w:pPr>
    </w:p>
    <w:p>
      <w:pPr>
        <w:ind w:right="3000"/>
        <w:spacing w:after="0" w:line="339" w:lineRule="auto"/>
        <w:rPr>
          <w:sz w:val="20"/>
          <w:szCs w:val="20"/>
          <w:color w:val="auto"/>
        </w:rPr>
      </w:pPr>
      <w:r>
        <w:rPr>
          <w:rFonts w:ascii="Arial" w:cs="Arial" w:eastAsia="Arial" w:hAnsi="Arial"/>
          <w:sz w:val="14"/>
          <w:szCs w:val="14"/>
          <w:color w:val="auto"/>
        </w:rPr>
        <w:t>SCHLUMBERGER LIMITED (SCHLUMBERGER N.V., INCORPORATED IN THE NETHERLANDS ANTILLES) AND SUBSIDIARY COMPANIES CONSOLIDATED STATEMENT OF INCOME (Unaudited)</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thousands except per share amounts)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w w:val="85"/>
              </w:rPr>
              <w:t>Second Quarter</w:t>
            </w:r>
          </w:p>
        </w:tc>
        <w:tc>
          <w:tcPr>
            <w:tcW w:w="5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Six Months</w:t>
            </w:r>
          </w:p>
        </w:tc>
        <w:tc>
          <w:tcPr>
            <w:tcW w:w="6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20" w:type="dxa"/>
            <w:vAlign w:val="bottom"/>
            <w:gridSpan w:val="2"/>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0" w:type="dxa"/>
            <w:vAlign w:val="bottom"/>
          </w:tcPr>
          <w:p>
            <w:pPr>
              <w:spacing w:after="0"/>
              <w:rPr>
                <w:sz w:val="8"/>
                <w:szCs w:val="8"/>
                <w:color w:val="auto"/>
              </w:rPr>
            </w:pPr>
          </w:p>
        </w:tc>
        <w:tc>
          <w:tcPr>
            <w:tcW w:w="64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Period Ended June 30,</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2006</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2005</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2006</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2005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6640" w:type="dxa"/>
            <w:vAlign w:val="bottom"/>
            <w:gridSpan w:val="3"/>
          </w:tcPr>
          <w:p>
            <w:pPr>
              <w:spacing w:after="0"/>
              <w:rPr>
                <w:sz w:val="20"/>
                <w:szCs w:val="20"/>
                <w:color w:val="auto"/>
              </w:rPr>
            </w:pPr>
            <w:r>
              <w:rPr>
                <w:rFonts w:ascii="Arial" w:cs="Arial" w:eastAsia="Arial" w:hAnsi="Arial"/>
                <w:sz w:val="14"/>
                <w:szCs w:val="14"/>
                <w:i w:val="1"/>
                <w:iCs w:val="1"/>
                <w:color w:val="auto"/>
              </w:rPr>
              <w:t>Operating revenue</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4,686,775</w:t>
            </w:r>
          </w:p>
        </w:tc>
        <w:tc>
          <w:tcPr>
            <w:tcW w:w="340" w:type="dxa"/>
            <w:vAlign w:val="bottom"/>
          </w:tcPr>
          <w:p>
            <w:pPr>
              <w:spacing w:after="0"/>
              <w:rPr>
                <w:sz w:val="22"/>
                <w:szCs w:val="22"/>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83"/>
              </w:rPr>
              <w:t>3,428,632</w:t>
            </w:r>
          </w:p>
        </w:tc>
        <w:tc>
          <w:tcPr>
            <w:tcW w:w="360" w:type="dxa"/>
            <w:vAlign w:val="bottom"/>
          </w:tcPr>
          <w:p>
            <w:pPr>
              <w:spacing w:after="0"/>
              <w:rPr>
                <w:sz w:val="22"/>
                <w:szCs w:val="22"/>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8,925,792</w:t>
            </w:r>
          </w:p>
        </w:tc>
        <w:tc>
          <w:tcPr>
            <w:tcW w:w="340" w:type="dxa"/>
            <w:vAlign w:val="bottom"/>
          </w:tcPr>
          <w:p>
            <w:pPr>
              <w:spacing w:after="0"/>
              <w:rPr>
                <w:sz w:val="22"/>
                <w:szCs w:val="22"/>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6,587,743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Interest &amp; other income</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63,590</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46,220</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129,082</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234,773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Expenses</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Cost of goods sold &amp; services</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3,255,264</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2,549,054</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6,250,058</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4,954,186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40" w:type="dxa"/>
            <w:vAlign w:val="bottom"/>
          </w:tcPr>
          <w:p>
            <w:pPr>
              <w:ind w:left="140"/>
              <w:spacing w:after="0" w:line="149" w:lineRule="exact"/>
              <w:rPr>
                <w:sz w:val="20"/>
                <w:szCs w:val="20"/>
                <w:color w:val="auto"/>
              </w:rPr>
            </w:pPr>
            <w:r>
              <w:rPr>
                <w:rFonts w:ascii="Arial" w:cs="Arial" w:eastAsia="Arial" w:hAnsi="Arial"/>
                <w:sz w:val="14"/>
                <w:szCs w:val="14"/>
                <w:color w:val="auto"/>
              </w:rPr>
              <w:t>Research &amp; engineering</w:t>
            </w:r>
          </w:p>
        </w:tc>
        <w:tc>
          <w:tcPr>
            <w:tcW w:w="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170,890</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121,635</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300,296</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242,855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Marketing</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14,274</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12,196</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27,440</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22,258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40" w:type="dxa"/>
            <w:vAlign w:val="bottom"/>
          </w:tcPr>
          <w:p>
            <w:pPr>
              <w:ind w:left="140"/>
              <w:spacing w:after="0" w:line="149" w:lineRule="exact"/>
              <w:rPr>
                <w:sz w:val="20"/>
                <w:szCs w:val="20"/>
                <w:color w:val="auto"/>
              </w:rPr>
            </w:pPr>
            <w:r>
              <w:rPr>
                <w:rFonts w:ascii="Arial" w:cs="Arial" w:eastAsia="Arial" w:hAnsi="Arial"/>
                <w:sz w:val="14"/>
                <w:szCs w:val="14"/>
                <w:color w:val="auto"/>
              </w:rPr>
              <w:t>General &amp; administrative</w:t>
            </w:r>
          </w:p>
        </w:tc>
        <w:tc>
          <w:tcPr>
            <w:tcW w:w="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107,376</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90,895</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204,600</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176,317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Interest</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61,421</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50,437</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109,265</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96,999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20" w:type="dxa"/>
            <w:vAlign w:val="bottom"/>
            <w:tcBorders>
              <w:bottom w:val="single" w:sz="8" w:color="auto"/>
            </w:tcBorders>
            <w:gridSpan w:val="2"/>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0" w:type="dxa"/>
            <w:vAlign w:val="bottom"/>
          </w:tcPr>
          <w:p>
            <w:pPr>
              <w:spacing w:after="0"/>
              <w:rPr>
                <w:sz w:val="8"/>
                <w:szCs w:val="8"/>
                <w:color w:val="auto"/>
              </w:rPr>
            </w:pPr>
          </w:p>
        </w:tc>
        <w:tc>
          <w:tcPr>
            <w:tcW w:w="64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Income from Continuing Operations before taxes and minority interest</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1,141,140</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650,635</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2,163,215</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1,329,901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40" w:type="dxa"/>
            <w:vAlign w:val="bottom"/>
          </w:tcPr>
          <w:p>
            <w:pPr>
              <w:ind w:left="140"/>
              <w:spacing w:after="0"/>
              <w:rPr>
                <w:sz w:val="20"/>
                <w:szCs w:val="20"/>
                <w:color w:val="auto"/>
              </w:rPr>
            </w:pPr>
            <w:r>
              <w:rPr>
                <w:rFonts w:ascii="Arial" w:cs="Arial" w:eastAsia="Arial" w:hAnsi="Arial"/>
                <w:sz w:val="14"/>
                <w:szCs w:val="14"/>
                <w:color w:val="auto"/>
              </w:rPr>
              <w:t>Taxes on income</w:t>
            </w:r>
          </w:p>
        </w:tc>
        <w:tc>
          <w:tcPr>
            <w:tcW w:w="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278,419</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162,123</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535,070</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299,819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20" w:type="dxa"/>
            <w:vAlign w:val="bottom"/>
            <w:tcBorders>
              <w:bottom w:val="single" w:sz="8" w:color="auto"/>
            </w:tcBorders>
            <w:gridSpan w:val="2"/>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0" w:type="dxa"/>
            <w:vAlign w:val="bottom"/>
          </w:tcPr>
          <w:p>
            <w:pPr>
              <w:spacing w:after="0"/>
              <w:rPr>
                <w:sz w:val="8"/>
                <w:szCs w:val="8"/>
                <w:color w:val="auto"/>
              </w:rPr>
            </w:pPr>
          </w:p>
        </w:tc>
        <w:tc>
          <w:tcPr>
            <w:tcW w:w="64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Income from Continuing Operations before minority interest</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862,721</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488,512</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1,628,145</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1,030,082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40" w:type="dxa"/>
            <w:vAlign w:val="bottom"/>
          </w:tcPr>
          <w:p>
            <w:pPr>
              <w:ind w:left="140"/>
              <w:spacing w:after="0"/>
              <w:rPr>
                <w:sz w:val="20"/>
                <w:szCs w:val="20"/>
                <w:color w:val="auto"/>
              </w:rPr>
            </w:pPr>
            <w:r>
              <w:rPr>
                <w:rFonts w:ascii="Arial" w:cs="Arial" w:eastAsia="Arial" w:hAnsi="Arial"/>
                <w:sz w:val="14"/>
                <w:szCs w:val="14"/>
                <w:color w:val="auto"/>
              </w:rPr>
              <w:t>Minority interest</w:t>
            </w:r>
          </w:p>
        </w:tc>
        <w:tc>
          <w:tcPr>
            <w:tcW w:w="60" w:type="dxa"/>
            <w:vAlign w:val="bottom"/>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(5,821)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(15,311)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(48,734)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(32,444)</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20" w:type="dxa"/>
            <w:vAlign w:val="bottom"/>
            <w:tcBorders>
              <w:bottom w:val="single" w:sz="8" w:color="auto"/>
            </w:tcBorders>
            <w:gridSpan w:val="2"/>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0" w:type="dxa"/>
            <w:vAlign w:val="bottom"/>
          </w:tcPr>
          <w:p>
            <w:pPr>
              <w:spacing w:after="0"/>
              <w:rPr>
                <w:sz w:val="8"/>
                <w:szCs w:val="8"/>
                <w:color w:val="auto"/>
              </w:rPr>
            </w:pPr>
          </w:p>
        </w:tc>
        <w:tc>
          <w:tcPr>
            <w:tcW w:w="64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Income from Continuing Operations</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856,900</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473,201</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1,579,411</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997,638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20" w:type="dxa"/>
            <w:vAlign w:val="bottom"/>
            <w:gridSpan w:val="2"/>
          </w:tcPr>
          <w:p>
            <w:pPr>
              <w:spacing w:after="0"/>
              <w:rPr>
                <w:sz w:val="20"/>
                <w:szCs w:val="20"/>
                <w:color w:val="auto"/>
              </w:rPr>
            </w:pPr>
            <w:r>
              <w:rPr>
                <w:rFonts w:ascii="Arial" w:cs="Arial" w:eastAsia="Arial" w:hAnsi="Arial"/>
                <w:sz w:val="14"/>
                <w:szCs w:val="14"/>
                <w:i w:val="1"/>
                <w:iCs w:val="1"/>
                <w:color w:val="auto"/>
              </w:rPr>
              <w:t>Income from Discontinued Operations</w:t>
            </w:r>
          </w:p>
        </w:tc>
        <w:tc>
          <w:tcPr>
            <w:tcW w:w="60" w:type="dxa"/>
            <w:vAlign w:val="bottom"/>
          </w:tcPr>
          <w:p>
            <w:pPr>
              <w:spacing w:after="0"/>
              <w:rPr>
                <w:sz w:val="15"/>
                <w:szCs w:val="15"/>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9,000</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7,972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20" w:type="dxa"/>
            <w:vAlign w:val="bottom"/>
            <w:tcBorders>
              <w:bottom w:val="single" w:sz="8" w:color="auto"/>
            </w:tcBorders>
            <w:gridSpan w:val="2"/>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0" w:type="dxa"/>
            <w:vAlign w:val="bottom"/>
          </w:tcPr>
          <w:p>
            <w:pPr>
              <w:spacing w:after="0"/>
              <w:rPr>
                <w:sz w:val="8"/>
                <w:szCs w:val="8"/>
                <w:color w:val="auto"/>
              </w:rPr>
            </w:pPr>
          </w:p>
        </w:tc>
        <w:tc>
          <w:tcPr>
            <w:tcW w:w="64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Net Income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856,900</w:t>
            </w:r>
          </w:p>
        </w:tc>
        <w:tc>
          <w:tcPr>
            <w:tcW w:w="3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482,201</w:t>
            </w:r>
          </w:p>
        </w:tc>
        <w:tc>
          <w:tcPr>
            <w:tcW w:w="3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b w:val="1"/>
                <w:bCs w:val="1"/>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1,579,411</w:t>
            </w:r>
          </w:p>
        </w:tc>
        <w:tc>
          <w:tcPr>
            <w:tcW w:w="3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1,005,610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2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0" w:type="dxa"/>
            <w:vAlign w:val="bottom"/>
          </w:tcPr>
          <w:p>
            <w:pPr>
              <w:spacing w:after="0"/>
              <w:rPr>
                <w:sz w:val="9"/>
                <w:szCs w:val="9"/>
                <w:color w:val="auto"/>
              </w:rPr>
            </w:pPr>
          </w:p>
        </w:tc>
        <w:tc>
          <w:tcPr>
            <w:tcW w:w="64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Basic earnings per share:</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40" w:type="dxa"/>
            <w:vAlign w:val="bottom"/>
          </w:tcPr>
          <w:p>
            <w:pPr>
              <w:ind w:left="140"/>
              <w:spacing w:after="0" w:line="149" w:lineRule="exact"/>
              <w:rPr>
                <w:sz w:val="20"/>
                <w:szCs w:val="20"/>
                <w:color w:val="auto"/>
              </w:rPr>
            </w:pPr>
            <w:r>
              <w:rPr>
                <w:rFonts w:ascii="Arial" w:cs="Arial" w:eastAsia="Arial" w:hAnsi="Arial"/>
                <w:sz w:val="14"/>
                <w:szCs w:val="14"/>
                <w:color w:val="auto"/>
              </w:rPr>
              <w:t>Income from Continuing Operations</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0.72</w:t>
            </w:r>
          </w:p>
        </w:tc>
        <w:tc>
          <w:tcPr>
            <w:tcW w:w="340" w:type="dxa"/>
            <w:vAlign w:val="bottom"/>
          </w:tcPr>
          <w:p>
            <w:pPr>
              <w:spacing w:after="0"/>
              <w:rPr>
                <w:sz w:val="12"/>
                <w:szCs w:val="12"/>
                <w:color w:val="auto"/>
              </w:rPr>
            </w:pPr>
          </w:p>
        </w:tc>
        <w:tc>
          <w:tcPr>
            <w:tcW w:w="3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0.40</w:t>
            </w:r>
          </w:p>
        </w:tc>
        <w:tc>
          <w:tcPr>
            <w:tcW w:w="360" w:type="dxa"/>
            <w:vAlign w:val="bottom"/>
          </w:tcPr>
          <w:p>
            <w:pPr>
              <w:spacing w:after="0"/>
              <w:rPr>
                <w:sz w:val="12"/>
                <w:szCs w:val="12"/>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71"/>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1.34</w:t>
            </w:r>
          </w:p>
        </w:tc>
        <w:tc>
          <w:tcPr>
            <w:tcW w:w="340" w:type="dxa"/>
            <w:vAlign w:val="bottom"/>
          </w:tcPr>
          <w:p>
            <w:pPr>
              <w:spacing w:after="0"/>
              <w:rPr>
                <w:sz w:val="12"/>
                <w:szCs w:val="12"/>
                <w:color w:val="auto"/>
              </w:rPr>
            </w:pPr>
          </w:p>
        </w:tc>
        <w:tc>
          <w:tcPr>
            <w:tcW w:w="3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0.85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Income from Discontinued Operations</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0.01</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Net Income *</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0.72</w:t>
            </w:r>
          </w:p>
        </w:tc>
        <w:tc>
          <w:tcPr>
            <w:tcW w:w="3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0.41</w:t>
            </w:r>
          </w:p>
        </w:tc>
        <w:tc>
          <w:tcPr>
            <w:tcW w:w="3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b w:val="1"/>
                <w:bCs w:val="1"/>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1.34</w:t>
            </w:r>
          </w:p>
        </w:tc>
        <w:tc>
          <w:tcPr>
            <w:tcW w:w="3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20" w:type="dxa"/>
            <w:vAlign w:val="bottom"/>
            <w:gridSpan w:val="2"/>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0" w:type="dxa"/>
            <w:vAlign w:val="bottom"/>
          </w:tcPr>
          <w:p>
            <w:pPr>
              <w:spacing w:after="0"/>
              <w:rPr>
                <w:sz w:val="9"/>
                <w:szCs w:val="9"/>
                <w:color w:val="auto"/>
              </w:rPr>
            </w:pPr>
          </w:p>
        </w:tc>
        <w:tc>
          <w:tcPr>
            <w:tcW w:w="64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Diluted earnings per share:</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40" w:type="dxa"/>
            <w:vAlign w:val="bottom"/>
          </w:tcPr>
          <w:p>
            <w:pPr>
              <w:ind w:left="140"/>
              <w:spacing w:after="0" w:line="149" w:lineRule="exact"/>
              <w:rPr>
                <w:sz w:val="20"/>
                <w:szCs w:val="20"/>
                <w:color w:val="auto"/>
              </w:rPr>
            </w:pPr>
            <w:r>
              <w:rPr>
                <w:rFonts w:ascii="Arial" w:cs="Arial" w:eastAsia="Arial" w:hAnsi="Arial"/>
                <w:sz w:val="14"/>
                <w:szCs w:val="14"/>
                <w:color w:val="auto"/>
              </w:rPr>
              <w:t>Income from Continuing Operations</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0.69</w:t>
            </w:r>
          </w:p>
        </w:tc>
        <w:tc>
          <w:tcPr>
            <w:tcW w:w="340" w:type="dxa"/>
            <w:vAlign w:val="bottom"/>
          </w:tcPr>
          <w:p>
            <w:pPr>
              <w:spacing w:after="0"/>
              <w:rPr>
                <w:sz w:val="12"/>
                <w:szCs w:val="12"/>
                <w:color w:val="auto"/>
              </w:rPr>
            </w:pPr>
          </w:p>
        </w:tc>
        <w:tc>
          <w:tcPr>
            <w:tcW w:w="3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0.39</w:t>
            </w:r>
          </w:p>
        </w:tc>
        <w:tc>
          <w:tcPr>
            <w:tcW w:w="360" w:type="dxa"/>
            <w:vAlign w:val="bottom"/>
          </w:tcPr>
          <w:p>
            <w:pPr>
              <w:spacing w:after="0"/>
              <w:rPr>
                <w:sz w:val="12"/>
                <w:szCs w:val="12"/>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71"/>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1.28</w:t>
            </w:r>
          </w:p>
        </w:tc>
        <w:tc>
          <w:tcPr>
            <w:tcW w:w="340" w:type="dxa"/>
            <w:vAlign w:val="bottom"/>
          </w:tcPr>
          <w:p>
            <w:pPr>
              <w:spacing w:after="0"/>
              <w:rPr>
                <w:sz w:val="12"/>
                <w:szCs w:val="12"/>
                <w:color w:val="auto"/>
              </w:rPr>
            </w:pPr>
          </w:p>
        </w:tc>
        <w:tc>
          <w:tcPr>
            <w:tcW w:w="3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0.82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Income from Discontinued Operations</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0.01</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Net Income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0.69</w:t>
            </w:r>
          </w:p>
        </w:tc>
        <w:tc>
          <w:tcPr>
            <w:tcW w:w="3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0.40</w:t>
            </w:r>
          </w:p>
        </w:tc>
        <w:tc>
          <w:tcPr>
            <w:tcW w:w="3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b w:val="1"/>
                <w:bCs w:val="1"/>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1.28</w:t>
            </w:r>
          </w:p>
        </w:tc>
        <w:tc>
          <w:tcPr>
            <w:tcW w:w="3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20" w:type="dxa"/>
            <w:vAlign w:val="bottom"/>
            <w:gridSpan w:val="2"/>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0" w:type="dxa"/>
            <w:vAlign w:val="bottom"/>
          </w:tcPr>
          <w:p>
            <w:pPr>
              <w:spacing w:after="0"/>
              <w:rPr>
                <w:sz w:val="9"/>
                <w:szCs w:val="9"/>
                <w:color w:val="auto"/>
              </w:rPr>
            </w:pPr>
          </w:p>
        </w:tc>
        <w:tc>
          <w:tcPr>
            <w:tcW w:w="64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Average shares outstanding:</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40" w:type="dxa"/>
            <w:vAlign w:val="bottom"/>
          </w:tcPr>
          <w:p>
            <w:pPr>
              <w:ind w:left="140"/>
              <w:spacing w:after="0" w:line="149" w:lineRule="exact"/>
              <w:rPr>
                <w:sz w:val="20"/>
                <w:szCs w:val="20"/>
                <w:color w:val="auto"/>
              </w:rPr>
            </w:pPr>
            <w:r>
              <w:rPr>
                <w:rFonts w:ascii="Arial" w:cs="Arial" w:eastAsia="Arial" w:hAnsi="Arial"/>
                <w:sz w:val="14"/>
                <w:szCs w:val="14"/>
                <w:color w:val="auto"/>
              </w:rPr>
              <w:t>Basic</w:t>
            </w:r>
          </w:p>
        </w:tc>
        <w:tc>
          <w:tcPr>
            <w:tcW w:w="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1,184,357</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1,177,482</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1,182,351</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1,178,074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Assuming dilution</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1,246,077</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1,225,964</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1,243,386</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1,226,748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00" w:type="dxa"/>
            <w:vAlign w:val="bottom"/>
            <w:gridSpan w:val="2"/>
          </w:tcPr>
          <w:p>
            <w:pPr>
              <w:spacing w:after="0"/>
              <w:rPr>
                <w:sz w:val="20"/>
                <w:szCs w:val="20"/>
                <w:color w:val="auto"/>
              </w:rPr>
            </w:pPr>
            <w:r>
              <w:rPr>
                <w:rFonts w:ascii="Arial" w:cs="Arial" w:eastAsia="Arial" w:hAnsi="Arial"/>
                <w:sz w:val="14"/>
                <w:szCs w:val="14"/>
                <w:color w:val="auto"/>
              </w:rPr>
              <w:t>*</w:t>
            </w:r>
          </w:p>
        </w:tc>
        <w:tc>
          <w:tcPr>
            <w:tcW w:w="6440" w:type="dxa"/>
            <w:vAlign w:val="bottom"/>
          </w:tcPr>
          <w:p>
            <w:pPr>
              <w:ind w:left="140"/>
              <w:spacing w:after="0"/>
              <w:rPr>
                <w:sz w:val="20"/>
                <w:szCs w:val="20"/>
                <w:color w:val="auto"/>
              </w:rPr>
            </w:pPr>
            <w:r>
              <w:rPr>
                <w:rFonts w:ascii="Arial" w:cs="Arial" w:eastAsia="Arial" w:hAnsi="Arial"/>
                <w:sz w:val="14"/>
                <w:szCs w:val="14"/>
                <w:color w:val="auto"/>
              </w:rPr>
              <w:t>Amounts may not add due to rounding</w:t>
            </w: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4256405</wp:posOffset>
            </wp:positionH>
            <wp:positionV relativeFrom="paragraph">
              <wp:posOffset>-1896110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-1896110</wp:posOffset>
            </wp:positionV>
            <wp:extent cx="3873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-1896110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-1896110</wp:posOffset>
            </wp:positionV>
            <wp:extent cx="3873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-1896110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-1896110</wp:posOffset>
            </wp:positionV>
            <wp:extent cx="3873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-1896110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-1896110</wp:posOffset>
            </wp:positionV>
            <wp:extent cx="3873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-1210310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-1210310</wp:posOffset>
            </wp:positionV>
            <wp:extent cx="2159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-1210310</wp:posOffset>
            </wp:positionV>
            <wp:extent cx="3873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-1210310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-1210310</wp:posOffset>
            </wp:positionV>
            <wp:extent cx="2159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-1210310</wp:posOffset>
            </wp:positionV>
            <wp:extent cx="3873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-1210310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-1210310</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-1210310</wp:posOffset>
            </wp:positionV>
            <wp:extent cx="3873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-1210310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-1210310</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-1210310</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-524510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-524510</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-524510</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-524510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-524510</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-524510</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-524510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-524510</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-524510</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-524510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-524510</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-524510</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Notes to Consolidated Financial Statements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SCHLUMBERGER LIMITED (SCHLUMBERGER N.V., INCORPORATED IN THE NETHERLANDS ANTILLES) AND SUBSIDIARY COMPANIES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CONSOLIDATED BALANCE SHEET</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thousands)</w:t>
      </w: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916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June 30, 2006</w:t>
            </w:r>
          </w:p>
        </w:tc>
        <w:tc>
          <w:tcPr>
            <w:tcW w:w="8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90"/>
              </w:rPr>
              <w:t>Dec. 31, 2005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2"/>
              </w:rPr>
              <w:t>(Unaudited)</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9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ASSETS</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tcPr>
          <w:p>
            <w:pPr>
              <w:spacing w:after="0" w:line="149" w:lineRule="exact"/>
              <w:rPr>
                <w:sz w:val="20"/>
                <w:szCs w:val="20"/>
                <w:color w:val="auto"/>
              </w:rPr>
            </w:pPr>
            <w:r>
              <w:rPr>
                <w:rFonts w:ascii="Arial" w:cs="Arial" w:eastAsia="Arial" w:hAnsi="Arial"/>
                <w:sz w:val="14"/>
                <w:szCs w:val="14"/>
                <w:i w:val="1"/>
                <w:iCs w:val="1"/>
                <w:color w:val="auto"/>
              </w:rPr>
              <w:t>Current Assets:</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Cash</w:t>
            </w:r>
          </w:p>
        </w:tc>
        <w:tc>
          <w:tcPr>
            <w:tcW w:w="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173,012</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190,954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tcPr>
          <w:p>
            <w:pPr>
              <w:ind w:left="320"/>
              <w:spacing w:after="0" w:line="149" w:lineRule="exact"/>
              <w:rPr>
                <w:sz w:val="20"/>
                <w:szCs w:val="20"/>
                <w:color w:val="auto"/>
              </w:rPr>
            </w:pPr>
            <w:r>
              <w:rPr>
                <w:rFonts w:ascii="Arial" w:cs="Arial" w:eastAsia="Arial" w:hAnsi="Arial"/>
                <w:sz w:val="14"/>
                <w:szCs w:val="14"/>
                <w:color w:val="auto"/>
              </w:rPr>
              <w:t>Short-term investments</w:t>
            </w: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1,935,271</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3,304,727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16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Receivables less allowance for doubtful accounts</w:t>
            </w: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1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(2006 – $101,238; 2005 – $102,879)</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3,944,713</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3,383,803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tcPr>
          <w:p>
            <w:pPr>
              <w:ind w:left="320"/>
              <w:spacing w:after="0" w:line="149" w:lineRule="exact"/>
              <w:rPr>
                <w:sz w:val="20"/>
                <w:szCs w:val="20"/>
                <w:color w:val="auto"/>
              </w:rPr>
            </w:pPr>
            <w:r>
              <w:rPr>
                <w:rFonts w:ascii="Arial" w:cs="Arial" w:eastAsia="Arial" w:hAnsi="Arial"/>
                <w:sz w:val="14"/>
                <w:szCs w:val="14"/>
                <w:color w:val="auto"/>
              </w:rPr>
              <w:t>Inventories</w:t>
            </w: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1,158,342</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1,010,448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Deferred taxes</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175,800</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233,167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160" w:type="dxa"/>
            <w:vAlign w:val="bottom"/>
          </w:tcPr>
          <w:p>
            <w:pPr>
              <w:ind w:left="320"/>
              <w:spacing w:after="0"/>
              <w:rPr>
                <w:sz w:val="20"/>
                <w:szCs w:val="20"/>
                <w:color w:val="auto"/>
              </w:rPr>
            </w:pPr>
            <w:r>
              <w:rPr>
                <w:rFonts w:ascii="Arial" w:cs="Arial" w:eastAsia="Arial" w:hAnsi="Arial"/>
                <w:sz w:val="14"/>
                <w:szCs w:val="14"/>
                <w:color w:val="auto"/>
              </w:rPr>
              <w:t>Other current assets</w:t>
            </w: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479,746</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430,814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1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7,866,884</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8,553,913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tcPr>
          <w:p>
            <w:pPr>
              <w:spacing w:after="0" w:line="149" w:lineRule="exact"/>
              <w:rPr>
                <w:sz w:val="20"/>
                <w:szCs w:val="20"/>
                <w:color w:val="auto"/>
              </w:rPr>
            </w:pPr>
            <w:r>
              <w:rPr>
                <w:rFonts w:ascii="Arial" w:cs="Arial" w:eastAsia="Arial" w:hAnsi="Arial"/>
                <w:sz w:val="14"/>
                <w:szCs w:val="14"/>
                <w:i w:val="1"/>
                <w:iCs w:val="1"/>
                <w:color w:val="auto"/>
              </w:rPr>
              <w:t>Fixed Income Investments, held to maturity</w:t>
            </w: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73,500</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359,750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Investments in Affiliated Companies</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1,100,297</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988,781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tcPr>
          <w:p>
            <w:pPr>
              <w:spacing w:after="0" w:line="149" w:lineRule="exact"/>
              <w:rPr>
                <w:sz w:val="20"/>
                <w:szCs w:val="20"/>
                <w:color w:val="auto"/>
              </w:rPr>
            </w:pPr>
            <w:r>
              <w:rPr>
                <w:rFonts w:ascii="Arial" w:cs="Arial" w:eastAsia="Arial" w:hAnsi="Arial"/>
                <w:sz w:val="14"/>
                <w:szCs w:val="14"/>
                <w:i w:val="1"/>
                <w:iCs w:val="1"/>
                <w:color w:val="auto"/>
              </w:rPr>
              <w:t>Fixed Assets</w:t>
            </w: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4,767,445</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4,200,638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Multiclient Seismic Data</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243,129</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222,106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tcPr>
          <w:p>
            <w:pPr>
              <w:spacing w:after="0" w:line="149" w:lineRule="exact"/>
              <w:rPr>
                <w:sz w:val="20"/>
                <w:szCs w:val="20"/>
                <w:color w:val="auto"/>
              </w:rPr>
            </w:pPr>
            <w:r>
              <w:rPr>
                <w:rFonts w:ascii="Arial" w:cs="Arial" w:eastAsia="Arial" w:hAnsi="Arial"/>
                <w:sz w:val="14"/>
                <w:szCs w:val="14"/>
                <w:i w:val="1"/>
                <w:iCs w:val="1"/>
                <w:color w:val="auto"/>
              </w:rPr>
              <w:t>Goodwill</w:t>
            </w: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4,736,182</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2,922,465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Intangible Assets</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883,223</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319,929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tcPr>
          <w:p>
            <w:pPr>
              <w:spacing w:after="0" w:line="149" w:lineRule="exact"/>
              <w:rPr>
                <w:sz w:val="20"/>
                <w:szCs w:val="20"/>
                <w:color w:val="auto"/>
              </w:rPr>
            </w:pPr>
            <w:r>
              <w:rPr>
                <w:rFonts w:ascii="Arial" w:cs="Arial" w:eastAsia="Arial" w:hAnsi="Arial"/>
                <w:sz w:val="14"/>
                <w:szCs w:val="14"/>
                <w:i w:val="1"/>
                <w:iCs w:val="1"/>
                <w:color w:val="auto"/>
              </w:rPr>
              <w:t>Deferred Taxes</w:t>
            </w: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346,842</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331,037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Other Assets</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206,865</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178,873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20,224,367</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18,077,492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1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LIABILITIES &amp; STOCKHOLDERS’ EQUITY</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tcPr>
          <w:p>
            <w:pPr>
              <w:spacing w:after="0" w:line="149" w:lineRule="exact"/>
              <w:rPr>
                <w:sz w:val="20"/>
                <w:szCs w:val="20"/>
                <w:color w:val="auto"/>
              </w:rPr>
            </w:pPr>
            <w:r>
              <w:rPr>
                <w:rFonts w:ascii="Arial" w:cs="Arial" w:eastAsia="Arial" w:hAnsi="Arial"/>
                <w:sz w:val="14"/>
                <w:szCs w:val="14"/>
                <w:i w:val="1"/>
                <w:iCs w:val="1"/>
                <w:color w:val="auto"/>
              </w:rPr>
              <w:t>Current Liabilities:</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Accounts payable and accrued liabilities</w:t>
            </w:r>
          </w:p>
        </w:tc>
        <w:tc>
          <w:tcPr>
            <w:tcW w:w="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3,555,789</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3,564,854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tcPr>
          <w:p>
            <w:pPr>
              <w:ind w:left="320"/>
              <w:spacing w:after="0" w:line="149" w:lineRule="exact"/>
              <w:rPr>
                <w:sz w:val="20"/>
                <w:szCs w:val="20"/>
                <w:color w:val="auto"/>
              </w:rPr>
            </w:pPr>
            <w:r>
              <w:rPr>
                <w:rFonts w:ascii="Arial" w:cs="Arial" w:eastAsia="Arial" w:hAnsi="Arial"/>
                <w:sz w:val="14"/>
                <w:szCs w:val="14"/>
                <w:color w:val="auto"/>
              </w:rPr>
              <w:t>Estimated liability for taxes on income</w:t>
            </w: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1,180,949</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1,028,571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Dividend payable</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149,226</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124,733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tcPr>
          <w:p>
            <w:pPr>
              <w:ind w:left="320"/>
              <w:spacing w:after="0" w:line="149" w:lineRule="exact"/>
              <w:rPr>
                <w:sz w:val="20"/>
                <w:szCs w:val="20"/>
                <w:color w:val="auto"/>
              </w:rPr>
            </w:pPr>
            <w:r>
              <w:rPr>
                <w:rFonts w:ascii="Arial" w:cs="Arial" w:eastAsia="Arial" w:hAnsi="Arial"/>
                <w:sz w:val="14"/>
                <w:szCs w:val="14"/>
                <w:color w:val="auto"/>
              </w:rPr>
              <w:t>Long-term debt – current portion</w:t>
            </w: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411,365</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269,158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Bank &amp; short-term loans</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801,633</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527,420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6,098,962</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5,514,736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tcPr>
          <w:p>
            <w:pPr>
              <w:spacing w:after="0" w:line="149" w:lineRule="exact"/>
              <w:rPr>
                <w:sz w:val="20"/>
                <w:szCs w:val="20"/>
                <w:color w:val="auto"/>
              </w:rPr>
            </w:pPr>
            <w:r>
              <w:rPr>
                <w:rFonts w:ascii="Arial" w:cs="Arial" w:eastAsia="Arial" w:hAnsi="Arial"/>
                <w:sz w:val="14"/>
                <w:szCs w:val="14"/>
                <w:i w:val="1"/>
                <w:iCs w:val="1"/>
                <w:color w:val="auto"/>
              </w:rPr>
              <w:t>Long-term Debt</w:t>
            </w: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4,137,124</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3,591,338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Postretirement Benefits</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725,575</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707,040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160" w:type="dxa"/>
            <w:vAlign w:val="bottom"/>
          </w:tcPr>
          <w:p>
            <w:pPr>
              <w:spacing w:after="0"/>
              <w:rPr>
                <w:sz w:val="20"/>
                <w:szCs w:val="20"/>
                <w:color w:val="auto"/>
              </w:rPr>
            </w:pPr>
            <w:r>
              <w:rPr>
                <w:rFonts w:ascii="Arial" w:cs="Arial" w:eastAsia="Arial" w:hAnsi="Arial"/>
                <w:sz w:val="14"/>
                <w:szCs w:val="14"/>
                <w:i w:val="1"/>
                <w:iCs w:val="1"/>
                <w:color w:val="auto"/>
              </w:rPr>
              <w:t>Other Liabilities</w:t>
            </w: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168,604</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167,611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1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11,130,265</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9,980,725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16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Minority Interest</w:t>
            </w:r>
          </w:p>
        </w:tc>
        <w:tc>
          <w:tcPr>
            <w:tcW w:w="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505,182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16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Stockholders’ Equity:</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tcPr>
          <w:p>
            <w:pPr>
              <w:ind w:left="320"/>
              <w:spacing w:after="0" w:line="149" w:lineRule="exact"/>
              <w:rPr>
                <w:sz w:val="20"/>
                <w:szCs w:val="20"/>
                <w:color w:val="auto"/>
              </w:rPr>
            </w:pPr>
            <w:r>
              <w:rPr>
                <w:rFonts w:ascii="Arial" w:cs="Arial" w:eastAsia="Arial" w:hAnsi="Arial"/>
                <w:sz w:val="14"/>
                <w:szCs w:val="14"/>
                <w:color w:val="auto"/>
              </w:rPr>
              <w:t>Common stock</w:t>
            </w: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3,222,940</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2,750,570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Income retained for use in the business</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9,283,322</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7,999,770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tcPr>
          <w:p>
            <w:pPr>
              <w:ind w:left="320"/>
              <w:spacing w:after="0" w:line="149" w:lineRule="exact"/>
              <w:rPr>
                <w:sz w:val="20"/>
                <w:szCs w:val="20"/>
                <w:color w:val="auto"/>
              </w:rPr>
            </w:pPr>
            <w:r>
              <w:rPr>
                <w:rFonts w:ascii="Arial" w:cs="Arial" w:eastAsia="Arial" w:hAnsi="Arial"/>
                <w:sz w:val="14"/>
                <w:szCs w:val="14"/>
                <w:color w:val="auto"/>
              </w:rPr>
              <w:t>Treasury stock at cost</w:t>
            </w:r>
          </w:p>
        </w:tc>
        <w:tc>
          <w:tcPr>
            <w:tcW w:w="60" w:type="dxa"/>
            <w:vAlign w:val="bottom"/>
          </w:tcPr>
          <w:p>
            <w:pPr>
              <w:spacing w:after="0"/>
              <w:rPr>
                <w:sz w:val="12"/>
                <w:szCs w:val="12"/>
                <w:color w:val="auto"/>
              </w:rPr>
            </w:pPr>
          </w:p>
        </w:tc>
        <w:tc>
          <w:tcPr>
            <w:tcW w:w="13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(2,375,251)</w:t>
            </w:r>
          </w:p>
        </w:tc>
        <w:tc>
          <w:tcPr>
            <w:tcW w:w="1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4"/>
              </w:rPr>
              <w:t>(2,113,276)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Accumulated other comprehensive loss</w:t>
            </w:r>
          </w:p>
        </w:tc>
        <w:tc>
          <w:tcPr>
            <w:tcW w:w="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b w:val="1"/>
                <w:bCs w:val="1"/>
                <w:color w:val="auto"/>
              </w:rPr>
              <w:t>(1,036,909)</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(1,045,479)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9,094,102</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7,591,585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20,224,367</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18,077,492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5826125</wp:posOffset>
            </wp:positionH>
            <wp:positionV relativeFrom="paragraph">
              <wp:posOffset>-2953385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-2953385</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-2953385</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-2953385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-2953385</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-2953385</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w:t>
      </w:r>
    </w:p>
    <w:p>
      <w:pPr>
        <w:spacing w:after="0" w:line="204" w:lineRule="exact"/>
        <w:rPr>
          <w:sz w:val="20"/>
          <w:szCs w:val="20"/>
          <w:color w:val="auto"/>
        </w:rPr>
      </w:pPr>
    </w:p>
    <w:p>
      <w:pPr>
        <w:ind w:right="3000"/>
        <w:spacing w:after="0" w:line="339" w:lineRule="auto"/>
        <w:rPr>
          <w:sz w:val="20"/>
          <w:szCs w:val="20"/>
          <w:color w:val="auto"/>
        </w:rPr>
      </w:pPr>
      <w:r>
        <w:rPr>
          <w:rFonts w:ascii="Arial" w:cs="Arial" w:eastAsia="Arial" w:hAnsi="Arial"/>
          <w:sz w:val="14"/>
          <w:szCs w:val="14"/>
          <w:color w:val="auto"/>
        </w:rPr>
        <w:t>SCHLUMBERGER LIMITED (SCHLUMBERGER N.V., INCORPORATED IN THE NETHERLANDS ANTILLES) AND SUBSIDIARY COMPANIES CONSOLIDATED STATEMENT OF CASH FLOWS (Unaudited)</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thousands)</w:t>
      </w:r>
    </w:p>
    <w:tbl>
      <w:tblPr>
        <w:tblLayout w:type="fixed"/>
        <w:tblInd w:w="0" w:type="dxa"/>
        <w:tblCellMar>
          <w:top w:w="0" w:type="dxa"/>
          <w:left w:w="0" w:type="dxa"/>
          <w:bottom w:w="0" w:type="dxa"/>
          <w:right w:w="0" w:type="dxa"/>
        </w:tblCellMar>
      </w:tblPr>
      <w:tr>
        <w:trPr>
          <w:trHeight w:val="142"/>
        </w:trPr>
        <w:tc>
          <w:tcPr>
            <w:tcW w:w="94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Six Months Ended June 30,</w:t>
            </w: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4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tcPr>
          <w:p>
            <w:pPr>
              <w:ind w:left="320"/>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1,579,411</w:t>
            </w:r>
          </w:p>
        </w:tc>
        <w:tc>
          <w:tcPr>
            <w:tcW w:w="480" w:type="dxa"/>
            <w:vAlign w:val="bottom"/>
          </w:tcPr>
          <w:p>
            <w:pPr>
              <w:spacing w:after="0"/>
              <w:rPr>
                <w:sz w:val="12"/>
                <w:szCs w:val="12"/>
                <w:color w:val="auto"/>
              </w:rPr>
            </w:pPr>
          </w:p>
        </w:tc>
        <w:tc>
          <w:tcPr>
            <w:tcW w:w="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1,005,610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Adjustments to reconcile net income to cash provided by operating activities: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460" w:type="dxa"/>
            <w:vAlign w:val="bottom"/>
          </w:tcPr>
          <w:p>
            <w:pPr>
              <w:ind w:left="640"/>
              <w:spacing w:after="0" w:line="176" w:lineRule="exact"/>
              <w:rPr>
                <w:sz w:val="20"/>
                <w:szCs w:val="20"/>
                <w:color w:val="auto"/>
              </w:rPr>
            </w:pPr>
            <w:r>
              <w:rPr>
                <w:rFonts w:ascii="Arial" w:cs="Arial" w:eastAsia="Arial" w:hAnsi="Arial"/>
                <w:sz w:val="13"/>
                <w:szCs w:val="13"/>
                <w:color w:val="auto"/>
              </w:rPr>
              <w:t xml:space="preserve">Depreciation and amortization </w:t>
            </w:r>
            <w:r>
              <w:rPr>
                <w:rFonts w:ascii="Arial" w:cs="Arial" w:eastAsia="Arial" w:hAnsi="Arial"/>
                <w:sz w:val="20"/>
                <w:szCs w:val="20"/>
                <w:color w:val="auto"/>
                <w:vertAlign w:val="superscript"/>
              </w:rPr>
              <w:t>(1)</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729,645</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654,981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460" w:type="dxa"/>
            <w:vAlign w:val="bottom"/>
            <w:shd w:val="clear" w:color="auto" w:fill="CCEEFF"/>
          </w:tcPr>
          <w:p>
            <w:pPr>
              <w:ind w:left="640"/>
              <w:spacing w:after="0" w:line="176" w:lineRule="exact"/>
              <w:rPr>
                <w:sz w:val="20"/>
                <w:szCs w:val="20"/>
                <w:color w:val="auto"/>
              </w:rPr>
            </w:pPr>
            <w:r>
              <w:rPr>
                <w:rFonts w:ascii="Arial" w:cs="Arial" w:eastAsia="Arial" w:hAnsi="Arial"/>
                <w:sz w:val="13"/>
                <w:szCs w:val="13"/>
                <w:color w:val="auto"/>
              </w:rPr>
              <w:t xml:space="preserve">Charges and credits, net of tax &amp; minority interest </w:t>
            </w:r>
            <w:r>
              <w:rPr>
                <w:rFonts w:ascii="Arial" w:cs="Arial" w:eastAsia="Arial" w:hAnsi="Arial"/>
                <w:sz w:val="20"/>
                <w:szCs w:val="20"/>
                <w:color w:val="auto"/>
                <w:vertAlign w:val="superscript"/>
              </w:rPr>
              <w:t>(2)</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42,822</w:t>
            </w: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(134,381)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tcPr>
          <w:p>
            <w:pPr>
              <w:ind w:left="640"/>
              <w:spacing w:after="0" w:line="149" w:lineRule="exact"/>
              <w:rPr>
                <w:sz w:val="20"/>
                <w:szCs w:val="20"/>
                <w:color w:val="auto"/>
              </w:rPr>
            </w:pPr>
            <w:r>
              <w:rPr>
                <w:rFonts w:ascii="Arial" w:cs="Arial" w:eastAsia="Arial" w:hAnsi="Arial"/>
                <w:sz w:val="14"/>
                <w:szCs w:val="14"/>
                <w:color w:val="auto"/>
              </w:rPr>
              <w:t>Income from discontinued operations</w:t>
            </w:r>
          </w:p>
        </w:tc>
        <w:tc>
          <w:tcPr>
            <w:tcW w:w="80" w:type="dxa"/>
            <w:vAlign w:val="bottom"/>
          </w:tcPr>
          <w:p>
            <w:pPr>
              <w:spacing w:after="0"/>
              <w:rPr>
                <w:sz w:val="12"/>
                <w:szCs w:val="12"/>
                <w:color w:val="auto"/>
              </w:rPr>
            </w:pPr>
          </w:p>
        </w:tc>
        <w:tc>
          <w:tcPr>
            <w:tcW w:w="11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(7,972)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Earnings of companies carried at equity, less dividends received</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(73,903)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(46,250)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tcPr>
          <w:p>
            <w:pPr>
              <w:ind w:left="640"/>
              <w:spacing w:after="0" w:line="149" w:lineRule="exact"/>
              <w:rPr>
                <w:sz w:val="20"/>
                <w:szCs w:val="20"/>
                <w:color w:val="auto"/>
              </w:rPr>
            </w:pPr>
            <w:r>
              <w:rPr>
                <w:rFonts w:ascii="Arial" w:cs="Arial" w:eastAsia="Arial" w:hAnsi="Arial"/>
                <w:sz w:val="14"/>
                <w:szCs w:val="14"/>
                <w:color w:val="auto"/>
              </w:rPr>
              <w:t>Deferred income taxes</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36,106</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(34,623)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Stock based compensation expense</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53,519</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18,816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tcPr>
          <w:p>
            <w:pPr>
              <w:ind w:left="640"/>
              <w:spacing w:after="0" w:line="149" w:lineRule="exact"/>
              <w:rPr>
                <w:sz w:val="20"/>
                <w:szCs w:val="20"/>
                <w:color w:val="auto"/>
              </w:rPr>
            </w:pPr>
            <w:r>
              <w:rPr>
                <w:rFonts w:ascii="Arial" w:cs="Arial" w:eastAsia="Arial" w:hAnsi="Arial"/>
                <w:sz w:val="14"/>
                <w:szCs w:val="14"/>
                <w:color w:val="auto"/>
              </w:rPr>
              <w:t>Provision for losses on accounts receivable</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6,233</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9,166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460" w:type="dxa"/>
            <w:vAlign w:val="bottom"/>
            <w:shd w:val="clear" w:color="auto" w:fill="CCEEFF"/>
          </w:tcPr>
          <w:p>
            <w:pPr>
              <w:ind w:left="320"/>
              <w:spacing w:after="0" w:line="176" w:lineRule="exact"/>
              <w:rPr>
                <w:sz w:val="20"/>
                <w:szCs w:val="20"/>
                <w:color w:val="auto"/>
              </w:rPr>
            </w:pPr>
            <w:r>
              <w:rPr>
                <w:rFonts w:ascii="Arial" w:cs="Arial" w:eastAsia="Arial" w:hAnsi="Arial"/>
                <w:sz w:val="13"/>
                <w:szCs w:val="13"/>
                <w:color w:val="auto"/>
              </w:rPr>
              <w:t xml:space="preserve">Change in operating assets and liabilities </w:t>
            </w:r>
            <w:r>
              <w:rPr>
                <w:rFonts w:ascii="Arial" w:cs="Arial" w:eastAsia="Arial" w:hAnsi="Arial"/>
                <w:sz w:val="20"/>
                <w:szCs w:val="20"/>
                <w:color w:val="auto"/>
                <w:vertAlign w:val="superscript"/>
              </w:rPr>
              <w:t>(3)</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tcPr>
          <w:p>
            <w:pPr>
              <w:ind w:left="640"/>
              <w:spacing w:after="0" w:line="149" w:lineRule="exact"/>
              <w:rPr>
                <w:sz w:val="20"/>
                <w:szCs w:val="20"/>
                <w:color w:val="auto"/>
              </w:rPr>
            </w:pPr>
            <w:r>
              <w:rPr>
                <w:rFonts w:ascii="Arial" w:cs="Arial" w:eastAsia="Arial" w:hAnsi="Arial"/>
                <w:sz w:val="14"/>
                <w:szCs w:val="14"/>
                <w:color w:val="auto"/>
              </w:rPr>
              <w:t>Increase in receivables</w:t>
            </w:r>
          </w:p>
        </w:tc>
        <w:tc>
          <w:tcPr>
            <w:tcW w:w="80" w:type="dxa"/>
            <w:vAlign w:val="bottom"/>
          </w:tcPr>
          <w:p>
            <w:pPr>
              <w:spacing w:after="0"/>
              <w:rPr>
                <w:sz w:val="12"/>
                <w:szCs w:val="12"/>
                <w:color w:val="auto"/>
              </w:rPr>
            </w:pP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(557,844)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(343,542)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Increase in inventories</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(138,005)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(114,393)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tcPr>
          <w:p>
            <w:pPr>
              <w:ind w:left="640"/>
              <w:spacing w:after="0" w:line="149" w:lineRule="exact"/>
              <w:rPr>
                <w:sz w:val="20"/>
                <w:szCs w:val="20"/>
                <w:color w:val="auto"/>
              </w:rPr>
            </w:pPr>
            <w:r>
              <w:rPr>
                <w:rFonts w:ascii="Arial" w:cs="Arial" w:eastAsia="Arial" w:hAnsi="Arial"/>
                <w:sz w:val="14"/>
                <w:szCs w:val="14"/>
                <w:color w:val="auto"/>
              </w:rPr>
              <w:t>Increase in other current assets</w:t>
            </w:r>
          </w:p>
        </w:tc>
        <w:tc>
          <w:tcPr>
            <w:tcW w:w="80" w:type="dxa"/>
            <w:vAlign w:val="bottom"/>
          </w:tcPr>
          <w:p>
            <w:pPr>
              <w:spacing w:after="0"/>
              <w:rPr>
                <w:sz w:val="12"/>
                <w:szCs w:val="12"/>
                <w:color w:val="auto"/>
              </w:rPr>
            </w:pP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(47,881)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(98,457)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(Decrease) increase in accounts payable and accrued liabilities</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(58,800)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59,666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tcPr>
          <w:p>
            <w:pPr>
              <w:ind w:left="640"/>
              <w:spacing w:after="0" w:line="149" w:lineRule="exact"/>
              <w:rPr>
                <w:sz w:val="20"/>
                <w:szCs w:val="20"/>
                <w:color w:val="auto"/>
              </w:rPr>
            </w:pPr>
            <w:r>
              <w:rPr>
                <w:rFonts w:ascii="Arial" w:cs="Arial" w:eastAsia="Arial" w:hAnsi="Arial"/>
                <w:sz w:val="14"/>
                <w:szCs w:val="14"/>
                <w:color w:val="auto"/>
              </w:rPr>
              <w:t>Increase in estimated liability for taxes on income</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135,877</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131,460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Increase in postretirement benefits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18,535</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30,323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60" w:type="dxa"/>
            <w:vAlign w:val="bottom"/>
          </w:tcPr>
          <w:p>
            <w:pPr>
              <w:ind w:left="640"/>
              <w:spacing w:after="0"/>
              <w:rPr>
                <w:sz w:val="20"/>
                <w:szCs w:val="20"/>
                <w:color w:val="auto"/>
              </w:rPr>
            </w:pPr>
            <w:r>
              <w:rPr>
                <w:rFonts w:ascii="Arial" w:cs="Arial" w:eastAsia="Arial" w:hAnsi="Arial"/>
                <w:sz w:val="14"/>
                <w:szCs w:val="14"/>
                <w:color w:val="auto"/>
              </w:rPr>
              <w:t>Other – net</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73,827</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(44,787)</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4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OPERATING ACTIVITIES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9"/>
              </w:rPr>
              <w:t>1,799,542</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1,085,617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tcPr>
          <w:p>
            <w:pPr>
              <w:ind w:left="320"/>
              <w:spacing w:after="0" w:line="149" w:lineRule="exact"/>
              <w:rPr>
                <w:sz w:val="20"/>
                <w:szCs w:val="20"/>
                <w:color w:val="auto"/>
              </w:rPr>
            </w:pPr>
            <w:r>
              <w:rPr>
                <w:rFonts w:ascii="Arial" w:cs="Arial" w:eastAsia="Arial" w:hAnsi="Arial"/>
                <w:sz w:val="14"/>
                <w:szCs w:val="14"/>
                <w:color w:val="auto"/>
              </w:rPr>
              <w:t>Purchase of fixed assets</w:t>
            </w:r>
          </w:p>
        </w:tc>
        <w:tc>
          <w:tcPr>
            <w:tcW w:w="80" w:type="dxa"/>
            <w:vAlign w:val="bottom"/>
          </w:tcPr>
          <w:p>
            <w:pPr>
              <w:spacing w:after="0"/>
              <w:rPr>
                <w:sz w:val="12"/>
                <w:szCs w:val="12"/>
                <w:color w:val="auto"/>
              </w:rPr>
            </w:pP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2"/>
              </w:rPr>
              <w:t>(1,017,639)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(699,364)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Multiclient seismic data capitalized</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(70,094)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(27,589)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tcPr>
          <w:p>
            <w:pPr>
              <w:ind w:left="320"/>
              <w:spacing w:after="0" w:line="149" w:lineRule="exact"/>
              <w:rPr>
                <w:sz w:val="20"/>
                <w:szCs w:val="20"/>
                <w:color w:val="auto"/>
              </w:rPr>
            </w:pPr>
            <w:r>
              <w:rPr>
                <w:rFonts w:ascii="Arial" w:cs="Arial" w:eastAsia="Arial" w:hAnsi="Arial"/>
                <w:sz w:val="14"/>
                <w:szCs w:val="14"/>
                <w:color w:val="auto"/>
              </w:rPr>
              <w:t>Capitalization of intangible assets</w:t>
            </w:r>
          </w:p>
        </w:tc>
        <w:tc>
          <w:tcPr>
            <w:tcW w:w="80" w:type="dxa"/>
            <w:vAlign w:val="bottom"/>
          </w:tcPr>
          <w:p>
            <w:pPr>
              <w:spacing w:after="0"/>
              <w:rPr>
                <w:sz w:val="12"/>
                <w:szCs w:val="12"/>
                <w:color w:val="auto"/>
              </w:rPr>
            </w:pP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(9,045)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(10,824)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Proceeds from business divestitures</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28,970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tcPr>
          <w:p>
            <w:pPr>
              <w:ind w:left="320"/>
              <w:spacing w:after="0" w:line="149" w:lineRule="exact"/>
              <w:rPr>
                <w:sz w:val="20"/>
                <w:szCs w:val="20"/>
                <w:color w:val="auto"/>
              </w:rPr>
            </w:pPr>
            <w:r>
              <w:rPr>
                <w:rFonts w:ascii="Arial" w:cs="Arial" w:eastAsia="Arial" w:hAnsi="Arial"/>
                <w:sz w:val="14"/>
                <w:szCs w:val="14"/>
                <w:color w:val="auto"/>
              </w:rPr>
              <w:t>Business acquisitions and related payments</w:t>
            </w:r>
          </w:p>
        </w:tc>
        <w:tc>
          <w:tcPr>
            <w:tcW w:w="80" w:type="dxa"/>
            <w:vAlign w:val="bottom"/>
          </w:tcPr>
          <w:p>
            <w:pPr>
              <w:spacing w:after="0"/>
              <w:rPr>
                <w:sz w:val="12"/>
                <w:szCs w:val="12"/>
                <w:color w:val="auto"/>
              </w:rPr>
            </w:pP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(320,288)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(55,591)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Acquisition of minority interest in WesternGeco</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w w:val="92"/>
              </w:rPr>
              <w:t>(2,405,817)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tcPr>
          <w:p>
            <w:pPr>
              <w:ind w:left="320"/>
              <w:spacing w:after="0" w:line="149" w:lineRule="exact"/>
              <w:rPr>
                <w:sz w:val="20"/>
                <w:szCs w:val="20"/>
                <w:color w:val="auto"/>
              </w:rPr>
            </w:pPr>
            <w:r>
              <w:rPr>
                <w:rFonts w:ascii="Arial" w:cs="Arial" w:eastAsia="Arial" w:hAnsi="Arial"/>
                <w:sz w:val="14"/>
                <w:szCs w:val="14"/>
                <w:color w:val="auto"/>
              </w:rPr>
              <w:t>Sale of Montrouge facility</w:t>
            </w:r>
          </w:p>
        </w:tc>
        <w:tc>
          <w:tcPr>
            <w:tcW w:w="80" w:type="dxa"/>
            <w:vAlign w:val="bottom"/>
          </w:tcPr>
          <w:p>
            <w:pPr>
              <w:spacing w:after="0"/>
              <w:rPr>
                <w:sz w:val="12"/>
                <w:szCs w:val="12"/>
                <w:color w:val="auto"/>
              </w:rPr>
            </w:pPr>
          </w:p>
        </w:tc>
        <w:tc>
          <w:tcPr>
            <w:tcW w:w="11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229,801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Sale (purchase) of investments, net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9"/>
              </w:rPr>
              <w:t>1,667,039</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(93,970)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60" w:type="dxa"/>
            <w:vAlign w:val="bottom"/>
          </w:tcPr>
          <w:p>
            <w:pPr>
              <w:ind w:left="320"/>
              <w:spacing w:after="0"/>
              <w:rPr>
                <w:sz w:val="20"/>
                <w:szCs w:val="20"/>
                <w:color w:val="auto"/>
              </w:rPr>
            </w:pPr>
            <w:r>
              <w:rPr>
                <w:rFonts w:ascii="Arial" w:cs="Arial" w:eastAsia="Arial" w:hAnsi="Arial"/>
                <w:sz w:val="14"/>
                <w:szCs w:val="14"/>
                <w:color w:val="auto"/>
              </w:rPr>
              <w:t>Other</w:t>
            </w:r>
          </w:p>
        </w:tc>
        <w:tc>
          <w:tcPr>
            <w:tcW w:w="80" w:type="dxa"/>
            <w:vAlign w:val="bottom"/>
          </w:tcPr>
          <w:p>
            <w:pPr>
              <w:spacing w:after="0"/>
              <w:rPr>
                <w:sz w:val="15"/>
                <w:szCs w:val="15"/>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(89,339)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36,976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4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BY INVESTING ACTIVITIES</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w w:val="92"/>
              </w:rPr>
              <w:t>(2,245,183)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(591,591)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tcPr>
          <w:p>
            <w:pPr>
              <w:ind w:left="320"/>
              <w:spacing w:after="0" w:line="149" w:lineRule="exact"/>
              <w:rPr>
                <w:sz w:val="20"/>
                <w:szCs w:val="20"/>
                <w:color w:val="auto"/>
              </w:rPr>
            </w:pPr>
            <w:r>
              <w:rPr>
                <w:rFonts w:ascii="Arial" w:cs="Arial" w:eastAsia="Arial" w:hAnsi="Arial"/>
                <w:sz w:val="14"/>
                <w:szCs w:val="14"/>
                <w:color w:val="auto"/>
              </w:rPr>
              <w:t>Dividends paid</w:t>
            </w:r>
          </w:p>
        </w:tc>
        <w:tc>
          <w:tcPr>
            <w:tcW w:w="80" w:type="dxa"/>
            <w:vAlign w:val="bottom"/>
          </w:tcPr>
          <w:p>
            <w:pPr>
              <w:spacing w:after="0"/>
              <w:rPr>
                <w:sz w:val="12"/>
                <w:szCs w:val="12"/>
                <w:color w:val="auto"/>
              </w:rPr>
            </w:pP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(271,364)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(234,153)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Distribution to joint venture partner</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(59,647)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tcPr>
          <w:p>
            <w:pPr>
              <w:ind w:left="320"/>
              <w:spacing w:after="0" w:line="149" w:lineRule="exact"/>
              <w:rPr>
                <w:sz w:val="20"/>
                <w:szCs w:val="20"/>
                <w:color w:val="auto"/>
              </w:rPr>
            </w:pPr>
            <w:r>
              <w:rPr>
                <w:rFonts w:ascii="Arial" w:cs="Arial" w:eastAsia="Arial" w:hAnsi="Arial"/>
                <w:sz w:val="14"/>
                <w:szCs w:val="14"/>
                <w:color w:val="auto"/>
              </w:rPr>
              <w:t>Proceeds from employee stock purchase plan</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54,565</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41,966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Proceeds from exercise of stock options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250,742</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76,600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tcPr>
          <w:p>
            <w:pPr>
              <w:ind w:left="320"/>
              <w:spacing w:after="0" w:line="149" w:lineRule="exact"/>
              <w:rPr>
                <w:sz w:val="20"/>
                <w:szCs w:val="20"/>
                <w:color w:val="auto"/>
              </w:rPr>
            </w:pPr>
            <w:r>
              <w:rPr>
                <w:rFonts w:ascii="Arial" w:cs="Arial" w:eastAsia="Arial" w:hAnsi="Arial"/>
                <w:sz w:val="14"/>
                <w:szCs w:val="14"/>
                <w:color w:val="auto"/>
              </w:rPr>
              <w:t>Stock repurchase program</w:t>
            </w:r>
          </w:p>
        </w:tc>
        <w:tc>
          <w:tcPr>
            <w:tcW w:w="80" w:type="dxa"/>
            <w:vAlign w:val="bottom"/>
          </w:tcPr>
          <w:p>
            <w:pPr>
              <w:spacing w:after="0"/>
              <w:rPr>
                <w:sz w:val="12"/>
                <w:szCs w:val="12"/>
                <w:color w:val="auto"/>
              </w:rPr>
            </w:pP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(466,963)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(262,438)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Increase (decrease) in commercial paper and long-term debt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644,507</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(157,368)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60" w:type="dxa"/>
            <w:vAlign w:val="bottom"/>
          </w:tcPr>
          <w:p>
            <w:pPr>
              <w:ind w:left="320"/>
              <w:spacing w:after="0"/>
              <w:rPr>
                <w:sz w:val="20"/>
                <w:szCs w:val="20"/>
                <w:color w:val="auto"/>
              </w:rPr>
            </w:pPr>
            <w:r>
              <w:rPr>
                <w:rFonts w:ascii="Arial" w:cs="Arial" w:eastAsia="Arial" w:hAnsi="Arial"/>
                <w:sz w:val="14"/>
                <w:szCs w:val="14"/>
                <w:color w:val="auto"/>
              </w:rPr>
              <w:t>Net change in short-term debt</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270,714</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(7,629)</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4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422,554</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(543,022)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Discontinued operations – operating activities</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decrease in cash before translation effect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(23,087)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(50,024)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tcPr>
          <w:p>
            <w:pPr>
              <w:spacing w:after="0" w:line="149" w:lineRule="exact"/>
              <w:rPr>
                <w:sz w:val="20"/>
                <w:szCs w:val="20"/>
                <w:color w:val="auto"/>
              </w:rPr>
            </w:pPr>
            <w:r>
              <w:rPr>
                <w:rFonts w:ascii="Arial" w:cs="Arial" w:eastAsia="Arial" w:hAnsi="Arial"/>
                <w:sz w:val="14"/>
                <w:szCs w:val="14"/>
                <w:color w:val="auto"/>
              </w:rPr>
              <w:t>Translation effect on cash</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5,145</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beginning of period</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190,954</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223,503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173,012</w:t>
            </w:r>
          </w:p>
        </w:tc>
        <w:tc>
          <w:tcPr>
            <w:tcW w:w="48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172,495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6014720</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-29210</wp:posOffset>
            </wp:positionV>
            <wp:extent cx="2159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3873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2159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1"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(1)</w:t>
        <w:tab/>
        <w:t>Includes multiclient seismic data costs.</w:t>
      </w:r>
    </w:p>
    <w:p>
      <w:pPr>
        <w:spacing w:after="0" w:line="221" w:lineRule="auto"/>
        <w:tabs>
          <w:tab w:leader="none" w:pos="320" w:val="left"/>
        </w:tabs>
        <w:rPr>
          <w:sz w:val="20"/>
          <w:szCs w:val="20"/>
          <w:color w:val="auto"/>
        </w:rPr>
      </w:pPr>
      <w:r>
        <w:rPr>
          <w:rFonts w:ascii="Arial" w:cs="Arial" w:eastAsia="Arial" w:hAnsi="Arial"/>
          <w:sz w:val="14"/>
          <w:szCs w:val="14"/>
          <w:color w:val="auto"/>
        </w:rPr>
        <w:t>(2)</w:t>
        <w:tab/>
        <w:t xml:space="preserve">See Note 2 – </w:t>
      </w:r>
      <w:r>
        <w:rPr>
          <w:rFonts w:ascii="Arial" w:cs="Arial" w:eastAsia="Arial" w:hAnsi="Arial"/>
          <w:sz w:val="14"/>
          <w:szCs w:val="14"/>
          <w:i w:val="1"/>
          <w:iCs w:val="1"/>
          <w:color w:val="auto"/>
        </w:rPr>
        <w:t>Charges and Credits</w:t>
      </w:r>
      <w:r>
        <w:rPr>
          <w:rFonts w:ascii="Arial" w:cs="Arial" w:eastAsia="Arial" w:hAnsi="Arial"/>
          <w:sz w:val="14"/>
          <w:szCs w:val="14"/>
          <w:color w:val="auto"/>
        </w:rPr>
        <w:t>.</w:t>
      </w:r>
    </w:p>
    <w:p>
      <w:pPr>
        <w:spacing w:after="0"/>
        <w:tabs>
          <w:tab w:leader="none" w:pos="320" w:val="left"/>
        </w:tabs>
        <w:rPr>
          <w:sz w:val="20"/>
          <w:szCs w:val="20"/>
          <w:color w:val="auto"/>
        </w:rPr>
      </w:pPr>
      <w:r>
        <w:rPr>
          <w:rFonts w:ascii="Arial" w:cs="Arial" w:eastAsia="Arial" w:hAnsi="Arial"/>
          <w:sz w:val="14"/>
          <w:szCs w:val="14"/>
          <w:color w:val="auto"/>
        </w:rPr>
        <w:t>(3)</w:t>
        <w:tab/>
        <w:t>Net of the effect of business acquisitions and divestitures.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w:t>
      </w:r>
    </w:p>
    <w:p>
      <w:pPr>
        <w:spacing w:after="0" w:line="204" w:lineRule="exact"/>
        <w:rPr>
          <w:sz w:val="20"/>
          <w:szCs w:val="20"/>
          <w:color w:val="auto"/>
        </w:rPr>
      </w:pPr>
    </w:p>
    <w:p>
      <w:pPr>
        <w:ind w:right="3000"/>
        <w:spacing w:after="0" w:line="347" w:lineRule="auto"/>
        <w:rPr>
          <w:sz w:val="20"/>
          <w:szCs w:val="20"/>
          <w:color w:val="auto"/>
        </w:rPr>
      </w:pPr>
      <w:r>
        <w:rPr>
          <w:rFonts w:ascii="Arial" w:cs="Arial" w:eastAsia="Arial" w:hAnsi="Arial"/>
          <w:sz w:val="14"/>
          <w:szCs w:val="14"/>
          <w:color w:val="auto"/>
        </w:rPr>
        <w:t xml:space="preserve">SCHLUMBERGER LIMITED (SCHLUMBERGER N.V., INCORPORATED IN THE NETHERLANDS ANTILLES) AND SUBSIDIARY COMPANIES CONSOLIDATED STATEMENT OF STOCKHOLDERS’ EQUITY (Unaudited) </w:t>
      </w:r>
      <w:r>
        <w:rPr>
          <w:rFonts w:ascii="Arial" w:cs="Arial" w:eastAsia="Arial" w:hAnsi="Arial"/>
          <w:sz w:val="14"/>
          <w:szCs w:val="14"/>
          <w:b w:val="1"/>
          <w:bCs w:val="1"/>
          <w:color w:val="auto"/>
        </w:rPr>
        <w:t>(Stated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46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720" w:type="dxa"/>
            <w:vAlign w:val="bottom"/>
            <w:tcBorders>
              <w:top w:val="single" w:sz="8" w:color="auto"/>
            </w:tcBorders>
            <w:gridSpan w:val="13"/>
          </w:tcPr>
          <w:p>
            <w:pPr>
              <w:jc w:val="center"/>
              <w:ind w:right="400"/>
              <w:spacing w:after="0" w:line="129" w:lineRule="exact"/>
              <w:rPr>
                <w:sz w:val="20"/>
                <w:szCs w:val="20"/>
                <w:color w:val="auto"/>
              </w:rPr>
            </w:pPr>
            <w:r>
              <w:rPr>
                <w:rFonts w:ascii="Arial" w:cs="Arial" w:eastAsia="Arial" w:hAnsi="Arial"/>
                <w:sz w:val="14"/>
                <w:szCs w:val="14"/>
                <w:b w:val="1"/>
                <w:bCs w:val="1"/>
                <w:color w:val="auto"/>
                <w:w w:val="87"/>
              </w:rPr>
              <w:t>Accumulated Other Comprehensive</w:t>
            </w: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86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rPr>
              <w:t>Common Stock</w:t>
            </w: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In</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Retained</w:t>
            </w:r>
          </w:p>
        </w:tc>
        <w:tc>
          <w:tcPr>
            <w:tcW w:w="7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9"/>
              </w:rPr>
              <w:t>Marked to</w:t>
            </w:r>
          </w:p>
        </w:tc>
        <w:tc>
          <w:tcPr>
            <w:tcW w:w="200" w:type="dxa"/>
            <w:vAlign w:val="bottom"/>
          </w:tcPr>
          <w:p>
            <w:pPr>
              <w:spacing w:after="0"/>
              <w:rPr>
                <w:sz w:val="20"/>
                <w:szCs w:val="20"/>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Pension</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0"/>
              </w:rPr>
              <w:t>Translation</w:t>
            </w:r>
          </w:p>
        </w:tc>
        <w:tc>
          <w:tcPr>
            <w:tcW w:w="1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5"/>
              </w:rPr>
              <w:t>Comprehensive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Issued</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7"/>
              </w:rPr>
              <w:t>Treasury</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Income</w:t>
            </w:r>
          </w:p>
        </w:tc>
        <w:tc>
          <w:tcPr>
            <w:tcW w:w="160" w:type="dxa"/>
            <w:vAlign w:val="bottom"/>
          </w:tcPr>
          <w:p>
            <w:pPr>
              <w:spacing w:after="0"/>
              <w:rPr>
                <w:sz w:val="15"/>
                <w:szCs w:val="15"/>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Market</w:t>
            </w:r>
          </w:p>
        </w:tc>
        <w:tc>
          <w:tcPr>
            <w:tcW w:w="200" w:type="dxa"/>
            <w:vAlign w:val="bottom"/>
          </w:tcPr>
          <w:p>
            <w:pPr>
              <w:spacing w:after="0"/>
              <w:rPr>
                <w:sz w:val="15"/>
                <w:szCs w:val="15"/>
                <w:color w:val="auto"/>
              </w:rPr>
            </w:pPr>
          </w:p>
        </w:tc>
        <w:tc>
          <w:tcPr>
            <w:tcW w:w="8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Liability</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8"/>
              </w:rPr>
              <w:t>Adjustment</w:t>
            </w:r>
          </w:p>
        </w:tc>
        <w:tc>
          <w:tcPr>
            <w:tcW w:w="12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4"/>
              </w:rPr>
              <w:t>Income (Loss)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January 1, 2006</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$ 2,750,570</w:t>
            </w:r>
          </w:p>
        </w:tc>
        <w:tc>
          <w:tcPr>
            <w:tcW w:w="3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9"/>
              </w:rPr>
              <w:t>(2,113,276)</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$ 7,999,770</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(17,042)</w:t>
            </w:r>
          </w:p>
        </w:tc>
        <w:tc>
          <w:tcPr>
            <w:tcW w:w="106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 (291,486)</w:t>
            </w:r>
          </w:p>
        </w:tc>
        <w:tc>
          <w:tcPr>
            <w:tcW w:w="1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(736,951)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1,579,411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1,579,411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Derivatives marked to market, net of tax</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26,268</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26,268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Translation adjustment</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(10,619)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(10,619)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Minimum pension liability</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(7,381)</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(7,381)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Tax benefit on minimum pension liability</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302</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302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(295,859)</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Stock repurchase plan</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(466,963)</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employee stock purchase plan</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25,149</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15,596</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Proceeds from shares sold to optionees less shares exchanged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131,633</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119,109</w:t>
            </w: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granted to Directors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1,852</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501</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Purchase of PetroAlliance</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260,217</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69,782</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based compensation cost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53,519</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June 30, 2006</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$ 3,222,940</w:t>
            </w:r>
          </w:p>
        </w:tc>
        <w:tc>
          <w:tcPr>
            <w:tcW w:w="3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9"/>
              </w:rPr>
              <w:t>(2,375,251)</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$ 9,283,322</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9,226</w:t>
            </w:r>
          </w:p>
        </w:tc>
        <w:tc>
          <w:tcPr>
            <w:tcW w:w="80" w:type="dxa"/>
            <w:vAlign w:val="bottom"/>
            <w:shd w:val="clear" w:color="auto" w:fill="CCEEFF"/>
          </w:tcPr>
          <w:p>
            <w:pPr>
              <w:spacing w:after="0"/>
              <w:rPr>
                <w:sz w:val="12"/>
                <w:szCs w:val="12"/>
                <w:color w:val="auto"/>
              </w:rPr>
            </w:pPr>
          </w:p>
        </w:tc>
        <w:tc>
          <w:tcPr>
            <w:tcW w:w="106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 (298,565)</w:t>
            </w:r>
          </w:p>
        </w:tc>
        <w:tc>
          <w:tcPr>
            <w:tcW w:w="1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(747,570)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1,587,981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660" w:type="dxa"/>
            <w:vAlign w:val="bottom"/>
            <w:gridSpan w:val="2"/>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4660" w:type="dxa"/>
            <w:vAlign w:val="bottom"/>
            <w:gridSpan w:val="2"/>
          </w:tcPr>
          <w:p>
            <w:pPr>
              <w:spacing w:after="0"/>
              <w:rPr>
                <w:sz w:val="20"/>
                <w:szCs w:val="20"/>
                <w:color w:val="auto"/>
              </w:rPr>
            </w:pPr>
            <w:r>
              <w:rPr>
                <w:rFonts w:ascii="Arial" w:cs="Arial" w:eastAsia="Arial" w:hAnsi="Arial"/>
                <w:sz w:val="14"/>
                <w:szCs w:val="14"/>
                <w:color w:val="auto"/>
              </w:rPr>
              <w:t>SHARES OF COMMON STOCK (Unaudited)</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6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Issued</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In Treasury</w:t>
            </w:r>
          </w:p>
        </w:tc>
        <w:tc>
          <w:tcPr>
            <w:tcW w:w="12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January 1, 2006</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1,334,212,164</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(156,607,946)</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1,177,604,218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Employee stock plan</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1,155,482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1,155,482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repurchase plan</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(8,023,500)</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(8,023,500)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Shares sold to optionees less shares exchanged</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8,535,484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8,535,484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PetroAlliance</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4,730,960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4,730,960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40" w:type="dxa"/>
            <w:vAlign w:val="bottom"/>
          </w:tcPr>
          <w:p>
            <w:pPr>
              <w:spacing w:after="0"/>
              <w:rPr>
                <w:sz w:val="20"/>
                <w:szCs w:val="20"/>
                <w:color w:val="auto"/>
              </w:rPr>
            </w:pPr>
            <w:r>
              <w:rPr>
                <w:rFonts w:ascii="Arial" w:cs="Arial" w:eastAsia="Arial" w:hAnsi="Arial"/>
                <w:sz w:val="14"/>
                <w:szCs w:val="14"/>
                <w:color w:val="auto"/>
              </w:rPr>
              <w:t>Shares granted to Directors</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34,000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6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gridSpan w:val="2"/>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gridSpan w:val="2"/>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June 30, 2006</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1,334,212,164</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(150,175,520)</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1,184,036,644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2961640</wp:posOffset>
            </wp:positionH>
            <wp:positionV relativeFrom="paragraph">
              <wp:posOffset>-1470025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-1470025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-1470025</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-1470025</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-1470025</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-1470025</wp:posOffset>
            </wp:positionV>
            <wp:extent cx="3873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-1470025</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-1470025</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-1470025</wp:posOffset>
            </wp:positionV>
            <wp:extent cx="3873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-1470025</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-1470025</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-1470025</wp:posOffset>
            </wp:positionV>
            <wp:extent cx="3873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-1470025</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-1470025</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-1470025</wp:posOffset>
            </wp:positionV>
            <wp:extent cx="387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-1470025</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-1470025</wp:posOffset>
            </wp:positionV>
            <wp:extent cx="2159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-1470025</wp:posOffset>
            </wp:positionV>
            <wp:extent cx="3873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-1470025</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-1470025</wp:posOffset>
            </wp:positionV>
            <wp:extent cx="2159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-1470025</wp:posOffset>
            </wp:positionV>
            <wp:extent cx="3873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-29210</wp:posOffset>
            </wp:positionV>
            <wp:extent cx="3873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74"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 xml:space="preserve">The accompanying unaudited consolidated financial statements, which include the accounts of Schlumberger Limited (“Schlumberger”) and its subsidiaries,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considered necessary for a fair presentation have been included in the accompanying unaudited financial statements. All intercompany transactions and balances have been eliminated in consolidation. Operating results for the six-month period ended June 30, 2006 are not necessarily indicative of the results that may be expected for the full year ending December 31, 2006. The December 31, 2005 balance sheet information has been derived from the audited 2005 financial statements. For further information, refer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and notes thereto, included in Schlumberger’s Annual Report on Form 10-K for the fiscal year ended December 31, 2005, filed with the Securities and Exchange Commission on February 24, 2006.</w:t>
      </w:r>
    </w:p>
    <w:p>
      <w:pPr>
        <w:spacing w:after="0" w:line="5" w:lineRule="exact"/>
        <w:rPr>
          <w:sz w:val="20"/>
          <w:szCs w:val="20"/>
          <w:color w:val="auto"/>
        </w:rPr>
      </w:pPr>
    </w:p>
    <w:p>
      <w:pPr>
        <w:ind w:right="40" w:firstLine="228"/>
        <w:spacing w:after="0" w:line="295" w:lineRule="auto"/>
        <w:rPr>
          <w:sz w:val="20"/>
          <w:szCs w:val="20"/>
          <w:color w:val="auto"/>
        </w:rPr>
      </w:pPr>
      <w:r>
        <w:rPr>
          <w:rFonts w:ascii="Arial" w:cs="Arial" w:eastAsia="Arial" w:hAnsi="Arial"/>
          <w:sz w:val="16"/>
          <w:szCs w:val="16"/>
          <w:color w:val="auto"/>
        </w:rPr>
        <w:t xml:space="preserve">On January 19, 2006, the Board of Directors of Schlumberger approved a two-for-one split of the Company’s common stock. Stockholders of record as of March 1, 2006 were entitled to one additional share for every share outstanding, which was distributed on April 7, 2006. The total number of authorized common stock shares and associated par value were unchanged by this action. All share, per share and stock option amounts included in the accompanying </w:t>
      </w:r>
      <w:r>
        <w:rPr>
          <w:rFonts w:ascii="Arial" w:cs="Arial" w:eastAsia="Arial" w:hAnsi="Arial"/>
          <w:sz w:val="16"/>
          <w:szCs w:val="16"/>
          <w:i w:val="1"/>
          <w:iCs w:val="1"/>
          <w:color w:val="auto"/>
        </w:rPr>
        <w:t>Consolidated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Statements </w:t>
      </w:r>
      <w:r>
        <w:rPr>
          <w:rFonts w:ascii="Arial" w:cs="Arial" w:eastAsia="Arial" w:hAnsi="Arial"/>
          <w:sz w:val="16"/>
          <w:szCs w:val="16"/>
          <w:color w:val="auto"/>
        </w:rPr>
        <w:t>and related notes have been restated to reflect the effect of the stock split.</w:t>
      </w:r>
    </w:p>
    <w:p>
      <w:pPr>
        <w:spacing w:after="0" w:line="91" w:lineRule="exact"/>
        <w:rPr>
          <w:sz w:val="20"/>
          <w:szCs w:val="20"/>
          <w:color w:val="auto"/>
        </w:rPr>
      </w:pPr>
    </w:p>
    <w:p>
      <w:pPr>
        <w:ind w:right="9320" w:firstLine="8"/>
        <w:spacing w:after="0" w:line="319" w:lineRule="auto"/>
        <w:tabs>
          <w:tab w:leader="none" w:pos="342"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Charges and Credits </w:t>
      </w:r>
      <w:r>
        <w:rPr>
          <w:rFonts w:ascii="Arial" w:cs="Arial" w:eastAsia="Arial" w:hAnsi="Arial"/>
          <w:sz w:val="18"/>
          <w:szCs w:val="18"/>
          <w:b w:val="1"/>
          <w:bCs w:val="1"/>
          <w:i w:val="1"/>
          <w:iCs w:val="1"/>
          <w:color w:val="auto"/>
        </w:rPr>
        <w:t>2006</w:t>
      </w:r>
    </w:p>
    <w:p>
      <w:pPr>
        <w:spacing w:after="0"/>
        <w:rPr>
          <w:rFonts w:ascii="Arial" w:cs="Arial" w:eastAsia="Arial" w:hAnsi="Arial"/>
          <w:sz w:val="18"/>
          <w:szCs w:val="18"/>
          <w:b w:val="1"/>
          <w:bCs w:val="1"/>
          <w:color w:val="auto"/>
        </w:rPr>
      </w:pPr>
      <w:r>
        <w:rPr>
          <w:rFonts w:ascii="Arial" w:cs="Arial" w:eastAsia="Arial" w:hAnsi="Arial"/>
          <w:sz w:val="18"/>
          <w:szCs w:val="18"/>
          <w:color w:val="auto"/>
        </w:rPr>
        <w:t>Second quarter of 2006:</w:t>
      </w:r>
    </w:p>
    <w:p>
      <w:pPr>
        <w:spacing w:after="0" w:line="76" w:lineRule="exact"/>
        <w:rPr>
          <w:rFonts w:ascii="Arial" w:cs="Arial" w:eastAsia="Arial" w:hAnsi="Arial"/>
          <w:sz w:val="18"/>
          <w:szCs w:val="18"/>
          <w:b w:val="1"/>
          <w:bCs w:val="1"/>
          <w:color w:val="auto"/>
        </w:rPr>
      </w:pPr>
    </w:p>
    <w:p>
      <w:pPr>
        <w:ind w:left="780" w:hanging="326"/>
        <w:spacing w:after="0" w:line="283" w:lineRule="auto"/>
        <w:tabs>
          <w:tab w:leader="none" w:pos="780" w:val="left"/>
        </w:tabs>
        <w:numPr>
          <w:ilvl w:val="1"/>
          <w:numId w:val="2"/>
        </w:numPr>
        <w:rPr>
          <w:rFonts w:ascii="Arial" w:cs="Arial" w:eastAsia="Arial" w:hAnsi="Arial"/>
          <w:sz w:val="16"/>
          <w:szCs w:val="16"/>
          <w:color w:val="auto"/>
        </w:rPr>
      </w:pPr>
      <w:r>
        <w:rPr>
          <w:rFonts w:ascii="Arial" w:cs="Arial" w:eastAsia="Arial" w:hAnsi="Arial"/>
          <w:sz w:val="16"/>
          <w:szCs w:val="16"/>
          <w:color w:val="auto"/>
        </w:rPr>
        <w:t xml:space="preserve">As discussed in further detail in Note 5, Schlumberger acquired the 30% minority interest in WesternGeco held by Baker Hughes Incorporated for $2.4 billion in cash during the second quarter of 2006. In connection with this transaction a pretax and after-tax charge of $21 million was recorded, representing the portion of the purchase price that was allocated to in-process research and development. Schlumberger recorded an additional $6 million of in-process research and development charges, primarily related to a small acquisition which was also completed in the second quarter of 2006. These amounts were determined by identifying research and development projects that had not yet reached technological feasibility at the time of the acquisition. These charges are classified in </w:t>
      </w:r>
      <w:r>
        <w:rPr>
          <w:rFonts w:ascii="Arial" w:cs="Arial" w:eastAsia="Arial" w:hAnsi="Arial"/>
          <w:sz w:val="16"/>
          <w:szCs w:val="16"/>
          <w:i w:val="1"/>
          <w:iCs w:val="1"/>
          <w:color w:val="auto"/>
        </w:rPr>
        <w:t>Research &amp; engineering</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p>
    <w:p>
      <w:pPr>
        <w:spacing w:after="0" w:line="1" w:lineRule="exact"/>
        <w:rPr>
          <w:rFonts w:ascii="Arial" w:cs="Arial" w:eastAsia="Arial" w:hAnsi="Arial"/>
          <w:sz w:val="16"/>
          <w:szCs w:val="16"/>
          <w:color w:val="auto"/>
        </w:rPr>
      </w:pPr>
    </w:p>
    <w:p>
      <w:pPr>
        <w:ind w:left="780" w:right="80" w:hanging="326"/>
        <w:spacing w:after="0" w:line="281" w:lineRule="auto"/>
        <w:tabs>
          <w:tab w:leader="none" w:pos="780" w:val="left"/>
        </w:tabs>
        <w:numPr>
          <w:ilvl w:val="1"/>
          <w:numId w:val="2"/>
        </w:numPr>
        <w:rPr>
          <w:rFonts w:ascii="Arial" w:cs="Arial" w:eastAsia="Arial" w:hAnsi="Arial"/>
          <w:sz w:val="16"/>
          <w:szCs w:val="16"/>
          <w:color w:val="auto"/>
        </w:rPr>
      </w:pPr>
      <w:r>
        <w:rPr>
          <w:rFonts w:ascii="Arial" w:cs="Arial" w:eastAsia="Arial" w:hAnsi="Arial"/>
          <w:sz w:val="16"/>
          <w:szCs w:val="16"/>
          <w:color w:val="auto"/>
        </w:rPr>
        <w:t xml:space="preserve">Schlumberger recorded a pretax and after-tax loss of $9 million relating to the liquidation of certain investments in connection with the funding of the previously mentioned WesternGeco transaction. These losses are classified in </w:t>
      </w:r>
      <w:r>
        <w:rPr>
          <w:rFonts w:ascii="Arial" w:cs="Arial" w:eastAsia="Arial" w:hAnsi="Arial"/>
          <w:sz w:val="16"/>
          <w:szCs w:val="16"/>
          <w:i w:val="1"/>
          <w:iCs w:val="1"/>
          <w:color w:val="auto"/>
        </w:rPr>
        <w:t>Interest &amp; other income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p>
    <w:p>
      <w:pPr>
        <w:spacing w:after="0" w:line="1" w:lineRule="exact"/>
        <w:rPr>
          <w:rFonts w:ascii="Arial" w:cs="Arial" w:eastAsia="Arial" w:hAnsi="Arial"/>
          <w:sz w:val="16"/>
          <w:szCs w:val="16"/>
          <w:color w:val="auto"/>
        </w:rPr>
      </w:pPr>
    </w:p>
    <w:p>
      <w:pPr>
        <w:jc w:val="both"/>
        <w:ind w:left="780" w:right="480" w:hanging="326"/>
        <w:spacing w:after="0" w:line="255" w:lineRule="auto"/>
        <w:tabs>
          <w:tab w:leader="none" w:pos="780" w:val="left"/>
        </w:tabs>
        <w:numPr>
          <w:ilvl w:val="1"/>
          <w:numId w:val="2"/>
        </w:numPr>
        <w:rPr>
          <w:rFonts w:ascii="Arial" w:cs="Arial" w:eastAsia="Arial" w:hAnsi="Arial"/>
          <w:sz w:val="18"/>
          <w:szCs w:val="18"/>
          <w:color w:val="auto"/>
        </w:rPr>
      </w:pPr>
      <w:r>
        <w:rPr>
          <w:rFonts w:ascii="Arial" w:cs="Arial" w:eastAsia="Arial" w:hAnsi="Arial"/>
          <w:sz w:val="18"/>
          <w:szCs w:val="18"/>
          <w:color w:val="auto"/>
        </w:rPr>
        <w:t xml:space="preserve">In connection with the settlement of the WesternGeco visa matter described in Note 15, a pretax charge of $10 million ($7 million after-tax and minority interest) was recorded in the second quarter of 2006 and is classified in </w:t>
      </w:r>
      <w:r>
        <w:rPr>
          <w:rFonts w:ascii="Arial" w:cs="Arial" w:eastAsia="Arial" w:hAnsi="Arial"/>
          <w:sz w:val="18"/>
          <w:szCs w:val="18"/>
          <w:i w:val="1"/>
          <w:iCs w:val="1"/>
          <w:color w:val="auto"/>
        </w:rPr>
        <w:t>Cost of goods sold &amp; services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Income</w:t>
      </w:r>
      <w:r>
        <w:rPr>
          <w:rFonts w:ascii="Arial" w:cs="Arial" w:eastAsia="Arial" w:hAnsi="Arial"/>
          <w:sz w:val="18"/>
          <w:szCs w:val="18"/>
          <w:color w:val="auto"/>
        </w:rPr>
        <w:t>.</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2006 Charges and Credits: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82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Minority</w:t>
            </w:r>
          </w:p>
        </w:tc>
        <w:tc>
          <w:tcPr>
            <w:tcW w:w="2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240" w:type="dxa"/>
            <w:vAlign w:val="bottom"/>
          </w:tcPr>
          <w:p>
            <w:pPr>
              <w:spacing w:after="0"/>
              <w:rPr>
                <w:sz w:val="15"/>
                <w:szCs w:val="15"/>
                <w:color w:val="auto"/>
              </w:rPr>
            </w:pPr>
          </w:p>
        </w:tc>
        <w:tc>
          <w:tcPr>
            <w:tcW w:w="40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Pretax</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74"/>
              </w:rPr>
              <w:t>Tax</w:t>
            </w:r>
          </w:p>
        </w:tc>
        <w:tc>
          <w:tcPr>
            <w:tcW w:w="80" w:type="dxa"/>
            <w:vAlign w:val="bottom"/>
          </w:tcPr>
          <w:p>
            <w:pPr>
              <w:spacing w:after="0"/>
              <w:rPr>
                <w:sz w:val="15"/>
                <w:szCs w:val="15"/>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6"/>
              </w:rPr>
              <w:t>Interest</w:t>
            </w:r>
          </w:p>
        </w:tc>
        <w:tc>
          <w:tcPr>
            <w:tcW w:w="220" w:type="dxa"/>
            <w:vAlign w:val="bottom"/>
            <w:gridSpan w:val="2"/>
          </w:tcPr>
          <w:p>
            <w:pPr>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8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 and Credits</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40" w:type="dxa"/>
            <w:vAlign w:val="bottom"/>
          </w:tcPr>
          <w:p>
            <w:pPr>
              <w:ind w:left="320"/>
              <w:spacing w:after="0" w:line="149" w:lineRule="exact"/>
              <w:rPr>
                <w:sz w:val="20"/>
                <w:szCs w:val="20"/>
                <w:color w:val="auto"/>
              </w:rPr>
            </w:pPr>
            <w:r>
              <w:rPr>
                <w:rFonts w:ascii="Arial" w:cs="Arial" w:eastAsia="Arial" w:hAnsi="Arial"/>
                <w:sz w:val="14"/>
                <w:szCs w:val="14"/>
                <w:color w:val="auto"/>
              </w:rPr>
              <w:t>- WesternGeco in-process R&amp;D charges</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w w:val="76"/>
              </w:rPr>
              <w:t>$21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 Loss on liquidation of investments to fund</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40" w:type="dxa"/>
            <w:vAlign w:val="bottom"/>
          </w:tcPr>
          <w:p>
            <w:pPr>
              <w:ind w:left="640"/>
              <w:spacing w:after="0" w:line="149" w:lineRule="exact"/>
              <w:rPr>
                <w:sz w:val="20"/>
                <w:szCs w:val="20"/>
                <w:color w:val="auto"/>
              </w:rPr>
            </w:pPr>
            <w:r>
              <w:rPr>
                <w:rFonts w:ascii="Arial" w:cs="Arial" w:eastAsia="Arial" w:hAnsi="Arial"/>
                <w:sz w:val="14"/>
                <w:szCs w:val="14"/>
                <w:color w:val="auto"/>
              </w:rPr>
              <w:t>WesternGeco transaction</w:t>
            </w:r>
          </w:p>
        </w:tc>
        <w:tc>
          <w:tcPr>
            <w:tcW w:w="16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 WesternGeco visa settlement</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40" w:type="dxa"/>
            <w:vAlign w:val="bottom"/>
          </w:tcPr>
          <w:p>
            <w:pPr>
              <w:ind w:left="320"/>
              <w:spacing w:after="0"/>
              <w:rPr>
                <w:sz w:val="20"/>
                <w:szCs w:val="20"/>
                <w:color w:val="auto"/>
              </w:rPr>
            </w:pPr>
            <w:r>
              <w:rPr>
                <w:rFonts w:ascii="Arial" w:cs="Arial" w:eastAsia="Arial" w:hAnsi="Arial"/>
                <w:sz w:val="14"/>
                <w:szCs w:val="14"/>
                <w:color w:val="auto"/>
              </w:rPr>
              <w:t>- Other in-process R&amp;D charges</w:t>
            </w:r>
          </w:p>
        </w:tc>
        <w:tc>
          <w:tcPr>
            <w:tcW w:w="1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6</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right"/>
              <w:ind w:right="6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2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Charges</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$43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2159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-29210</wp:posOffset>
            </wp:positionV>
            <wp:extent cx="2159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3873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7120890</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7155180</wp:posOffset>
            </wp:positionH>
            <wp:positionV relativeFrom="paragraph">
              <wp:posOffset>-29210</wp:posOffset>
            </wp:positionV>
            <wp:extent cx="2159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2005</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First quarter of 2005:</w:t>
      </w:r>
    </w:p>
    <w:p>
      <w:pPr>
        <w:spacing w:after="0" w:line="77" w:lineRule="exact"/>
        <w:rPr>
          <w:sz w:val="20"/>
          <w:szCs w:val="20"/>
          <w:color w:val="auto"/>
        </w:rPr>
      </w:pPr>
    </w:p>
    <w:p>
      <w:pPr>
        <w:ind w:left="780" w:right="320" w:hanging="326"/>
        <w:spacing w:after="0" w:line="284" w:lineRule="auto"/>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In March 2005, Schlumberger sold its facility in Montrouge, France for $230 million resulting in a pretax and after-tax gain of approximately $146 million, which is classified in </w:t>
      </w:r>
      <w:r>
        <w:rPr>
          <w:rFonts w:ascii="Arial" w:cs="Arial" w:eastAsia="Arial" w:hAnsi="Arial"/>
          <w:sz w:val="16"/>
          <w:szCs w:val="16"/>
          <w:i w:val="1"/>
          <w:iCs w:val="1"/>
          <w:color w:val="auto"/>
        </w:rPr>
        <w:t>Interest &amp; other income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This transaction allowed for the utilization of a deferred tax asset that was previously offset by a valuation allowance of approximately $51 million.</w:t>
      </w:r>
    </w:p>
    <w:p>
      <w:pPr>
        <w:spacing w:after="0" w:line="1" w:lineRule="exact"/>
        <w:rPr>
          <w:rFonts w:ascii="Arial" w:cs="Arial" w:eastAsia="Arial" w:hAnsi="Arial"/>
          <w:sz w:val="16"/>
          <w:szCs w:val="16"/>
          <w:color w:val="auto"/>
        </w:rPr>
      </w:pPr>
    </w:p>
    <w:p>
      <w:pPr>
        <w:ind w:left="780" w:right="20" w:hanging="326"/>
        <w:spacing w:after="0" w:line="261"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Schlumberger also recorded other real estate related pretax charges of approximately $12 million ($11 million after-tax), which are classified in </w:t>
      </w:r>
      <w:r>
        <w:rPr>
          <w:rFonts w:ascii="Arial" w:cs="Arial" w:eastAsia="Arial" w:hAnsi="Arial"/>
          <w:sz w:val="18"/>
          <w:szCs w:val="18"/>
          <w:i w:val="1"/>
          <w:iCs w:val="1"/>
          <w:color w:val="auto"/>
        </w:rPr>
        <w:t>Cost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goods sold &amp; services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 of Income</w:t>
      </w:r>
      <w:r>
        <w:rPr>
          <w:rFonts w:ascii="Arial" w:cs="Arial" w:eastAsia="Arial" w:hAnsi="Arial"/>
          <w:sz w:val="18"/>
          <w:szCs w:val="18"/>
          <w:color w:val="auto"/>
        </w:rPr>
        <w: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2005 Charges and Credits: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3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Pretax</w:t>
            </w:r>
          </w:p>
        </w:tc>
        <w:tc>
          <w:tcPr>
            <w:tcW w:w="2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2"/>
              </w:rPr>
              <w:t>Tax</w:t>
            </w:r>
          </w:p>
        </w:tc>
        <w:tc>
          <w:tcPr>
            <w:tcW w:w="56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 and Credits</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ind w:left="320"/>
              <w:spacing w:after="0" w:line="149" w:lineRule="exact"/>
              <w:rPr>
                <w:sz w:val="20"/>
                <w:szCs w:val="20"/>
                <w:color w:val="auto"/>
              </w:rPr>
            </w:pPr>
            <w:r>
              <w:rPr>
                <w:rFonts w:ascii="Arial" w:cs="Arial" w:eastAsia="Arial" w:hAnsi="Arial"/>
                <w:sz w:val="14"/>
                <w:szCs w:val="14"/>
                <w:color w:val="auto"/>
              </w:rPr>
              <w:t>- Gain on sale of Montrouge facility</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91"/>
              </w:rPr>
              <w:t>(146)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 Other real estate related charges</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Credits</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91"/>
              </w:rPr>
              <w:t>(134)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5946140</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2159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3873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2159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-29210</wp:posOffset>
            </wp:positionV>
            <wp:extent cx="2159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5"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Divestitures—Discontinued Operations</w:t>
      </w:r>
    </w:p>
    <w:p>
      <w:pPr>
        <w:spacing w:after="0" w:line="74" w:lineRule="exact"/>
        <w:rPr>
          <w:sz w:val="20"/>
          <w:szCs w:val="20"/>
          <w:color w:val="auto"/>
        </w:rPr>
      </w:pPr>
    </w:p>
    <w:p>
      <w:pPr>
        <w:jc w:val="both"/>
        <w:ind w:right="60"/>
        <w:spacing w:after="0" w:line="283" w:lineRule="auto"/>
        <w:rPr>
          <w:sz w:val="20"/>
          <w:szCs w:val="20"/>
          <w:color w:val="auto"/>
        </w:rPr>
      </w:pPr>
      <w:r>
        <w:rPr>
          <w:rFonts w:ascii="Arial" w:cs="Arial" w:eastAsia="Arial" w:hAnsi="Arial"/>
          <w:sz w:val="16"/>
          <w:szCs w:val="16"/>
          <w:color w:val="auto"/>
        </w:rPr>
        <w:t xml:space="preserve">During the second quarter of 2005, Credence Systems Corporation, the current owners of Schlumberger’s former NPTest semiconductor testing business, agreed to settle an outstanding contingent liability by paying Schlumberger $4 million in cash and 615,157 shares of common stock valued at approximately $5 million. Schlumberger sold its NPTest semiconductor testing business in July 2003 and reported it as a discontinued operation. This $9 million pretax and after-tax gain is reported as </w:t>
      </w:r>
      <w:r>
        <w:rPr>
          <w:rFonts w:ascii="Arial" w:cs="Arial" w:eastAsia="Arial" w:hAnsi="Arial"/>
          <w:sz w:val="16"/>
          <w:szCs w:val="16"/>
          <w:i w:val="1"/>
          <w:iCs w:val="1"/>
          <w:color w:val="auto"/>
        </w:rPr>
        <w:t>Income from Discontinued Operations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in the second quarter of 2005.</w:t>
      </w:r>
    </w:p>
    <w:p>
      <w:pPr>
        <w:spacing w:after="0" w:line="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During the first quarter of 2005, Schlumberger completed the sales of its Global Tel*Link, Public Phones and Essentis businesses for $18 million in cash.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recognized $8 million revenue in 2005 relating to these divested businesses.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w:t>
      </w:r>
    </w:p>
    <w:p>
      <w:pPr>
        <w:spacing w:after="0" w:line="196"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from basic earnings per share to diluted earnings per share from continuing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thousands except per share amounts)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5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2006</w:t>
            </w:r>
          </w:p>
        </w:tc>
        <w:tc>
          <w:tcPr>
            <w:tcW w:w="5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w w:val="87"/>
              </w:rPr>
              <w:t>Earnings Per</w:t>
            </w:r>
          </w:p>
        </w:tc>
        <w:tc>
          <w:tcPr>
            <w:tcW w:w="5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2005</w:t>
            </w:r>
          </w:p>
        </w:tc>
        <w:tc>
          <w:tcPr>
            <w:tcW w:w="5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w w:val="85"/>
              </w:rPr>
              <w:t>Earnings Per</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gridSpan w:val="3"/>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Income from</w:t>
            </w:r>
          </w:p>
        </w:tc>
        <w:tc>
          <w:tcPr>
            <w:tcW w:w="128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9"/>
              </w:rPr>
              <w:t>Share from</w:t>
            </w:r>
          </w:p>
        </w:tc>
        <w:tc>
          <w:tcPr>
            <w:tcW w:w="540" w:type="dxa"/>
            <w:vAlign w:val="bottom"/>
          </w:tcPr>
          <w:p>
            <w:pPr>
              <w:spacing w:after="0"/>
              <w:rPr>
                <w:sz w:val="12"/>
                <w:szCs w:val="12"/>
                <w:color w:val="auto"/>
              </w:rPr>
            </w:pPr>
          </w:p>
        </w:tc>
        <w:tc>
          <w:tcPr>
            <w:tcW w:w="13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Income from</w:t>
            </w:r>
          </w:p>
        </w:tc>
        <w:tc>
          <w:tcPr>
            <w:tcW w:w="1300" w:type="dxa"/>
            <w:vAlign w:val="bottom"/>
            <w:gridSpan w:val="3"/>
          </w:tcPr>
          <w:p>
            <w:pPr>
              <w:jc w:val="right"/>
              <w:ind w:right="580"/>
              <w:spacing w:after="0" w:line="149" w:lineRule="exact"/>
              <w:rPr>
                <w:sz w:val="20"/>
                <w:szCs w:val="20"/>
                <w:color w:val="auto"/>
              </w:rPr>
            </w:pPr>
            <w:r>
              <w:rPr>
                <w:rFonts w:ascii="Arial" w:cs="Arial" w:eastAsia="Arial" w:hAnsi="Arial"/>
                <w:sz w:val="14"/>
                <w:szCs w:val="14"/>
                <w:b w:val="1"/>
                <w:bCs w:val="1"/>
                <w:color w:val="auto"/>
              </w:rPr>
              <w:t>Average</w:t>
            </w:r>
          </w:p>
        </w:tc>
        <w:tc>
          <w:tcPr>
            <w:tcW w:w="8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9"/>
              </w:rPr>
              <w:t>Share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9"/>
              </w:rPr>
              <w:t>Continuing</w:t>
            </w:r>
          </w:p>
        </w:tc>
        <w:tc>
          <w:tcPr>
            <w:tcW w:w="128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9"/>
              </w:rPr>
              <w:t>Continuing</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9"/>
              </w:rPr>
              <w:t>Continuing</w:t>
            </w:r>
          </w:p>
        </w:tc>
        <w:tc>
          <w:tcPr>
            <w:tcW w:w="1300" w:type="dxa"/>
            <w:vAlign w:val="bottom"/>
            <w:gridSpan w:val="3"/>
          </w:tcPr>
          <w:p>
            <w:pPr>
              <w:jc w:val="right"/>
              <w:ind w:right="580"/>
              <w:spacing w:after="0" w:line="149"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9"/>
              </w:rPr>
              <w:t>Continuing</w:t>
            </w:r>
          </w:p>
        </w:tc>
        <w:tc>
          <w:tcPr>
            <w:tcW w:w="0" w:type="dxa"/>
            <w:vAlign w:val="bottom"/>
          </w:tcPr>
          <w:p>
            <w:pPr>
              <w:spacing w:after="0"/>
              <w:rPr>
                <w:sz w:val="1"/>
                <w:szCs w:val="1"/>
                <w:color w:val="auto"/>
              </w:rPr>
            </w:pPr>
          </w:p>
        </w:tc>
      </w:tr>
      <w:tr>
        <w:trPr>
          <w:trHeight w:val="174"/>
        </w:trPr>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Second Quarter</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9"/>
              </w:rPr>
              <w:t>Operations</w:t>
            </w:r>
          </w:p>
        </w:tc>
        <w:tc>
          <w:tcPr>
            <w:tcW w:w="12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4"/>
              </w:rPr>
              <w:t>Outstanding</w:t>
            </w:r>
          </w:p>
        </w:tc>
        <w:tc>
          <w:tcPr>
            <w:tcW w:w="10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Operations</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9"/>
              </w:rPr>
              <w:t>Operations</w:t>
            </w:r>
          </w:p>
        </w:tc>
        <w:tc>
          <w:tcPr>
            <w:tcW w:w="130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84"/>
              </w:rPr>
              <w:t>Outstanding</w:t>
            </w:r>
          </w:p>
        </w:tc>
        <w:tc>
          <w:tcPr>
            <w:tcW w:w="8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Operations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w:t>
            </w:r>
          </w:p>
        </w:tc>
        <w:tc>
          <w:tcPr>
            <w:tcW w:w="6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b w:val="1"/>
                <w:bCs w:val="1"/>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856,900</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1,184,357</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0.72</w:t>
            </w:r>
          </w:p>
        </w:tc>
        <w:tc>
          <w:tcPr>
            <w:tcW w:w="6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473,201</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1,177,482</w:t>
            </w: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Assumed conversion of debentures</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7,197</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38,210</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7,197</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38,210</w:t>
            </w: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line="149" w:lineRule="exact"/>
              <w:rPr>
                <w:sz w:val="20"/>
                <w:szCs w:val="20"/>
                <w:color w:val="auto"/>
              </w:rPr>
            </w:pPr>
            <w:r>
              <w:rPr>
                <w:rFonts w:ascii="Arial" w:cs="Arial" w:eastAsia="Arial" w:hAnsi="Arial"/>
                <w:sz w:val="14"/>
                <w:szCs w:val="14"/>
                <w:color w:val="auto"/>
              </w:rPr>
              <w:t>Assumed exercise of stock options</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23,035</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10,272</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Unvested restricted stock</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475</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w:t>
            </w:r>
          </w:p>
        </w:tc>
        <w:tc>
          <w:tcPr>
            <w:tcW w:w="6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b w:val="1"/>
                <w:bCs w:val="1"/>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864,097</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1,246,077</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0.69</w:t>
            </w:r>
          </w:p>
        </w:tc>
        <w:tc>
          <w:tcPr>
            <w:tcW w:w="6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480,398</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1,225,964</w:t>
            </w: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Borders>
              <w:bottom w:val="single" w:sz="8" w:color="auto"/>
            </w:tcBorders>
            <w:gridSpan w:val="2"/>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Income from</w:t>
            </w:r>
          </w:p>
        </w:tc>
        <w:tc>
          <w:tcPr>
            <w:tcW w:w="12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Income from</w:t>
            </w:r>
          </w:p>
        </w:tc>
        <w:tc>
          <w:tcPr>
            <w:tcW w:w="130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Average</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9"/>
              </w:rPr>
              <w:t>Continuing</w:t>
            </w:r>
          </w:p>
        </w:tc>
        <w:tc>
          <w:tcPr>
            <w:tcW w:w="128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Shares</w:t>
            </w:r>
          </w:p>
        </w:tc>
        <w:tc>
          <w:tcPr>
            <w:tcW w:w="7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6"/>
              </w:rPr>
              <w:t>Earnings per</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9"/>
              </w:rPr>
              <w:t>Continuing</w:t>
            </w:r>
          </w:p>
        </w:tc>
        <w:tc>
          <w:tcPr>
            <w:tcW w:w="1300" w:type="dxa"/>
            <w:vAlign w:val="bottom"/>
            <w:gridSpan w:val="3"/>
          </w:tcPr>
          <w:p>
            <w:pPr>
              <w:jc w:val="right"/>
              <w:ind w:right="580"/>
              <w:spacing w:after="0" w:line="149" w:lineRule="exact"/>
              <w:rPr>
                <w:sz w:val="20"/>
                <w:szCs w:val="20"/>
                <w:color w:val="auto"/>
              </w:rPr>
            </w:pPr>
            <w:r>
              <w:rPr>
                <w:rFonts w:ascii="Arial" w:cs="Arial" w:eastAsia="Arial" w:hAnsi="Arial"/>
                <w:sz w:val="14"/>
                <w:szCs w:val="14"/>
                <w:b w:val="1"/>
                <w:bCs w:val="1"/>
                <w:color w:val="auto"/>
              </w:rPr>
              <w:t>Shares</w:t>
            </w: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8"/>
              </w:rPr>
              <w:t>Earnings per</w:t>
            </w:r>
          </w:p>
        </w:tc>
        <w:tc>
          <w:tcPr>
            <w:tcW w:w="0" w:type="dxa"/>
            <w:vAlign w:val="bottom"/>
          </w:tcPr>
          <w:p>
            <w:pPr>
              <w:spacing w:after="0"/>
              <w:rPr>
                <w:sz w:val="1"/>
                <w:szCs w:val="1"/>
                <w:color w:val="auto"/>
              </w:rPr>
            </w:pPr>
          </w:p>
        </w:tc>
      </w:tr>
      <w:tr>
        <w:trPr>
          <w:trHeight w:val="174"/>
        </w:trPr>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Six Months</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9"/>
              </w:rPr>
              <w:t>Operations</w:t>
            </w:r>
          </w:p>
        </w:tc>
        <w:tc>
          <w:tcPr>
            <w:tcW w:w="12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4"/>
              </w:rPr>
              <w:t>Outstanding</w:t>
            </w:r>
          </w:p>
        </w:tc>
        <w:tc>
          <w:tcPr>
            <w:tcW w:w="10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Share</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9"/>
              </w:rPr>
              <w:t>Operations</w:t>
            </w:r>
          </w:p>
        </w:tc>
        <w:tc>
          <w:tcPr>
            <w:tcW w:w="130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84"/>
              </w:rPr>
              <w:t>Outstanding</w:t>
            </w:r>
          </w:p>
        </w:tc>
        <w:tc>
          <w:tcPr>
            <w:tcW w:w="8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w:t>
            </w:r>
          </w:p>
        </w:tc>
        <w:tc>
          <w:tcPr>
            <w:tcW w:w="6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b w:val="1"/>
                <w:bCs w:val="1"/>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1,579,411</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1,182,351</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1.34</w:t>
            </w:r>
          </w:p>
        </w:tc>
        <w:tc>
          <w:tcPr>
            <w:tcW w:w="6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997,638</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1,178,074</w:t>
            </w: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Assumed conversion of debentures</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14,394</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38,210</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14,394</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38,210</w:t>
            </w: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line="149" w:lineRule="exact"/>
              <w:rPr>
                <w:sz w:val="20"/>
                <w:szCs w:val="20"/>
                <w:color w:val="auto"/>
              </w:rPr>
            </w:pPr>
            <w:r>
              <w:rPr>
                <w:rFonts w:ascii="Arial" w:cs="Arial" w:eastAsia="Arial" w:hAnsi="Arial"/>
                <w:sz w:val="14"/>
                <w:szCs w:val="14"/>
                <w:color w:val="auto"/>
              </w:rPr>
              <w:t>Assumed exercise of stock options</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22,587</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10,464</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Unvested restricted stock</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238</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w:t>
            </w:r>
          </w:p>
        </w:tc>
        <w:tc>
          <w:tcPr>
            <w:tcW w:w="6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b w:val="1"/>
                <w:bCs w:val="1"/>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1,593,805</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1,243,386</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1.28</w:t>
            </w:r>
          </w:p>
        </w:tc>
        <w:tc>
          <w:tcPr>
            <w:tcW w:w="6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1,012,032</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1,226,748</w:t>
            </w: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-2224405</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-2224405</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-2224405</wp:posOffset>
            </wp:positionV>
            <wp:extent cx="2159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-2224405</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-2224405</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-2224405</wp:posOffset>
            </wp:positionV>
            <wp:extent cx="2159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-1538605</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-1538605</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-1538605</wp:posOffset>
            </wp:positionV>
            <wp:extent cx="2159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-1538605</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-1538605</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-1538605</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-1538605</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-1538605</wp:posOffset>
            </wp:positionV>
            <wp:extent cx="2159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-1538605</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-1538605</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-1538605</wp:posOffset>
            </wp:positionV>
            <wp:extent cx="2159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-1538605</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-1538605</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-1538605</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-1538605</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-1538605</wp:posOffset>
            </wp:positionV>
            <wp:extent cx="2159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-715010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-715010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-715010</wp:posOffset>
            </wp:positionV>
            <wp:extent cx="2159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-715010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-715010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-715010</wp:posOffset>
            </wp:positionV>
            <wp:extent cx="2159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-29210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-29210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-29210</wp:posOffset>
            </wp:positionV>
            <wp:extent cx="2159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-29210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-29210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-29210</wp:posOffset>
            </wp:positionV>
            <wp:extent cx="2159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-29210</wp:posOffset>
            </wp:positionV>
            <wp:extent cx="48450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-29210</wp:posOffset>
            </wp:positionV>
            <wp:extent cx="2159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number of outstanding options to purchase shares of common stock which were not included in the computation of diluted earnings per share because to do so would have had an antidilutive effect, were as follows: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5620" w:type="dxa"/>
            <w:vAlign w:val="bottom"/>
            <w:tcBorders>
              <w:top w:val="single" w:sz="8" w:color="auto"/>
            </w:tcBorders>
          </w:tcPr>
          <w:p>
            <w:pPr>
              <w:spacing w:after="0"/>
              <w:rPr>
                <w:sz w:val="12"/>
                <w:szCs w:val="12"/>
                <w:color w:val="auto"/>
              </w:rPr>
            </w:pPr>
          </w:p>
        </w:tc>
        <w:tc>
          <w:tcPr>
            <w:tcW w:w="5300" w:type="dxa"/>
            <w:vAlign w:val="bottom"/>
            <w:tcBorders>
              <w:top w:val="single" w:sz="8" w:color="auto"/>
            </w:tcBorders>
          </w:tcPr>
          <w:p>
            <w:pPr>
              <w:jc w:val="right"/>
              <w:ind w:right="152"/>
              <w:spacing w:after="0" w:line="143" w:lineRule="exact"/>
              <w:rPr>
                <w:sz w:val="20"/>
                <w:szCs w:val="20"/>
                <w:color w:val="auto"/>
              </w:rPr>
            </w:pPr>
            <w:r>
              <w:rPr>
                <w:rFonts w:ascii="Arial" w:cs="Arial" w:eastAsia="Arial" w:hAnsi="Arial"/>
                <w:sz w:val="14"/>
                <w:szCs w:val="14"/>
                <w:b w:val="1"/>
                <w:bCs w:val="1"/>
                <w:color w:val="auto"/>
              </w:rPr>
              <w:t>2006</w:t>
            </w:r>
          </w:p>
        </w:tc>
        <w:tc>
          <w:tcPr>
            <w:tcW w:w="5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2005</w:t>
            </w:r>
          </w:p>
        </w:tc>
      </w:tr>
      <w:tr>
        <w:trPr>
          <w:trHeight w:val="149"/>
        </w:trPr>
        <w:tc>
          <w:tcPr>
            <w:tcW w:w="5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Second quarter</w:t>
            </w:r>
          </w:p>
        </w:tc>
        <w:tc>
          <w:tcPr>
            <w:tcW w:w="5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0.6</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w:t>
            </w:r>
          </w:p>
        </w:tc>
      </w:tr>
      <w:tr>
        <w:trPr>
          <w:trHeight w:val="174"/>
        </w:trPr>
        <w:tc>
          <w:tcPr>
            <w:tcW w:w="5620" w:type="dxa"/>
            <w:vAlign w:val="bottom"/>
          </w:tcPr>
          <w:p>
            <w:pPr>
              <w:spacing w:after="0"/>
              <w:rPr>
                <w:sz w:val="20"/>
                <w:szCs w:val="20"/>
                <w:color w:val="auto"/>
              </w:rPr>
            </w:pPr>
            <w:r>
              <w:rPr>
                <w:rFonts w:ascii="Arial" w:cs="Arial" w:eastAsia="Arial" w:hAnsi="Arial"/>
                <w:sz w:val="14"/>
                <w:szCs w:val="14"/>
                <w:color w:val="auto"/>
              </w:rPr>
              <w:t>Six months</w:t>
            </w:r>
          </w:p>
        </w:tc>
        <w:tc>
          <w:tcPr>
            <w:tcW w:w="5300" w:type="dxa"/>
            <w:vAlign w:val="bottom"/>
          </w:tcPr>
          <w:p>
            <w:pPr>
              <w:jc w:val="right"/>
              <w:ind w:right="152"/>
              <w:spacing w:after="0"/>
              <w:rPr>
                <w:sz w:val="20"/>
                <w:szCs w:val="20"/>
                <w:color w:val="auto"/>
              </w:rPr>
            </w:pPr>
            <w:r>
              <w:rPr>
                <w:rFonts w:ascii="Arial" w:cs="Arial" w:eastAsia="Arial" w:hAnsi="Arial"/>
                <w:sz w:val="14"/>
                <w:szCs w:val="14"/>
                <w:b w:val="1"/>
                <w:bCs w:val="1"/>
                <w:color w:val="auto"/>
              </w:rPr>
              <w:t>0.6</w:t>
            </w:r>
          </w:p>
        </w:tc>
        <w:tc>
          <w:tcPr>
            <w:tcW w:w="500" w:type="dxa"/>
            <w:vAlign w:val="bottom"/>
          </w:tcPr>
          <w:p>
            <w:pPr>
              <w:jc w:val="right"/>
              <w:spacing w:after="0"/>
              <w:rPr>
                <w:sz w:val="20"/>
                <w:szCs w:val="20"/>
                <w:color w:val="auto"/>
              </w:rPr>
            </w:pPr>
            <w:r>
              <w:rPr>
                <w:rFonts w:ascii="Arial" w:cs="Arial" w:eastAsia="Arial" w:hAnsi="Arial"/>
                <w:sz w:val="14"/>
                <w:szCs w:val="14"/>
                <w:color w:val="auto"/>
              </w:rPr>
              <w:t>16.0</w:t>
            </w:r>
          </w:p>
        </w:tc>
      </w:tr>
    </w:tbl>
    <w:p>
      <w:pPr>
        <w:spacing w:after="0" w:line="104"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WesternGeco Minority Interest</w:t>
      </w:r>
    </w:p>
    <w:p>
      <w:pPr>
        <w:spacing w:after="0" w:line="7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April 28, 2006, Schlumberger acquired the 30% minority interest in WesternGeco from Baker Hughes Incorporated for $2.4 billion in cash. Schlumberger also incurred direct acquisition costs of $6 million in connection with this transaction. As a result of this transaction, Schlumberger owns 100% of WesternGeco. Approximately 50% of the purchase price was funded from Schlumberger’s cash and investments. The remaining 50% was financed through existing Schlumberger credit facilities.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purchase price has been allocated to the proportionate share of net assets acquired based upon their estimated fair values as follows: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946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1054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Book value of minority interest acquired</w:t>
            </w: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460</w:t>
            </w:r>
          </w:p>
        </w:tc>
        <w:tc>
          <w:tcPr>
            <w:tcW w:w="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20" w:type="dxa"/>
            <w:vAlign w:val="bottom"/>
            <w:vMerge w:val="restart"/>
          </w:tcPr>
          <w:p>
            <w:pPr>
              <w:spacing w:after="0"/>
              <w:rPr>
                <w:sz w:val="3"/>
                <w:szCs w:val="3"/>
                <w:color w:val="auto"/>
              </w:rPr>
            </w:pPr>
          </w:p>
        </w:tc>
        <w:tc>
          <w:tcPr>
            <w:tcW w:w="10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52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Fair value adjustments:</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rPr>
              <w:t>Technology (weighted average life of 15 years)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293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5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Customer relationships (life of 20 years)</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rPr>
              <w:t>Vessels (weighted average remaining life of 11 years)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84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5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Other fixed assets (weighted average remaining life of 3 years)</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rPr>
              <w:t>Multiclient seismic data (maximum life of 3 years)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41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5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Other identifiable intangible assets (life of 15 years)</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rPr>
              <w:t>In-process research and development (expensed immediately- see Note 2)</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5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Deferred income taxes (preliminary)</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Goodwill</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79"/>
              </w:rPr>
              <w:t>1,308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52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purchase price</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2,406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6975475</wp:posOffset>
            </wp:positionH>
            <wp:positionV relativeFrom="paragraph">
              <wp:posOffset>-29210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-29210</wp:posOffset>
            </wp:positionV>
            <wp:extent cx="2159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20" w:firstLine="228"/>
        <w:spacing w:after="0" w:line="256" w:lineRule="auto"/>
        <w:rPr>
          <w:sz w:val="20"/>
          <w:szCs w:val="20"/>
          <w:color w:val="auto"/>
        </w:rPr>
      </w:pPr>
      <w:r>
        <w:rPr>
          <w:rFonts w:ascii="Arial" w:cs="Arial" w:eastAsia="Arial" w:hAnsi="Arial"/>
          <w:sz w:val="18"/>
          <w:szCs w:val="18"/>
          <w:color w:val="auto"/>
        </w:rPr>
        <w:t>The amount allocated to goodwill represents the excess of the purchase price over the fair value of the net assets acquired. Approximately $0.7 billion to $0.8 billion of the $1.3 billion of goodwill is currently estimated to be tax deductible. In addition, $625 million of the goodwill created as a result of this transaction has been allocated to the Oilfield Services business segment (“OFS”) in recognition of the estimated present value of future synergies paid for in this transaction that will directly benefit OFS.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Customer relationships and Other identifiable intangible assets</w:t>
      </w:r>
    </w:p>
    <w:p>
      <w:pPr>
        <w:spacing w:after="0" w:line="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Amortization expense in the second quarter of 2006 relating to technology (primarily representing WesternGeco proprietary Q-Technology), customer relationships and all other identifiable intangible assets acquired in this transaction was approximately $5 million and is expected to be approximately $8 million per quarter commencing in the third quarter of 2006.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Vessels and other fixed assets</w:t>
      </w:r>
    </w:p>
    <w:p>
      <w:pPr>
        <w:spacing w:after="0" w:line="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analyzing the fair value of the WesternGeco vessels it was determined that the remaining estimated useful lives of these assets exceeded the remaining estimated life currently being used to calculate depreciation expense. Therefore, the estimated remaining useful lives of the vessels were extended an additional 4 years (on a weighted average basis) as of the date of the acquisition. The impact of the fair value adjustments for all fixed assets, combined with the change in estimate regarding the depreciable lives of the vessels, resulted in a net reduction in depreciation expense of approximately $0.5 million in the second quarter of 2006. These adjustments are currently estimated to result in a net reduction in depreciation expense of $0.8 million per quarter commencing in the third quarter of 2006.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Multiclient seismic data</w:t>
      </w:r>
    </w:p>
    <w:p>
      <w:pPr>
        <w:spacing w:after="0" w:line="70"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 xml:space="preserve">The carrying value of the multiclient library immediately after the acquisition increased to $243 million from $202 million, reflecting the impact of the $41 million fair value adjustment. These capitalized costs will be charged to </w:t>
      </w:r>
      <w:r>
        <w:rPr>
          <w:rFonts w:ascii="Arial" w:cs="Arial" w:eastAsia="Arial" w:hAnsi="Arial"/>
          <w:sz w:val="16"/>
          <w:szCs w:val="16"/>
          <w:i w:val="1"/>
          <w:iCs w:val="1"/>
          <w:color w:val="auto"/>
        </w:rPr>
        <w:t>Cost of goods sold &amp; services</w:t>
      </w:r>
      <w:r>
        <w:rPr>
          <w:rFonts w:ascii="Arial" w:cs="Arial" w:eastAsia="Arial" w:hAnsi="Arial"/>
          <w:sz w:val="16"/>
          <w:szCs w:val="16"/>
          <w:color w:val="auto"/>
        </w:rPr>
        <w:t xml:space="preserve"> based on the percentage of the total costs on the balance sheet to the estimated total revenue that Schlumberger expects to receive from the sales of such data. Schlumberger policy has been that under no circumstance will an individual survey carry a net book value greater than a 4-year straight-line amortized value. After consideration of the estimated number of future years that revenues are expected to be derived from the multiclient seismic data at the time of the acquisition, Schlumberger</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w:t>
      </w:r>
    </w:p>
    <w:p>
      <w:pPr>
        <w:spacing w:after="0" w:line="206"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concluded that the remaining minimum amortization period should be 3 years for all surveys in the multiclient seismic library at the time of the transaction, effectively resetting the minimum amortization period. Therefore, the $243 million of capitalized mutliclient seismic data costs will be charged to expense over a period no longer than the next 3 years. Surveys comprising the $202 million of multiclient seismic data costs prior to this transaction had a weighted average remaining life for purposes of computing the minimum amortization of approximately 1.8 years. Given the current emphasis on requiring multiclient projects to be significantly prefunded before the project commences, Schlumberger currently estimates that the majority of revenues to be derived from sales of new surveys will be achieved within a 4-year period. Therefore, Schlumberger will continue its policy that under no circumstance will an individual survey carry a net book value greater than a 4-year straight-line amortized value for all surveys added to the library after the date of this transaction.</w:t>
      </w:r>
    </w:p>
    <w:p>
      <w:pPr>
        <w:ind w:right="20" w:firstLine="228"/>
        <w:spacing w:after="0" w:line="295" w:lineRule="auto"/>
        <w:rPr>
          <w:sz w:val="20"/>
          <w:szCs w:val="20"/>
          <w:color w:val="auto"/>
        </w:rPr>
      </w:pPr>
      <w:r>
        <w:rPr>
          <w:rFonts w:ascii="Arial" w:cs="Arial" w:eastAsia="Arial" w:hAnsi="Arial"/>
          <w:sz w:val="16"/>
          <w:szCs w:val="16"/>
          <w:color w:val="auto"/>
        </w:rPr>
        <w:t>The net impact of the $41 million fair value adjustment combined with the resetting of the minimum amortization period resulted in an approximate $9 million net reduction in multiclient amortization expense in the second quarter of 2006 as compared to what multiclient amortization expense would have been had this transaction not been consummated. These adjustments are currently estimated to result in a net reduction in multiclient amortization expense of approximately $10 million and $9 million in the third and fourth quarters of 2006,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PetroAlliance Minority Interest</w:t>
      </w:r>
    </w:p>
    <w:p>
      <w:pPr>
        <w:spacing w:after="0" w:line="7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December 9, 2003, Schlumberger announced that it had signed an agreement to acquire PetroAlliance Services Company Limited (“PetroAlliance Services”) over a 3-year period based on a formula determined at that time. In May 2006, Schlumberger acquired the remaining 49% of PetroAlliance Services that it did not own for $165 million in cash and 4,730,960 shares of Schlumberger common stock valued at approximately $330 million. The aggregate purchase price paid for PetroAlliance Services over the 3-year period was $650 million.</w:t>
      </w:r>
    </w:p>
    <w:p>
      <w:pPr>
        <w:spacing w:after="0" w:line="1" w:lineRule="exact"/>
        <w:rPr>
          <w:sz w:val="20"/>
          <w:szCs w:val="20"/>
          <w:color w:val="auto"/>
        </w:rPr>
      </w:pPr>
    </w:p>
    <w:p>
      <w:pPr>
        <w:jc w:val="both"/>
        <w:ind w:right="300" w:firstLine="456"/>
        <w:spacing w:after="0" w:line="261" w:lineRule="auto"/>
        <w:rPr>
          <w:sz w:val="20"/>
          <w:szCs w:val="20"/>
          <w:color w:val="auto"/>
        </w:rPr>
      </w:pPr>
      <w:r>
        <w:rPr>
          <w:rFonts w:ascii="Arial" w:cs="Arial" w:eastAsia="Arial" w:hAnsi="Arial"/>
          <w:sz w:val="18"/>
          <w:szCs w:val="18"/>
          <w:color w:val="auto"/>
        </w:rPr>
        <w:t>The $495 million purchase price paid in the second quarter of 2006 has been allocated to the proportionate share of net assets acquired based upon their estimated fair values as follows: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06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Book value of minority interest acquired</w:t>
            </w:r>
          </w:p>
        </w:tc>
        <w:tc>
          <w:tcPr>
            <w:tcW w:w="5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0700" w:type="dxa"/>
            <w:vAlign w:val="bottom"/>
            <w:gridSpan w:val="2"/>
          </w:tcPr>
          <w:p>
            <w:pPr>
              <w:spacing w:after="0"/>
              <w:rPr>
                <w:sz w:val="20"/>
                <w:szCs w:val="20"/>
                <w:color w:val="auto"/>
              </w:rPr>
            </w:pPr>
            <w:r>
              <w:rPr>
                <w:rFonts w:ascii="Arial" w:cs="Arial" w:eastAsia="Arial" w:hAnsi="Arial"/>
                <w:sz w:val="14"/>
                <w:szCs w:val="14"/>
                <w:i w:val="1"/>
                <w:iCs w:val="1"/>
                <w:color w:val="auto"/>
              </w:rPr>
              <w:t>Fair value adjustments: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Customer relationships (life of 12 years)</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80" w:type="dxa"/>
            <w:vAlign w:val="bottom"/>
          </w:tcPr>
          <w:p>
            <w:pPr>
              <w:ind w:left="260"/>
              <w:spacing w:after="0" w:line="149" w:lineRule="exact"/>
              <w:rPr>
                <w:sz w:val="20"/>
                <w:szCs w:val="20"/>
                <w:color w:val="auto"/>
              </w:rPr>
            </w:pPr>
            <w:r>
              <w:rPr>
                <w:rFonts w:ascii="Arial" w:cs="Arial" w:eastAsia="Arial" w:hAnsi="Arial"/>
                <w:sz w:val="14"/>
                <w:szCs w:val="14"/>
                <w:color w:val="auto"/>
              </w:rPr>
              <w:t>Other identifiable intangible assets (life of 5 years)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Goodwill</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386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6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purchase price</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495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7078345</wp:posOffset>
            </wp:positionH>
            <wp:positionV relativeFrom="paragraph">
              <wp:posOffset>-29210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7112635</wp:posOffset>
            </wp:positionH>
            <wp:positionV relativeFrom="paragraph">
              <wp:posOffset>-29210</wp:posOffset>
            </wp:positionV>
            <wp:extent cx="2159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amount allocated to goodwill represents the excess of the purchase price over the fair value of the net assets acquired. The goodwill is not tax deductible.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Acquisitions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During 2006, Schlumberger made certain other acquisitions, none of which were significant on an individual basis, for $91 million in cash.</w:t>
      </w:r>
    </w:p>
    <w:p>
      <w:pPr>
        <w:spacing w:after="0" w:line="15" w:lineRule="exact"/>
        <w:rPr>
          <w:sz w:val="20"/>
          <w:szCs w:val="20"/>
          <w:color w:val="auto"/>
        </w:rPr>
      </w:pPr>
    </w:p>
    <w:p>
      <w:pPr>
        <w:jc w:val="both"/>
        <w:ind w:right="320" w:firstLine="228"/>
        <w:spacing w:after="0" w:line="250" w:lineRule="auto"/>
        <w:rPr>
          <w:sz w:val="20"/>
          <w:szCs w:val="20"/>
          <w:color w:val="auto"/>
        </w:rPr>
      </w:pPr>
      <w:r>
        <w:rPr>
          <w:rFonts w:ascii="Arial" w:cs="Arial" w:eastAsia="Arial" w:hAnsi="Arial"/>
          <w:sz w:val="18"/>
          <w:szCs w:val="18"/>
          <w:color w:val="auto"/>
        </w:rPr>
        <w:t>Under the terms of certain past acquisitions, Schlumberger has obligations to pay additional consideration if specific conditions are met. Schlumberger has made payments of $64 million during 2006 with respect to certain transactions that were consummated in prior years, which have been recorded as additional goodwill.</w:t>
      </w:r>
    </w:p>
    <w:p>
      <w:pPr>
        <w:spacing w:after="0" w:line="1" w:lineRule="exact"/>
        <w:rPr>
          <w:sz w:val="20"/>
          <w:szCs w:val="20"/>
          <w:color w:val="auto"/>
        </w:rPr>
      </w:pPr>
    </w:p>
    <w:p>
      <w:pPr>
        <w:ind w:right="620" w:firstLine="228"/>
        <w:spacing w:after="0" w:line="261" w:lineRule="auto"/>
        <w:rPr>
          <w:sz w:val="20"/>
          <w:szCs w:val="20"/>
          <w:color w:val="auto"/>
        </w:rPr>
      </w:pPr>
      <w:r>
        <w:rPr>
          <w:rFonts w:ascii="Arial" w:cs="Arial" w:eastAsia="Arial" w:hAnsi="Arial"/>
          <w:sz w:val="18"/>
          <w:szCs w:val="18"/>
          <w:color w:val="auto"/>
        </w:rPr>
        <w:t>Proforma results relating to the above acquisitions, including the WesternGeco and PetroAlliance transactions, are not presented as the impact was not significant.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w:t>
      </w:r>
    </w:p>
    <w:p>
      <w:pPr>
        <w:spacing w:after="0" w:line="196"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Affiliated Companies</w:t>
      </w:r>
    </w:p>
    <w:p>
      <w:pPr>
        <w:spacing w:after="0" w:line="7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Schlumberger and Smith International, Inc. operate a drilling fluids joint venture of which Schlumberger owns a 40% interest and records income using the equity method of accounting. Schlumberger’s investment on June 30, 2006 was $888 million and $802 million on December 31, 2005. Schlumberger’s equity income from this joint venture, which is recorded one month in arrears was as follows: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5480" w:type="dxa"/>
            <w:vAlign w:val="bottom"/>
            <w:tcBorders>
              <w:top w:val="single" w:sz="8" w:color="auto"/>
            </w:tcBorders>
          </w:tcPr>
          <w:p>
            <w:pPr>
              <w:spacing w:after="0"/>
              <w:rPr>
                <w:sz w:val="12"/>
                <w:szCs w:val="12"/>
                <w:color w:val="auto"/>
              </w:rPr>
            </w:pPr>
          </w:p>
        </w:tc>
        <w:tc>
          <w:tcPr>
            <w:tcW w:w="5280" w:type="dxa"/>
            <w:vAlign w:val="bottom"/>
            <w:tcBorders>
              <w:top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2005</w:t>
            </w:r>
          </w:p>
        </w:tc>
      </w:tr>
      <w:tr>
        <w:trPr>
          <w:trHeight w:val="149"/>
        </w:trPr>
        <w:tc>
          <w:tcPr>
            <w:tcW w:w="5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Second Quarter</w:t>
            </w:r>
          </w:p>
        </w:tc>
        <w:tc>
          <w:tcPr>
            <w:tcW w:w="528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b w:val="1"/>
                <w:bCs w:val="1"/>
                <w:color w:val="auto"/>
              </w:rPr>
              <w:t>$ 29</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18</w:t>
            </w:r>
          </w:p>
        </w:tc>
      </w:tr>
      <w:tr>
        <w:trPr>
          <w:trHeight w:val="174"/>
        </w:trPr>
        <w:tc>
          <w:tcPr>
            <w:tcW w:w="5480" w:type="dxa"/>
            <w:vAlign w:val="bottom"/>
          </w:tcPr>
          <w:p>
            <w:pPr>
              <w:spacing w:after="0"/>
              <w:rPr>
                <w:sz w:val="20"/>
                <w:szCs w:val="20"/>
                <w:color w:val="auto"/>
              </w:rPr>
            </w:pPr>
            <w:r>
              <w:rPr>
                <w:rFonts w:ascii="Arial" w:cs="Arial" w:eastAsia="Arial" w:hAnsi="Arial"/>
                <w:sz w:val="14"/>
                <w:szCs w:val="14"/>
                <w:color w:val="auto"/>
              </w:rPr>
              <w:t>Six Months</w:t>
            </w:r>
          </w:p>
        </w:tc>
        <w:tc>
          <w:tcPr>
            <w:tcW w:w="5280" w:type="dxa"/>
            <w:vAlign w:val="bottom"/>
          </w:tcPr>
          <w:p>
            <w:pPr>
              <w:jc w:val="right"/>
              <w:ind w:right="332"/>
              <w:spacing w:after="0"/>
              <w:rPr>
                <w:sz w:val="20"/>
                <w:szCs w:val="20"/>
                <w:color w:val="auto"/>
              </w:rPr>
            </w:pPr>
            <w:r>
              <w:rPr>
                <w:rFonts w:ascii="Arial" w:cs="Arial" w:eastAsia="Arial" w:hAnsi="Arial"/>
                <w:sz w:val="14"/>
                <w:szCs w:val="14"/>
                <w:b w:val="1"/>
                <w:bCs w:val="1"/>
                <w:color w:val="auto"/>
              </w:rPr>
              <w:t>$ 57</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w w:val="89"/>
              </w:rPr>
              <w:t>37</w:t>
            </w:r>
          </w:p>
        </w:tc>
      </w:tr>
    </w:tbl>
    <w:p>
      <w:pPr>
        <w:spacing w:after="0" w:line="114" w:lineRule="exact"/>
        <w:rPr>
          <w:sz w:val="20"/>
          <w:szCs w:val="20"/>
          <w:color w:val="auto"/>
        </w:rPr>
      </w:pPr>
    </w:p>
    <w:p>
      <w:pPr>
        <w:ind w:right="60" w:firstLine="228"/>
        <w:spacing w:after="0" w:line="335" w:lineRule="auto"/>
        <w:rPr>
          <w:sz w:val="20"/>
          <w:szCs w:val="20"/>
          <w:color w:val="auto"/>
        </w:rPr>
      </w:pPr>
      <w:r>
        <w:rPr>
          <w:rFonts w:ascii="Arial" w:cs="Arial" w:eastAsia="Arial" w:hAnsi="Arial"/>
          <w:sz w:val="15"/>
          <w:szCs w:val="15"/>
          <w:color w:val="auto"/>
        </w:rPr>
        <w:t>Schlumberger's joint venture agreement with Smith International, Inc. contains a provision under which either party to the joint venture may offer to sell their entire interest in the venture to the other party at a cash purchase price per percentage interest specified in an offer notice. If the offer to sell is not accepted, the offering party will be obligated to purchase the entire interest of the other party at the same price per percentage interest as the prices specified in the offer notice.</w:t>
      </w:r>
    </w:p>
    <w:p>
      <w:pPr>
        <w:spacing w:after="0" w:line="64"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Securitization</w:t>
      </w:r>
    </w:p>
    <w:p>
      <w:pPr>
        <w:spacing w:after="0" w:line="7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 wholly owned subsidiary of Schlumberger had an agreement to borrow up to $250 million and sell, on an ongoing basis, an undivided interest in its accounts receivable. The amount of receivables sold under this agreement totaled $470 million at December 31, 2005 (of which $34 million was drawn). Schlumberger terminated this agreement in the first quarter of 2006.</w:t>
      </w:r>
    </w:p>
    <w:p>
      <w:pPr>
        <w:spacing w:after="0" w:line="116"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summary of inventory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960" w:type="dxa"/>
            <w:vAlign w:val="bottom"/>
          </w:tcPr>
          <w:p>
            <w:pPr>
              <w:spacing w:after="0"/>
              <w:rPr>
                <w:sz w:val="20"/>
                <w:szCs w:val="20"/>
                <w:color w:val="auto"/>
              </w:rPr>
            </w:pPr>
            <w:r>
              <w:rPr>
                <w:rFonts w:ascii="Arial" w:cs="Arial" w:eastAsia="Arial" w:hAnsi="Arial"/>
                <w:sz w:val="14"/>
                <w:szCs w:val="14"/>
                <w:b w:val="1"/>
                <w:bCs w:val="1"/>
                <w:color w:val="auto"/>
              </w:rPr>
              <w:t>(Stated in millions)</w:t>
            </w: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June 30</w:t>
            </w:r>
          </w:p>
        </w:tc>
        <w:tc>
          <w:tcPr>
            <w:tcW w:w="4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85"/>
              </w:rPr>
              <w:t>Dec. 31</w:t>
            </w:r>
          </w:p>
        </w:tc>
        <w:tc>
          <w:tcPr>
            <w:tcW w:w="0" w:type="dxa"/>
            <w:vAlign w:val="bottom"/>
          </w:tcPr>
          <w:p>
            <w:pPr>
              <w:spacing w:after="0"/>
              <w:rPr>
                <w:sz w:val="1"/>
                <w:szCs w:val="1"/>
                <w:color w:val="auto"/>
              </w:rPr>
            </w:pPr>
          </w:p>
        </w:tc>
      </w:tr>
      <w:tr>
        <w:trPr>
          <w:trHeight w:val="123"/>
        </w:trPr>
        <w:tc>
          <w:tcPr>
            <w:tcW w:w="996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4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9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149"/>
        </w:trPr>
        <w:tc>
          <w:tcPr>
            <w:tcW w:w="9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Raw materials &amp; Field materials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1,116</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960" w:type="dxa"/>
            <w:vAlign w:val="bottom"/>
          </w:tcPr>
          <w:p>
            <w:pPr>
              <w:spacing w:after="0" w:line="149" w:lineRule="exact"/>
              <w:rPr>
                <w:sz w:val="20"/>
                <w:szCs w:val="20"/>
                <w:color w:val="auto"/>
              </w:rPr>
            </w:pPr>
            <w:r>
              <w:rPr>
                <w:rFonts w:ascii="Arial" w:cs="Arial" w:eastAsia="Arial" w:hAnsi="Arial"/>
                <w:sz w:val="14"/>
                <w:szCs w:val="14"/>
                <w:color w:val="auto"/>
              </w:rPr>
              <w:t>Work in process</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107</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Finished goods</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76</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99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9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9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1,299</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1,137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9960" w:type="dxa"/>
            <w:vAlign w:val="bottom"/>
          </w:tcPr>
          <w:p>
            <w:pPr>
              <w:spacing w:after="0"/>
              <w:rPr>
                <w:sz w:val="20"/>
                <w:szCs w:val="20"/>
                <w:color w:val="auto"/>
              </w:rPr>
            </w:pPr>
            <w:r>
              <w:rPr>
                <w:rFonts w:ascii="Arial" w:cs="Arial" w:eastAsia="Arial" w:hAnsi="Arial"/>
                <w:sz w:val="14"/>
                <w:szCs w:val="14"/>
                <w:color w:val="auto"/>
              </w:rPr>
              <w:t>Less reserves for obsolescence</w:t>
            </w: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141</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99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99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9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1,158</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1,010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99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-29210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2159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-29210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-29210</wp:posOffset>
            </wp:positionV>
            <wp:extent cx="2159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5"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Fixed Assets</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summary of fixed assets follows: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29"/>
        </w:trPr>
        <w:tc>
          <w:tcPr>
            <w:tcW w:w="3700" w:type="dxa"/>
            <w:vAlign w:val="bottom"/>
            <w:tcBorders>
              <w:top w:val="single" w:sz="8" w:color="auto"/>
            </w:tcBorders>
          </w:tcPr>
          <w:p>
            <w:pPr>
              <w:spacing w:after="0"/>
              <w:rPr>
                <w:sz w:val="11"/>
                <w:szCs w:val="11"/>
                <w:color w:val="auto"/>
              </w:rPr>
            </w:pPr>
          </w:p>
        </w:tc>
        <w:tc>
          <w:tcPr>
            <w:tcW w:w="62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2"/>
          </w:tcPr>
          <w:p>
            <w:pPr>
              <w:jc w:val="right"/>
              <w:ind w:right="20"/>
              <w:spacing w:after="0" w:line="129" w:lineRule="exact"/>
              <w:rPr>
                <w:sz w:val="20"/>
                <w:szCs w:val="20"/>
                <w:color w:val="auto"/>
              </w:rPr>
            </w:pPr>
            <w:r>
              <w:rPr>
                <w:rFonts w:ascii="Arial" w:cs="Arial" w:eastAsia="Arial" w:hAnsi="Arial"/>
                <w:sz w:val="14"/>
                <w:szCs w:val="14"/>
                <w:b w:val="1"/>
                <w:bCs w:val="1"/>
                <w:color w:val="auto"/>
                <w:w w:val="84"/>
              </w:rPr>
              <w:t>June 30</w:t>
            </w:r>
          </w:p>
        </w:tc>
        <w:tc>
          <w:tcPr>
            <w:tcW w:w="4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gridSpan w:val="2"/>
          </w:tcPr>
          <w:p>
            <w:pPr>
              <w:jc w:val="right"/>
              <w:ind w:right="20"/>
              <w:spacing w:after="0" w:line="129" w:lineRule="exact"/>
              <w:rPr>
                <w:sz w:val="20"/>
                <w:szCs w:val="20"/>
                <w:color w:val="auto"/>
              </w:rPr>
            </w:pPr>
            <w:r>
              <w:rPr>
                <w:rFonts w:ascii="Arial" w:cs="Arial" w:eastAsia="Arial" w:hAnsi="Arial"/>
                <w:sz w:val="14"/>
                <w:szCs w:val="14"/>
                <w:b w:val="1"/>
                <w:bCs w:val="1"/>
                <w:color w:val="auto"/>
                <w:w w:val="85"/>
              </w:rPr>
              <w:t>Dec. 31</w:t>
            </w:r>
          </w:p>
        </w:tc>
        <w:tc>
          <w:tcPr>
            <w:tcW w:w="0" w:type="dxa"/>
            <w:vAlign w:val="bottom"/>
          </w:tcPr>
          <w:p>
            <w:pPr>
              <w:spacing w:after="0"/>
              <w:rPr>
                <w:sz w:val="1"/>
                <w:szCs w:val="1"/>
                <w:color w:val="auto"/>
              </w:rPr>
            </w:pPr>
          </w:p>
        </w:tc>
      </w:tr>
      <w:tr>
        <w:trPr>
          <w:trHeight w:val="161"/>
        </w:trPr>
        <w:tc>
          <w:tcPr>
            <w:tcW w:w="370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149"/>
        </w:trPr>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plant &amp; equipment</w:t>
            </w:r>
          </w:p>
        </w:tc>
        <w:tc>
          <w:tcPr>
            <w:tcW w:w="6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12,763</w:t>
            </w:r>
          </w:p>
        </w:tc>
        <w:tc>
          <w:tcPr>
            <w:tcW w:w="5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11,805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700" w:type="dxa"/>
            <w:vAlign w:val="bottom"/>
          </w:tcPr>
          <w:p>
            <w:pPr>
              <w:spacing w:after="0"/>
              <w:rPr>
                <w:sz w:val="20"/>
                <w:szCs w:val="20"/>
                <w:color w:val="auto"/>
              </w:rPr>
            </w:pPr>
            <w:r>
              <w:rPr>
                <w:rFonts w:ascii="Arial" w:cs="Arial" w:eastAsia="Arial" w:hAnsi="Arial"/>
                <w:sz w:val="14"/>
                <w:szCs w:val="14"/>
                <w:color w:val="auto"/>
              </w:rPr>
              <w:t>Less: Accumulated depreciation</w:t>
            </w:r>
          </w:p>
        </w:tc>
        <w:tc>
          <w:tcPr>
            <w:tcW w:w="6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7,996</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7,604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3700" w:type="dxa"/>
            <w:vAlign w:val="bottom"/>
            <w:tcBorders>
              <w:bottom w:val="single" w:sz="8" w:color="auto"/>
            </w:tcBorders>
          </w:tcPr>
          <w:p>
            <w:pPr>
              <w:spacing w:after="0"/>
              <w:rPr>
                <w:sz w:val="7"/>
                <w:szCs w:val="7"/>
                <w:color w:val="auto"/>
              </w:rPr>
            </w:pPr>
          </w:p>
        </w:tc>
        <w:tc>
          <w:tcPr>
            <w:tcW w:w="62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3700" w:type="dxa"/>
            <w:vAlign w:val="bottom"/>
          </w:tcPr>
          <w:p>
            <w:pPr>
              <w:spacing w:after="0"/>
              <w:rPr>
                <w:sz w:val="8"/>
                <w:szCs w:val="8"/>
                <w:color w:val="auto"/>
              </w:rPr>
            </w:pPr>
          </w:p>
        </w:tc>
        <w:tc>
          <w:tcPr>
            <w:tcW w:w="6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700" w:type="dxa"/>
            <w:vAlign w:val="bottom"/>
            <w:shd w:val="clear" w:color="auto" w:fill="CCEEFF"/>
          </w:tcPr>
          <w:p>
            <w:pPr>
              <w:spacing w:after="0"/>
              <w:rPr>
                <w:sz w:val="12"/>
                <w:szCs w:val="12"/>
                <w:color w:val="auto"/>
              </w:rPr>
            </w:pPr>
          </w:p>
        </w:tc>
        <w:tc>
          <w:tcPr>
            <w:tcW w:w="6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4,767</w:t>
            </w:r>
          </w:p>
        </w:tc>
        <w:tc>
          <w:tcPr>
            <w:tcW w:w="5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700" w:type="dxa"/>
            <w:vAlign w:val="bottom"/>
          </w:tcPr>
          <w:p>
            <w:pPr>
              <w:spacing w:after="0"/>
              <w:rPr>
                <w:sz w:val="11"/>
                <w:szCs w:val="11"/>
                <w:color w:val="auto"/>
              </w:rPr>
            </w:pPr>
          </w:p>
        </w:tc>
        <w:tc>
          <w:tcPr>
            <w:tcW w:w="6220" w:type="dxa"/>
            <w:vAlign w:val="bottom"/>
            <w:vMerge w:val="restart"/>
          </w:tcPr>
          <w:p>
            <w:pPr>
              <w:jc w:val="right"/>
              <w:ind w:right="4072"/>
              <w:spacing w:after="0"/>
              <w:rPr>
                <w:sz w:val="20"/>
                <w:szCs w:val="20"/>
                <w:color w:val="auto"/>
              </w:rPr>
            </w:pPr>
            <w:r>
              <w:rPr>
                <w:rFonts w:ascii="Arial" w:cs="Arial" w:eastAsia="Arial" w:hAnsi="Arial"/>
                <w:sz w:val="14"/>
                <w:szCs w:val="14"/>
                <w:color w:val="auto"/>
              </w:rPr>
              <w:t>12</w:t>
            </w: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3700" w:type="dxa"/>
            <w:vAlign w:val="bottom"/>
          </w:tcPr>
          <w:p>
            <w:pPr>
              <w:spacing w:after="0"/>
              <w:rPr>
                <w:sz w:val="24"/>
                <w:szCs w:val="24"/>
                <w:color w:val="auto"/>
              </w:rPr>
            </w:pPr>
          </w:p>
        </w:tc>
        <w:tc>
          <w:tcPr>
            <w:tcW w:w="62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-292735</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-292735</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-292735</wp:posOffset>
            </wp:positionV>
            <wp:extent cx="2159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-292735</wp:posOffset>
            </wp:positionV>
            <wp:extent cx="33845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845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relating to fixed assets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60" w:type="dxa"/>
            <w:vAlign w:val="bottom"/>
          </w:tcPr>
          <w:p>
            <w:pPr>
              <w:spacing w:after="0"/>
              <w:rPr>
                <w:sz w:val="20"/>
                <w:szCs w:val="20"/>
                <w:color w:val="auto"/>
              </w:rPr>
            </w:pPr>
            <w:r>
              <w:rPr>
                <w:rFonts w:ascii="Arial" w:cs="Arial" w:eastAsia="Arial" w:hAnsi="Arial"/>
                <w:sz w:val="14"/>
                <w:szCs w:val="14"/>
                <w:b w:val="1"/>
                <w:bCs w:val="1"/>
                <w:color w:val="auto"/>
              </w:rPr>
              <w:t>(Stated in millions)</w:t>
            </w:r>
          </w:p>
        </w:tc>
        <w:tc>
          <w:tcPr>
            <w:tcW w:w="516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2006</w:t>
            </w: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136"/>
        </w:trPr>
        <w:tc>
          <w:tcPr>
            <w:tcW w:w="5660" w:type="dxa"/>
            <w:vAlign w:val="bottom"/>
          </w:tcPr>
          <w:p>
            <w:pPr>
              <w:spacing w:after="0"/>
              <w:rPr>
                <w:sz w:val="11"/>
                <w:szCs w:val="11"/>
                <w:color w:val="auto"/>
              </w:rPr>
            </w:pPr>
          </w:p>
        </w:tc>
        <w:tc>
          <w:tcPr>
            <w:tcW w:w="516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Second Quarter</w:t>
            </w:r>
          </w:p>
        </w:tc>
        <w:tc>
          <w:tcPr>
            <w:tcW w:w="516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b w:val="1"/>
                <w:bCs w:val="1"/>
                <w:color w:val="auto"/>
              </w:rPr>
              <w:t>$306</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174"/>
        </w:trPr>
        <w:tc>
          <w:tcPr>
            <w:tcW w:w="5660" w:type="dxa"/>
            <w:vAlign w:val="bottom"/>
          </w:tcPr>
          <w:p>
            <w:pPr>
              <w:spacing w:after="0"/>
              <w:rPr>
                <w:sz w:val="20"/>
                <w:szCs w:val="20"/>
                <w:color w:val="auto"/>
              </w:rPr>
            </w:pPr>
            <w:r>
              <w:rPr>
                <w:rFonts w:ascii="Arial" w:cs="Arial" w:eastAsia="Arial" w:hAnsi="Arial"/>
                <w:sz w:val="14"/>
                <w:szCs w:val="14"/>
                <w:color w:val="auto"/>
              </w:rPr>
              <w:t>Six Months</w:t>
            </w:r>
          </w:p>
        </w:tc>
        <w:tc>
          <w:tcPr>
            <w:tcW w:w="5160" w:type="dxa"/>
            <w:vAlign w:val="bottom"/>
          </w:tcPr>
          <w:p>
            <w:pPr>
              <w:jc w:val="right"/>
              <w:ind w:right="272"/>
              <w:spacing w:after="0"/>
              <w:rPr>
                <w:sz w:val="20"/>
                <w:szCs w:val="20"/>
                <w:color w:val="auto"/>
              </w:rPr>
            </w:pPr>
            <w:r>
              <w:rPr>
                <w:rFonts w:ascii="Arial" w:cs="Arial" w:eastAsia="Arial" w:hAnsi="Arial"/>
                <w:sz w:val="14"/>
                <w:szCs w:val="14"/>
                <w:b w:val="1"/>
                <w:bCs w:val="1"/>
                <w:color w:val="auto"/>
              </w:rPr>
              <w:t>$591</w:t>
            </w:r>
          </w:p>
        </w:tc>
        <w:tc>
          <w:tcPr>
            <w:tcW w:w="600" w:type="dxa"/>
            <w:vAlign w:val="bottom"/>
          </w:tcPr>
          <w:p>
            <w:pPr>
              <w:jc w:val="right"/>
              <w:spacing w:after="0"/>
              <w:rPr>
                <w:sz w:val="20"/>
                <w:szCs w:val="20"/>
                <w:color w:val="auto"/>
              </w:rPr>
            </w:pPr>
            <w:r>
              <w:rPr>
                <w:rFonts w:ascii="Arial" w:cs="Arial" w:eastAsia="Arial" w:hAnsi="Arial"/>
                <w:sz w:val="14"/>
                <w:szCs w:val="14"/>
                <w:color w:val="auto"/>
              </w:rPr>
              <w:t>$519</w:t>
            </w:r>
          </w:p>
        </w:tc>
        <w:tc>
          <w:tcPr>
            <w:tcW w:w="0" w:type="dxa"/>
            <w:vAlign w:val="bottom"/>
          </w:tcPr>
          <w:p>
            <w:pPr>
              <w:spacing w:after="0"/>
              <w:rPr>
                <w:sz w:val="1"/>
                <w:szCs w:val="1"/>
                <w:color w:val="auto"/>
              </w:rPr>
            </w:pPr>
          </w:p>
        </w:tc>
      </w:tr>
    </w:tbl>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1100" w:type="dxa"/>
            <w:vAlign w:val="bottom"/>
            <w:gridSpan w:val="2"/>
          </w:tcPr>
          <w:p>
            <w:pPr>
              <w:spacing w:after="0"/>
              <w:rPr>
                <w:sz w:val="20"/>
                <w:szCs w:val="20"/>
                <w:color w:val="auto"/>
              </w:rPr>
            </w:pPr>
            <w:r>
              <w:rPr>
                <w:rFonts w:ascii="Arial" w:cs="Arial" w:eastAsia="Arial" w:hAnsi="Arial"/>
                <w:sz w:val="18"/>
                <w:szCs w:val="18"/>
                <w:b w:val="1"/>
                <w:bCs w:val="1"/>
                <w:color w:val="auto"/>
              </w:rPr>
              <w:t>10.  Multiclient Seismic Data</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1100" w:type="dxa"/>
            <w:vAlign w:val="bottom"/>
            <w:gridSpan w:val="2"/>
          </w:tcPr>
          <w:p>
            <w:pPr>
              <w:spacing w:after="0"/>
              <w:rPr>
                <w:sz w:val="20"/>
                <w:szCs w:val="20"/>
                <w:color w:val="auto"/>
              </w:rPr>
            </w:pPr>
            <w:r>
              <w:rPr>
                <w:rFonts w:ascii="Arial" w:cs="Arial" w:eastAsia="Arial" w:hAnsi="Arial"/>
                <w:sz w:val="18"/>
                <w:szCs w:val="18"/>
                <w:color w:val="auto"/>
              </w:rPr>
              <w:t>The change in the carrying amount of multiclient seismic data is as follows:</w:t>
            </w: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9"/>
        </w:trPr>
        <w:tc>
          <w:tcPr>
            <w:tcW w:w="11100" w:type="dxa"/>
            <w:vAlign w:val="bottom"/>
            <w:gridSpan w:val="2"/>
          </w:tcPr>
          <w:p>
            <w:pPr>
              <w:spacing w:after="0"/>
              <w:rPr>
                <w:sz w:val="20"/>
                <w:szCs w:val="20"/>
                <w:color w:val="auto"/>
              </w:rPr>
            </w:pPr>
            <w:r>
              <w:rPr>
                <w:rFonts w:ascii="Arial" w:cs="Arial" w:eastAsia="Arial" w:hAnsi="Arial"/>
                <w:sz w:val="14"/>
                <w:szCs w:val="14"/>
                <w:b w:val="1"/>
                <w:bCs w:val="1"/>
                <w:color w:val="auto"/>
              </w:rPr>
              <w:t>(Stated in millions)</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0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2005</w:t>
            </w:r>
          </w:p>
        </w:tc>
        <w:tc>
          <w:tcPr>
            <w:tcW w:w="2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$222</w:t>
            </w:r>
          </w:p>
        </w:tc>
        <w:tc>
          <w:tcPr>
            <w:tcW w:w="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80" w:type="dxa"/>
            <w:vAlign w:val="bottom"/>
          </w:tcPr>
          <w:p>
            <w:pPr>
              <w:spacing w:after="0" w:line="149" w:lineRule="exact"/>
              <w:rPr>
                <w:sz w:val="20"/>
                <w:szCs w:val="20"/>
                <w:color w:val="auto"/>
              </w:rPr>
            </w:pPr>
            <w:r>
              <w:rPr>
                <w:rFonts w:ascii="Arial" w:cs="Arial" w:eastAsia="Arial" w:hAnsi="Arial"/>
                <w:sz w:val="14"/>
                <w:szCs w:val="14"/>
                <w:color w:val="auto"/>
              </w:rPr>
              <w:t>Capitalized in period</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70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Fair value adjusted (see Note 5)</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80" w:type="dxa"/>
            <w:vAlign w:val="bottom"/>
          </w:tcPr>
          <w:p>
            <w:pPr>
              <w:spacing w:after="0"/>
              <w:rPr>
                <w:sz w:val="20"/>
                <w:szCs w:val="20"/>
                <w:color w:val="auto"/>
              </w:rPr>
            </w:pPr>
            <w:r>
              <w:rPr>
                <w:rFonts w:ascii="Arial" w:cs="Arial" w:eastAsia="Arial" w:hAnsi="Arial"/>
                <w:sz w:val="14"/>
                <w:szCs w:val="14"/>
                <w:color w:val="auto"/>
              </w:rPr>
              <w:t>Charged to cost of goods sold &amp; services</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10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0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June 30, 2006</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$243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0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7044055</wp:posOffset>
            </wp:positionH>
            <wp:positionV relativeFrom="paragraph">
              <wp:posOffset>-29210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-29210</wp:posOffset>
            </wp:positionV>
            <wp:extent cx="2159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11.  Goodwill</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980" w:type="dxa"/>
            <w:vAlign w:val="bottom"/>
            <w:gridSpan w:val="2"/>
          </w:tcPr>
          <w:p>
            <w:pPr>
              <w:spacing w:after="0"/>
              <w:rPr>
                <w:sz w:val="20"/>
                <w:szCs w:val="20"/>
                <w:color w:val="auto"/>
              </w:rPr>
            </w:pPr>
            <w:r>
              <w:rPr>
                <w:rFonts w:ascii="Arial" w:cs="Arial" w:eastAsia="Arial" w:hAnsi="Arial"/>
                <w:sz w:val="18"/>
                <w:szCs w:val="18"/>
                <w:color w:val="auto"/>
                <w:w w:val="90"/>
              </w:rPr>
              <w:t>The changes in the carrying amount of goodwill by business segment for the six months ended June 30, 2006 are as follows:</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9"/>
        </w:trPr>
        <w:tc>
          <w:tcPr>
            <w:tcW w:w="8980" w:type="dxa"/>
            <w:vAlign w:val="bottom"/>
            <w:gridSpan w:val="2"/>
          </w:tcPr>
          <w:p>
            <w:pPr>
              <w:spacing w:after="0"/>
              <w:rPr>
                <w:sz w:val="20"/>
                <w:szCs w:val="20"/>
                <w:color w:val="auto"/>
              </w:rPr>
            </w:pPr>
            <w:r>
              <w:rPr>
                <w:rFonts w:ascii="Arial" w:cs="Arial" w:eastAsia="Arial" w:hAnsi="Arial"/>
                <w:sz w:val="14"/>
                <w:szCs w:val="14"/>
                <w:b w:val="1"/>
                <w:bCs w:val="1"/>
                <w:color w:val="auto"/>
              </w:rPr>
              <w:t>(Stated in millions)</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9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4"/>
          </w:tcPr>
          <w:p>
            <w:pPr>
              <w:ind w:left="40"/>
              <w:spacing w:after="0" w:line="129" w:lineRule="exact"/>
              <w:rPr>
                <w:sz w:val="20"/>
                <w:szCs w:val="20"/>
                <w:color w:val="auto"/>
              </w:rPr>
            </w:pPr>
            <w:r>
              <w:rPr>
                <w:rFonts w:ascii="Arial" w:cs="Arial" w:eastAsia="Arial" w:hAnsi="Arial"/>
                <w:sz w:val="14"/>
                <w:szCs w:val="14"/>
                <w:b w:val="1"/>
                <w:bCs w:val="1"/>
                <w:color w:val="auto"/>
              </w:rPr>
              <w:t>Oilfield</w:t>
            </w:r>
          </w:p>
        </w:tc>
        <w:tc>
          <w:tcPr>
            <w:tcW w:w="5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86"/>
              </w:rPr>
              <w:t>Western</w:t>
            </w:r>
          </w:p>
        </w:tc>
        <w:tc>
          <w:tcPr>
            <w:tcW w:w="5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Services</w:t>
            </w:r>
          </w:p>
        </w:tc>
        <w:tc>
          <w:tcPr>
            <w:tcW w:w="140" w:type="dxa"/>
            <w:vAlign w:val="bottom"/>
          </w:tcPr>
          <w:p>
            <w:pPr>
              <w:spacing w:after="0"/>
              <w:rPr>
                <w:sz w:val="14"/>
                <w:szCs w:val="14"/>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1"/>
              </w:rPr>
              <w:t>Geco</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2005</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1"/>
              </w:rPr>
              <w:t>2,676</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w:t>
            </w:r>
          </w:p>
        </w:tc>
        <w:tc>
          <w:tcPr>
            <w:tcW w:w="2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tcPr>
          <w:p>
            <w:pPr>
              <w:spacing w:after="0" w:line="149" w:lineRule="exact"/>
              <w:rPr>
                <w:sz w:val="20"/>
                <w:szCs w:val="20"/>
                <w:color w:val="auto"/>
              </w:rPr>
            </w:pPr>
            <w:r>
              <w:rPr>
                <w:rFonts w:ascii="Arial" w:cs="Arial" w:eastAsia="Arial" w:hAnsi="Arial"/>
                <w:sz w:val="14"/>
                <w:szCs w:val="14"/>
                <w:color w:val="auto"/>
              </w:rPr>
              <w:t>Acquisition of WesternGeco minority interest</w:t>
            </w:r>
          </w:p>
        </w:tc>
        <w:tc>
          <w:tcPr>
            <w:tcW w:w="120" w:type="dxa"/>
            <w:vAlign w:val="bottom"/>
          </w:tcPr>
          <w:p>
            <w:pPr>
              <w:spacing w:after="0"/>
              <w:rPr>
                <w:sz w:val="12"/>
                <w:szCs w:val="12"/>
                <w:color w:val="auto"/>
              </w:rPr>
            </w:pPr>
          </w:p>
        </w:tc>
        <w:tc>
          <w:tcPr>
            <w:tcW w:w="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625</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683</w:t>
            </w:r>
          </w:p>
        </w:tc>
        <w:tc>
          <w:tcPr>
            <w:tcW w:w="20" w:type="dxa"/>
            <w:vAlign w:val="bottom"/>
          </w:tcPr>
          <w:p>
            <w:pPr>
              <w:spacing w:after="0"/>
              <w:rPr>
                <w:sz w:val="12"/>
                <w:szCs w:val="12"/>
                <w:color w:val="auto"/>
              </w:rPr>
            </w:pPr>
          </w:p>
        </w:tc>
        <w:tc>
          <w:tcPr>
            <w:tcW w:w="9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1,308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 of PetroAlliance minority interest</w:t>
            </w:r>
          </w:p>
        </w:tc>
        <w:tc>
          <w:tcPr>
            <w:tcW w:w="1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386</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tcPr>
          <w:p>
            <w:pPr>
              <w:spacing w:after="0" w:line="149" w:lineRule="exact"/>
              <w:rPr>
                <w:sz w:val="20"/>
                <w:szCs w:val="20"/>
                <w:color w:val="auto"/>
              </w:rPr>
            </w:pPr>
            <w:r>
              <w:rPr>
                <w:rFonts w:ascii="Arial" w:cs="Arial" w:eastAsia="Arial" w:hAnsi="Arial"/>
                <w:sz w:val="14"/>
                <w:szCs w:val="14"/>
                <w:color w:val="auto"/>
              </w:rPr>
              <w:t>Other additions</w:t>
            </w:r>
          </w:p>
        </w:tc>
        <w:tc>
          <w:tcPr>
            <w:tcW w:w="120" w:type="dxa"/>
            <w:vAlign w:val="bottom"/>
          </w:tcPr>
          <w:p>
            <w:pPr>
              <w:spacing w:after="0"/>
              <w:rPr>
                <w:sz w:val="12"/>
                <w:szCs w:val="12"/>
                <w:color w:val="auto"/>
              </w:rPr>
            </w:pPr>
          </w:p>
        </w:tc>
        <w:tc>
          <w:tcPr>
            <w:tcW w:w="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113</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Impact of change in exchange rates</w:t>
            </w:r>
          </w:p>
        </w:tc>
        <w:tc>
          <w:tcPr>
            <w:tcW w:w="1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June 30, 2006</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1"/>
              </w:rPr>
              <w:t>3,807</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929</w:t>
            </w:r>
          </w:p>
        </w:tc>
        <w:tc>
          <w:tcPr>
            <w:tcW w:w="2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$4,736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9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-29210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2159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-29210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2159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-29210</wp:posOffset>
            </wp:positionV>
            <wp:extent cx="2444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44475" cy="29845"/>
                    </a:xfrm>
                    <a:prstGeom prst="rect">
                      <a:avLst/>
                    </a:prstGeom>
                    <a:noFill/>
                  </pic:spPr>
                </pic:pic>
              </a:graphicData>
            </a:graphic>
          </wp:anchor>
        </w:drawing>
      </w:r>
    </w:p>
    <w:p>
      <w:pPr>
        <w:spacing w:after="0" w:line="21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Intangible Assets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intangible assets follows: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29"/>
        </w:trPr>
        <w:tc>
          <w:tcPr>
            <w:tcW w:w="99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June 30</w:t>
            </w:r>
          </w:p>
        </w:tc>
        <w:tc>
          <w:tcPr>
            <w:tcW w:w="46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w w:val="85"/>
              </w:rPr>
              <w:t>Dec. 31</w:t>
            </w:r>
          </w:p>
        </w:tc>
        <w:tc>
          <w:tcPr>
            <w:tcW w:w="0" w:type="dxa"/>
            <w:vAlign w:val="bottom"/>
          </w:tcPr>
          <w:p>
            <w:pPr>
              <w:spacing w:after="0"/>
              <w:rPr>
                <w:sz w:val="1"/>
                <w:szCs w:val="1"/>
                <w:color w:val="auto"/>
              </w:rPr>
            </w:pPr>
          </w:p>
        </w:tc>
      </w:tr>
      <w:tr>
        <w:trPr>
          <w:trHeight w:val="161"/>
        </w:trPr>
        <w:tc>
          <w:tcPr>
            <w:tcW w:w="9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96"/>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book value</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1,243</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9960" w:type="dxa"/>
            <w:vAlign w:val="bottom"/>
          </w:tcPr>
          <w:p>
            <w:pPr>
              <w:spacing w:after="0"/>
              <w:rPr>
                <w:sz w:val="20"/>
                <w:szCs w:val="20"/>
                <w:color w:val="auto"/>
              </w:rPr>
            </w:pPr>
            <w:r>
              <w:rPr>
                <w:rFonts w:ascii="Arial" w:cs="Arial" w:eastAsia="Arial" w:hAnsi="Arial"/>
                <w:sz w:val="14"/>
                <w:szCs w:val="14"/>
                <w:color w:val="auto"/>
              </w:rPr>
              <w:t>Less: Accumulated amortization</w:t>
            </w:r>
          </w:p>
        </w:tc>
        <w:tc>
          <w:tcPr>
            <w:tcW w:w="1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360</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310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99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9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9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883</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99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-29210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2159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-29210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7035165</wp:posOffset>
            </wp:positionH>
            <wp:positionV relativeFrom="paragraph">
              <wp:posOffset>-29210</wp:posOffset>
            </wp:positionV>
            <wp:extent cx="2159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expense charged to income was as follows: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3240" w:type="dxa"/>
            <w:vAlign w:val="bottom"/>
            <w:tcBorders>
              <w:top w:val="single" w:sz="8" w:color="auto"/>
            </w:tcBorders>
          </w:tcPr>
          <w:p>
            <w:pPr>
              <w:spacing w:after="0"/>
              <w:rPr>
                <w:sz w:val="12"/>
                <w:szCs w:val="12"/>
                <w:color w:val="auto"/>
              </w:rPr>
            </w:pPr>
          </w:p>
        </w:tc>
        <w:tc>
          <w:tcPr>
            <w:tcW w:w="7520" w:type="dxa"/>
            <w:vAlign w:val="bottom"/>
            <w:tcBorders>
              <w:top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2005</w:t>
            </w:r>
          </w:p>
        </w:tc>
      </w:tr>
      <w:tr>
        <w:trPr>
          <w:trHeight w:val="149"/>
        </w:trPr>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Second Quarter</w:t>
            </w:r>
          </w:p>
        </w:tc>
        <w:tc>
          <w:tcPr>
            <w:tcW w:w="752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b w:val="1"/>
                <w:bCs w:val="1"/>
                <w:color w:val="auto"/>
              </w:rPr>
              <w:t>$ 27</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18</w:t>
            </w:r>
          </w:p>
        </w:tc>
      </w:tr>
      <w:tr>
        <w:trPr>
          <w:trHeight w:val="174"/>
        </w:trPr>
        <w:tc>
          <w:tcPr>
            <w:tcW w:w="3240" w:type="dxa"/>
            <w:vAlign w:val="bottom"/>
          </w:tcPr>
          <w:p>
            <w:pPr>
              <w:spacing w:after="0"/>
              <w:rPr>
                <w:sz w:val="20"/>
                <w:szCs w:val="20"/>
                <w:color w:val="auto"/>
              </w:rPr>
            </w:pPr>
            <w:r>
              <w:rPr>
                <w:rFonts w:ascii="Arial" w:cs="Arial" w:eastAsia="Arial" w:hAnsi="Arial"/>
                <w:sz w:val="14"/>
                <w:szCs w:val="14"/>
                <w:color w:val="auto"/>
              </w:rPr>
              <w:t>Six Months</w:t>
            </w:r>
          </w:p>
        </w:tc>
        <w:tc>
          <w:tcPr>
            <w:tcW w:w="7520" w:type="dxa"/>
            <w:vAlign w:val="bottom"/>
          </w:tcPr>
          <w:p>
            <w:pPr>
              <w:jc w:val="right"/>
              <w:ind w:right="332"/>
              <w:spacing w:after="0"/>
              <w:rPr>
                <w:sz w:val="20"/>
                <w:szCs w:val="20"/>
                <w:color w:val="auto"/>
              </w:rPr>
            </w:pPr>
            <w:r>
              <w:rPr>
                <w:rFonts w:ascii="Arial" w:cs="Arial" w:eastAsia="Arial" w:hAnsi="Arial"/>
                <w:sz w:val="14"/>
                <w:szCs w:val="14"/>
                <w:b w:val="1"/>
                <w:bCs w:val="1"/>
                <w:color w:val="auto"/>
              </w:rPr>
              <w:t>$ 48</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w w:val="89"/>
              </w:rPr>
              <w:t>38</w:t>
            </w:r>
          </w:p>
        </w:tc>
      </w:tr>
      <w:tr>
        <w:trPr>
          <w:trHeight w:val="284"/>
        </w:trPr>
        <w:tc>
          <w:tcPr>
            <w:tcW w:w="3240" w:type="dxa"/>
            <w:vAlign w:val="bottom"/>
          </w:tcPr>
          <w:p>
            <w:pPr>
              <w:spacing w:after="0"/>
              <w:rPr>
                <w:sz w:val="24"/>
                <w:szCs w:val="24"/>
                <w:color w:val="auto"/>
              </w:rPr>
            </w:pPr>
          </w:p>
        </w:tc>
        <w:tc>
          <w:tcPr>
            <w:tcW w:w="7520" w:type="dxa"/>
            <w:vAlign w:val="bottom"/>
          </w:tcPr>
          <w:p>
            <w:pPr>
              <w:jc w:val="right"/>
              <w:ind w:right="4912"/>
              <w:spacing w:after="0"/>
              <w:rPr>
                <w:sz w:val="20"/>
                <w:szCs w:val="20"/>
                <w:color w:val="auto"/>
              </w:rPr>
            </w:pPr>
            <w:r>
              <w:rPr>
                <w:rFonts w:ascii="Arial" w:cs="Arial" w:eastAsia="Arial" w:hAnsi="Arial"/>
                <w:sz w:val="14"/>
                <w:szCs w:val="14"/>
                <w:color w:val="auto"/>
              </w:rPr>
              <w:t>13</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June 30, 2006, the gross book value, accumulated amortization and amortization periods of intangible assets were as follows: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29"/>
        </w:trPr>
        <w:tc>
          <w:tcPr>
            <w:tcW w:w="69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Gross</w:t>
            </w:r>
          </w:p>
        </w:tc>
        <w:tc>
          <w:tcPr>
            <w:tcW w:w="7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5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Amortization</w:t>
            </w:r>
          </w:p>
        </w:tc>
      </w:tr>
      <w:tr>
        <w:trPr>
          <w:trHeight w:val="161"/>
        </w:trPr>
        <w:tc>
          <w:tcPr>
            <w:tcW w:w="6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3"/>
              </w:rPr>
              <w:t>Book Value</w:t>
            </w:r>
          </w:p>
        </w:tc>
        <w:tc>
          <w:tcPr>
            <w:tcW w:w="7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Amortization</w:t>
            </w:r>
          </w:p>
        </w:tc>
        <w:tc>
          <w:tcPr>
            <w:tcW w:w="9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Periods</w:t>
            </w:r>
          </w:p>
        </w:tc>
      </w:tr>
      <w:tr>
        <w:trPr>
          <w:trHeight w:val="149"/>
        </w:trPr>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840" w:type="dxa"/>
            <w:vAlign w:val="bottom"/>
            <w:gridSpan w:val="2"/>
            <w:shd w:val="clear" w:color="auto" w:fill="CCEEFF"/>
          </w:tcPr>
          <w:p>
            <w:pPr>
              <w:ind w:left="7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427</w:t>
            </w:r>
          </w:p>
        </w:tc>
        <w:tc>
          <w:tcPr>
            <w:tcW w:w="1120" w:type="dxa"/>
            <w:vAlign w:val="bottom"/>
            <w:gridSpan w:val="2"/>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 10 years</w:t>
            </w:r>
          </w:p>
        </w:tc>
      </w:tr>
      <w:tr>
        <w:trPr>
          <w:trHeight w:val="149"/>
        </w:trPr>
        <w:tc>
          <w:tcPr>
            <w:tcW w:w="6940" w:type="dxa"/>
            <w:vAlign w:val="bottom"/>
          </w:tcPr>
          <w:p>
            <w:pPr>
              <w:spacing w:after="0" w:line="149" w:lineRule="exact"/>
              <w:rPr>
                <w:sz w:val="20"/>
                <w:szCs w:val="20"/>
                <w:color w:val="auto"/>
              </w:rPr>
            </w:pPr>
            <w:r>
              <w:rPr>
                <w:rFonts w:ascii="Arial" w:cs="Arial" w:eastAsia="Arial" w:hAnsi="Arial"/>
                <w:sz w:val="14"/>
                <w:szCs w:val="14"/>
                <w:color w:val="auto"/>
              </w:rPr>
              <w:t>Technology</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499</w:t>
            </w: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112</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5"/>
              </w:rPr>
              <w:t>– 15 years</w:t>
            </w:r>
          </w:p>
        </w:tc>
      </w:tr>
      <w:tr>
        <w:trPr>
          <w:trHeight w:val="149"/>
        </w:trPr>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Customer Relationships</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w:t>
            </w: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 20 years</w:t>
            </w:r>
          </w:p>
        </w:tc>
      </w:tr>
      <w:tr>
        <w:trPr>
          <w:trHeight w:val="172"/>
        </w:trPr>
        <w:tc>
          <w:tcPr>
            <w:tcW w:w="6940" w:type="dxa"/>
            <w:vAlign w:val="bottom"/>
          </w:tcPr>
          <w:p>
            <w:pPr>
              <w:spacing w:after="0"/>
              <w:rPr>
                <w:sz w:val="20"/>
                <w:szCs w:val="20"/>
                <w:color w:val="auto"/>
              </w:rPr>
            </w:pPr>
            <w:r>
              <w:rPr>
                <w:rFonts w:ascii="Arial" w:cs="Arial" w:eastAsia="Arial" w:hAnsi="Arial"/>
                <w:sz w:val="14"/>
                <w:szCs w:val="14"/>
                <w:color w:val="auto"/>
              </w:rPr>
              <w:t>Other</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73</w:t>
            </w: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30</w:t>
            </w: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c>
          <w:tcPr>
            <w:tcW w:w="580" w:type="dxa"/>
            <w:vAlign w:val="bottom"/>
          </w:tcPr>
          <w:p>
            <w:pPr>
              <w:jc w:val="right"/>
              <w:spacing w:after="0"/>
              <w:rPr>
                <w:sz w:val="20"/>
                <w:szCs w:val="20"/>
                <w:color w:val="auto"/>
              </w:rPr>
            </w:pPr>
            <w:r>
              <w:rPr>
                <w:rFonts w:ascii="Arial" w:cs="Arial" w:eastAsia="Arial" w:hAnsi="Arial"/>
                <w:sz w:val="14"/>
                <w:szCs w:val="14"/>
                <w:color w:val="auto"/>
                <w:w w:val="85"/>
              </w:rPr>
              <w:t>– 15 years</w:t>
            </w:r>
          </w:p>
        </w:tc>
      </w:tr>
      <w:tr>
        <w:trPr>
          <w:trHeight w:val="84"/>
        </w:trPr>
        <w:tc>
          <w:tcPr>
            <w:tcW w:w="694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580" w:type="dxa"/>
            <w:vAlign w:val="bottom"/>
          </w:tcPr>
          <w:p>
            <w:pPr>
              <w:spacing w:after="0"/>
              <w:rPr>
                <w:sz w:val="7"/>
                <w:szCs w:val="7"/>
                <w:color w:val="auto"/>
              </w:rPr>
            </w:pPr>
          </w:p>
        </w:tc>
      </w:tr>
      <w:tr>
        <w:trPr>
          <w:trHeight w:val="102"/>
        </w:trPr>
        <w:tc>
          <w:tcPr>
            <w:tcW w:w="6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96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149"/>
        </w:trPr>
        <w:tc>
          <w:tcPr>
            <w:tcW w:w="69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7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1,243</w:t>
            </w:r>
          </w:p>
        </w:tc>
        <w:tc>
          <w:tcPr>
            <w:tcW w:w="1120" w:type="dxa"/>
            <w:vAlign w:val="bottom"/>
            <w:gridSpan w:val="2"/>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w:t>
            </w:r>
          </w:p>
        </w:tc>
        <w:tc>
          <w:tcPr>
            <w:tcW w:w="9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132"/>
        </w:trPr>
        <w:tc>
          <w:tcPr>
            <w:tcW w:w="6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5294630</wp:posOffset>
            </wp:positionH>
            <wp:positionV relativeFrom="paragraph">
              <wp:posOffset>-29210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-29210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weighted average remaining amortization period for all intangible assets based on the net book value at June 30, 2006 is approximately 8 years.</w:t>
      </w:r>
    </w:p>
    <w:p>
      <w:pPr>
        <w:spacing w:after="0" w:line="181" w:lineRule="exact"/>
        <w:rPr>
          <w:sz w:val="20"/>
          <w:szCs w:val="20"/>
          <w:color w:val="auto"/>
        </w:rPr>
      </w:pPr>
    </w:p>
    <w:p>
      <w:pPr>
        <w:ind w:right="160" w:firstLine="228"/>
        <w:spacing w:after="0" w:line="332" w:lineRule="auto"/>
        <w:rPr>
          <w:sz w:val="20"/>
          <w:szCs w:val="20"/>
          <w:color w:val="auto"/>
        </w:rPr>
      </w:pPr>
      <w:r>
        <w:rPr>
          <w:rFonts w:ascii="Arial" w:cs="Arial" w:eastAsia="Arial" w:hAnsi="Arial"/>
          <w:sz w:val="16"/>
          <w:szCs w:val="16"/>
          <w:color w:val="auto"/>
        </w:rPr>
        <w:t>Based on the net book value of intangible assets at June 30, 2006, amortization charged to income for the subsequent five years is estimated to be: remainder of 2006 – $64 million, 2007 – $124 million, 2008 – $102 million, 2009 – $73 million, 2010 – $61 million and 2011 – $59 million.</w:t>
      </w:r>
    </w:p>
    <w:p>
      <w:pPr>
        <w:spacing w:after="0" w:line="61" w:lineRule="exact"/>
        <w:rPr>
          <w:sz w:val="20"/>
          <w:szCs w:val="20"/>
          <w:color w:val="auto"/>
        </w:rPr>
      </w:pPr>
    </w:p>
    <w:p>
      <w:pPr>
        <w:ind w:left="440" w:hanging="432"/>
        <w:spacing w:after="0"/>
        <w:tabs>
          <w:tab w:leader="none" w:pos="4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74"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 xml:space="preserve">Schlumberger historically had two types of stock-based compensation programs: stock options and a discounted stock purchase plan (“DSPP”). As described below, in the second quarter of 2006, Schlumberger implemented a restricted stock and restricted stock unit program (collectively referred to as “restricted stock”). Effective January 1, 2003, Schlumberger adopted the fair value recognition provisions of SFAS Nos. 123 and 148. Accordingly, Schlumberger began recording stock option and DSPP expense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xml:space="preserve"> in the third quarter of 2003 on a prospective basis for grants after January 1, 2003.</w:t>
      </w:r>
    </w:p>
    <w:p>
      <w:pPr>
        <w:ind w:right="60" w:firstLine="228"/>
        <w:spacing w:after="0" w:line="281" w:lineRule="auto"/>
        <w:rPr>
          <w:sz w:val="20"/>
          <w:szCs w:val="20"/>
          <w:color w:val="auto"/>
        </w:rPr>
      </w:pPr>
      <w:r>
        <w:rPr>
          <w:rFonts w:ascii="Arial" w:cs="Arial" w:eastAsia="Arial" w:hAnsi="Arial"/>
          <w:sz w:val="16"/>
          <w:szCs w:val="16"/>
          <w:color w:val="auto"/>
        </w:rPr>
        <w:t xml:space="preserve">In December 2004, the Financial Accounting Standards Board issued SFAS 123R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The standard amends SFAS 123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Stock Based Compensation</w:t>
      </w:r>
      <w:r>
        <w:rPr>
          <w:rFonts w:ascii="Arial" w:cs="Arial" w:eastAsia="Arial" w:hAnsi="Arial"/>
          <w:sz w:val="16"/>
          <w:szCs w:val="16"/>
          <w:color w:val="auto"/>
        </w:rPr>
        <w:t>) and concludes that services received from employees in exchange for stock-based compensation results in a cost to the employer that</w:t>
      </w:r>
      <w:r>
        <w:rPr>
          <w:rFonts w:ascii="Arial" w:cs="Arial" w:eastAsia="Arial" w:hAnsi="Arial"/>
          <w:sz w:val="16"/>
          <w:szCs w:val="16"/>
          <w:i w:val="1"/>
          <w:iCs w:val="1"/>
          <w:color w:val="auto"/>
        </w:rPr>
        <w:t xml:space="preserve"> </w:t>
      </w:r>
      <w:r>
        <w:rPr>
          <w:rFonts w:ascii="Arial" w:cs="Arial" w:eastAsia="Arial" w:hAnsi="Arial"/>
          <w:sz w:val="16"/>
          <w:szCs w:val="16"/>
          <w:color w:val="auto"/>
        </w:rPr>
        <w:t>must be recognized in the financial statements. The cost of such awards should be measured at fair value at the date of grant.</w:t>
      </w:r>
    </w:p>
    <w:p>
      <w:pPr>
        <w:spacing w:after="0" w:line="2" w:lineRule="exact"/>
        <w:rPr>
          <w:sz w:val="20"/>
          <w:szCs w:val="20"/>
          <w:color w:val="auto"/>
        </w:rPr>
      </w:pPr>
    </w:p>
    <w:p>
      <w:pPr>
        <w:ind w:right="20" w:firstLine="228"/>
        <w:spacing w:after="0" w:line="292" w:lineRule="auto"/>
        <w:rPr>
          <w:sz w:val="20"/>
          <w:szCs w:val="20"/>
          <w:color w:val="auto"/>
        </w:rPr>
      </w:pPr>
      <w:r>
        <w:rPr>
          <w:rFonts w:ascii="Arial" w:cs="Arial" w:eastAsia="Arial" w:hAnsi="Arial"/>
          <w:sz w:val="16"/>
          <w:szCs w:val="16"/>
          <w:color w:val="auto"/>
        </w:rPr>
        <w:t>Schlumberger adopted SFAS 123R effective January 1, 2006, and is applying the modified prospective method, whereby compensation cost will be recognized for the unvested portion of awards granted during the period of January 1, 1995 to December 31, 2002. Such costs will be recognized in the financial statements of Schlumberger over the remaining vesting periods. Under this method, prior periods are not revised for comparative purposes. The adoption of this standard resulted in Schlumberger recording $6 million of additional stock-based compensation charges in the first quarter of 2006, $5 million in the second quarter of 2006 and it will result in an additional $5 million being recognized per quarter throughout the remainder of 2006.</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153" w:lineRule="exact"/>
        <w:rPr>
          <w:sz w:val="20"/>
          <w:szCs w:val="20"/>
          <w:color w:val="auto"/>
        </w:rPr>
      </w:pPr>
    </w:p>
    <w:p>
      <w:pPr>
        <w:ind w:right="120"/>
        <w:spacing w:after="0" w:line="323" w:lineRule="auto"/>
        <w:rPr>
          <w:sz w:val="20"/>
          <w:szCs w:val="20"/>
          <w:color w:val="auto"/>
        </w:rPr>
      </w:pPr>
      <w:r>
        <w:rPr>
          <w:rFonts w:ascii="Arial" w:cs="Arial" w:eastAsia="Arial" w:hAnsi="Arial"/>
          <w:sz w:val="15"/>
          <w:szCs w:val="15"/>
          <w:color w:val="auto"/>
        </w:rPr>
        <w:t>Officers and key employees are granted stock options under Schlumberger stock option plans. For all of the stock options granted, the exercise price of each option equals the market price of Schlumberger stock on the date of grant; an option’s maximum term is generally ten years, and options generally vest in increments over four or five years. The gain on the awards granted during the period from January 2003 to January 2006 is capped at 125% of the exercise price. Awards granted in the second quarter of 2006 did not have a cap on any potential gain and, except in limited circumstances, vest in increments over five years.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w:t>
      </w:r>
    </w:p>
    <w:p>
      <w:pPr>
        <w:spacing w:after="0" w:line="206" w:lineRule="exact"/>
        <w:rPr>
          <w:sz w:val="20"/>
          <w:szCs w:val="20"/>
          <w:color w:val="auto"/>
        </w:rPr>
      </w:pPr>
    </w:p>
    <w:p>
      <w:pPr>
        <w:ind w:right="700" w:firstLine="228"/>
        <w:spacing w:after="0" w:line="268" w:lineRule="auto"/>
        <w:rPr>
          <w:sz w:val="20"/>
          <w:szCs w:val="20"/>
          <w:color w:val="auto"/>
        </w:rPr>
      </w:pPr>
      <w:r>
        <w:rPr>
          <w:rFonts w:ascii="Arial" w:cs="Arial" w:eastAsia="Arial" w:hAnsi="Arial"/>
          <w:sz w:val="18"/>
          <w:szCs w:val="18"/>
          <w:color w:val="auto"/>
        </w:rPr>
        <w:t>The fair value of each stock option grant in 2006 was estimated on the date of grant using the Black-Scholes option-pricing model with the following weighted-average assumptions: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shd w:val="clear" w:color="auto" w:fill="CCEEFF"/>
          </w:tcPr>
          <w:p>
            <w:pPr>
              <w:spacing w:after="0"/>
              <w:rPr>
                <w:sz w:val="20"/>
                <w:szCs w:val="20"/>
                <w:color w:val="auto"/>
              </w:rPr>
            </w:pPr>
            <w:r>
              <w:rPr>
                <w:rFonts w:ascii="Arial" w:cs="Arial" w:eastAsia="Arial" w:hAnsi="Arial"/>
                <w:sz w:val="14"/>
                <w:szCs w:val="14"/>
                <w:color w:val="auto"/>
              </w:rPr>
              <w:t>Dividend yield</w:t>
            </w:r>
          </w:p>
        </w:tc>
        <w:tc>
          <w:tcPr>
            <w:tcW w:w="44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0.79%</w:t>
            </w:r>
          </w:p>
        </w:tc>
      </w:tr>
      <w:tr>
        <w:trPr>
          <w:trHeight w:val="149"/>
        </w:trPr>
        <w:tc>
          <w:tcPr>
            <w:tcW w:w="6380" w:type="dxa"/>
            <w:vAlign w:val="bottom"/>
          </w:tcPr>
          <w:p>
            <w:pPr>
              <w:spacing w:after="0" w:line="149" w:lineRule="exact"/>
              <w:rPr>
                <w:sz w:val="20"/>
                <w:szCs w:val="20"/>
                <w:color w:val="auto"/>
              </w:rPr>
            </w:pPr>
            <w:r>
              <w:rPr>
                <w:rFonts w:ascii="Arial" w:cs="Arial" w:eastAsia="Arial" w:hAnsi="Arial"/>
                <w:sz w:val="14"/>
                <w:szCs w:val="14"/>
                <w:color w:val="auto"/>
              </w:rPr>
              <w:t>Expected volatility</w:t>
            </w:r>
          </w:p>
        </w:tc>
        <w:tc>
          <w:tcPr>
            <w:tcW w:w="44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32.57%</w:t>
            </w:r>
          </w:p>
        </w:tc>
      </w:tr>
      <w:tr>
        <w:trPr>
          <w:trHeight w:val="149"/>
        </w:trPr>
        <w:tc>
          <w:tcPr>
            <w:tcW w:w="6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Risk free interest rate</w:t>
            </w:r>
          </w:p>
        </w:tc>
        <w:tc>
          <w:tcPr>
            <w:tcW w:w="44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w:t>
            </w:r>
          </w:p>
        </w:tc>
      </w:tr>
      <w:tr>
        <w:trPr>
          <w:trHeight w:val="149"/>
        </w:trPr>
        <w:tc>
          <w:tcPr>
            <w:tcW w:w="6380" w:type="dxa"/>
            <w:vAlign w:val="bottom"/>
          </w:tcPr>
          <w:p>
            <w:pPr>
              <w:spacing w:after="0" w:line="149" w:lineRule="exact"/>
              <w:rPr>
                <w:sz w:val="20"/>
                <w:szCs w:val="20"/>
                <w:color w:val="auto"/>
              </w:rPr>
            </w:pPr>
            <w:r>
              <w:rPr>
                <w:rFonts w:ascii="Arial" w:cs="Arial" w:eastAsia="Arial" w:hAnsi="Arial"/>
                <w:sz w:val="14"/>
                <w:szCs w:val="14"/>
                <w:color w:val="auto"/>
              </w:rPr>
              <w:t>Expected option life</w:t>
            </w:r>
          </w:p>
        </w:tc>
        <w:tc>
          <w:tcPr>
            <w:tcW w:w="4420" w:type="dxa"/>
            <w:vAlign w:val="bottom"/>
          </w:tcPr>
          <w:p>
            <w:pPr>
              <w:spacing w:after="0"/>
              <w:rPr>
                <w:sz w:val="12"/>
                <w:szCs w:val="12"/>
                <w:color w:val="auto"/>
              </w:rPr>
            </w:pPr>
          </w:p>
        </w:tc>
        <w:tc>
          <w:tcPr>
            <w:tcW w:w="620" w:type="dxa"/>
            <w:vAlign w:val="bottom"/>
          </w:tcPr>
          <w:p>
            <w:pPr>
              <w:jc w:val="right"/>
              <w:ind w:right="52"/>
              <w:spacing w:after="0" w:line="149" w:lineRule="exact"/>
              <w:rPr>
                <w:sz w:val="20"/>
                <w:szCs w:val="20"/>
                <w:color w:val="auto"/>
              </w:rPr>
            </w:pPr>
            <w:r>
              <w:rPr>
                <w:rFonts w:ascii="Arial" w:cs="Arial" w:eastAsia="Arial" w:hAnsi="Arial"/>
                <w:sz w:val="14"/>
                <w:szCs w:val="14"/>
                <w:color w:val="auto"/>
                <w:w w:val="83"/>
              </w:rPr>
              <w:t>6.1 years</w:t>
            </w:r>
          </w:p>
        </w:tc>
      </w:tr>
      <w:tr>
        <w:trPr>
          <w:trHeight w:val="149"/>
        </w:trPr>
        <w:tc>
          <w:tcPr>
            <w:tcW w:w="6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fair value per share</w:t>
            </w:r>
          </w:p>
        </w:tc>
        <w:tc>
          <w:tcPr>
            <w:tcW w:w="4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19.41</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Discounted Stock Purchase Plan</w:t>
      </w:r>
    </w:p>
    <w:p>
      <w:pPr>
        <w:spacing w:after="0" w:line="72"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color w:val="auto"/>
        </w:rPr>
        <w:t>Under the terms of the Discounted Stock Purchase Plan (DSPP), employees can choose to have up to 10% of their annual earnings withheld to purchase Schlumberger common stock. The purchase price of the stock is 92.5% of the lower of the stock price at the beginning or end of the plan period at six month intervals.</w:t>
      </w:r>
    </w:p>
    <w:p>
      <w:pPr>
        <w:ind w:right="160" w:firstLine="228"/>
        <w:spacing w:after="0" w:line="261" w:lineRule="auto"/>
        <w:rPr>
          <w:sz w:val="20"/>
          <w:szCs w:val="20"/>
          <w:color w:val="auto"/>
        </w:rPr>
      </w:pPr>
      <w:r>
        <w:rPr>
          <w:rFonts w:ascii="Arial" w:cs="Arial" w:eastAsia="Arial" w:hAnsi="Arial"/>
          <w:sz w:val="18"/>
          <w:szCs w:val="18"/>
          <w:color w:val="auto"/>
        </w:rPr>
        <w:t>The fair value of the employees’ purchase rights under the DSPP was estimated using the Black-Scholes model with the following assumptions and resulting weighted average fair value per share: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shd w:val="clear" w:color="auto" w:fill="CCEEFF"/>
          </w:tcPr>
          <w:p>
            <w:pPr>
              <w:spacing w:after="0"/>
              <w:rPr>
                <w:sz w:val="20"/>
                <w:szCs w:val="20"/>
                <w:color w:val="auto"/>
              </w:rPr>
            </w:pPr>
            <w:r>
              <w:rPr>
                <w:rFonts w:ascii="Arial" w:cs="Arial" w:eastAsia="Arial" w:hAnsi="Arial"/>
                <w:sz w:val="14"/>
                <w:szCs w:val="14"/>
                <w:color w:val="auto"/>
              </w:rPr>
              <w:t>Dividend yield</w:t>
            </w:r>
          </w:p>
        </w:tc>
        <w:tc>
          <w:tcPr>
            <w:tcW w:w="4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0.96%</w:t>
            </w:r>
          </w:p>
        </w:tc>
      </w:tr>
      <w:tr>
        <w:trPr>
          <w:trHeight w:val="149"/>
        </w:trPr>
        <w:tc>
          <w:tcPr>
            <w:tcW w:w="6480" w:type="dxa"/>
            <w:vAlign w:val="bottom"/>
          </w:tcPr>
          <w:p>
            <w:pPr>
              <w:spacing w:after="0" w:line="149" w:lineRule="exact"/>
              <w:rPr>
                <w:sz w:val="20"/>
                <w:szCs w:val="20"/>
                <w:color w:val="auto"/>
              </w:rPr>
            </w:pPr>
            <w:r>
              <w:rPr>
                <w:rFonts w:ascii="Arial" w:cs="Arial" w:eastAsia="Arial" w:hAnsi="Arial"/>
                <w:sz w:val="14"/>
                <w:szCs w:val="14"/>
                <w:color w:val="auto"/>
              </w:rPr>
              <w:t>Expected volatility</w:t>
            </w:r>
          </w:p>
        </w:tc>
        <w:tc>
          <w:tcPr>
            <w:tcW w:w="4940" w:type="dxa"/>
            <w:vAlign w:val="bottom"/>
          </w:tcPr>
          <w:p>
            <w:pPr>
              <w:jc w:val="right"/>
              <w:spacing w:after="0" w:line="149" w:lineRule="exact"/>
              <w:rPr>
                <w:sz w:val="20"/>
                <w:szCs w:val="20"/>
                <w:color w:val="auto"/>
              </w:rPr>
            </w:pPr>
            <w:r>
              <w:rPr>
                <w:rFonts w:ascii="Arial" w:cs="Arial" w:eastAsia="Arial" w:hAnsi="Arial"/>
                <w:sz w:val="14"/>
                <w:szCs w:val="14"/>
                <w:color w:val="auto"/>
              </w:rPr>
              <w:t>24.90%</w:t>
            </w:r>
          </w:p>
        </w:tc>
      </w:tr>
      <w:tr>
        <w:trPr>
          <w:trHeight w:val="149"/>
        </w:trPr>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Risk free interest rate</w:t>
            </w:r>
          </w:p>
        </w:tc>
        <w:tc>
          <w:tcPr>
            <w:tcW w:w="4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4.31%</w:t>
            </w:r>
          </w:p>
        </w:tc>
      </w:tr>
      <w:tr>
        <w:trPr>
          <w:trHeight w:val="172"/>
        </w:trPr>
        <w:tc>
          <w:tcPr>
            <w:tcW w:w="6480" w:type="dxa"/>
            <w:vAlign w:val="bottom"/>
          </w:tcPr>
          <w:p>
            <w:pPr>
              <w:spacing w:after="0"/>
              <w:rPr>
                <w:sz w:val="20"/>
                <w:szCs w:val="20"/>
                <w:color w:val="auto"/>
              </w:rPr>
            </w:pPr>
            <w:r>
              <w:rPr>
                <w:rFonts w:ascii="Arial" w:cs="Arial" w:eastAsia="Arial" w:hAnsi="Arial"/>
                <w:sz w:val="14"/>
                <w:szCs w:val="14"/>
                <w:color w:val="auto"/>
              </w:rPr>
              <w:t>Weighted average fair value per share</w:t>
            </w:r>
          </w:p>
        </w:tc>
        <w:tc>
          <w:tcPr>
            <w:tcW w:w="4940" w:type="dxa"/>
            <w:vAlign w:val="bottom"/>
          </w:tcPr>
          <w:p>
            <w:pPr>
              <w:jc w:val="right"/>
              <w:ind w:right="52"/>
              <w:spacing w:after="0"/>
              <w:rPr>
                <w:sz w:val="20"/>
                <w:szCs w:val="20"/>
                <w:color w:val="auto"/>
              </w:rPr>
            </w:pPr>
            <w:r>
              <w:rPr>
                <w:rFonts w:ascii="Arial" w:cs="Arial" w:eastAsia="Arial" w:hAnsi="Arial"/>
                <w:sz w:val="14"/>
                <w:szCs w:val="14"/>
                <w:color w:val="auto"/>
              </w:rPr>
              <w:t>$ 6.75</w:t>
            </w:r>
          </w:p>
        </w:tc>
      </w:tr>
    </w:tbl>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72"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On April 12, 2006, the stockholders of Schlumberger approved amendments to Schlumberger’s 2005 Stock Option Plan. These amendments included providing for the grant of restricted stock with respect to up to 3,000,000 shares of common stock, and providing that restricted stock may not be granted to executive officers of Schlumberger unless the grants are subject to performance-based vesting.</w:t>
      </w:r>
    </w:p>
    <w:p>
      <w:pPr>
        <w:ind w:right="100" w:firstLine="228"/>
        <w:spacing w:after="0" w:line="254" w:lineRule="auto"/>
        <w:rPr>
          <w:sz w:val="20"/>
          <w:szCs w:val="20"/>
          <w:color w:val="auto"/>
        </w:rPr>
      </w:pPr>
      <w:r>
        <w:rPr>
          <w:rFonts w:ascii="Arial" w:cs="Arial" w:eastAsia="Arial" w:hAnsi="Arial"/>
          <w:sz w:val="18"/>
          <w:szCs w:val="18"/>
          <w:color w:val="auto"/>
        </w:rPr>
        <w:t>During the second quarter of 2006, Schlumberger granted 490,600 shares of restricted stock with a fair market value of $66.03 per share. The fair value of restricted shares is based upon the market price of the underlying common stock as of the date of grant. Restricted stock awards generally vest at the end of three years, with the exception of certain grants which vest over a two year period with a two year holding period. There have not been any grants to date that are subject to performance-based vesting.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Stock—Based Compensation Expense</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summarizes stock-based compensation expense recognized in income: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4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Second Quarter</w:t>
            </w:r>
          </w:p>
        </w:tc>
        <w:tc>
          <w:tcPr>
            <w:tcW w:w="5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Six Months</w:t>
            </w:r>
          </w:p>
        </w:tc>
        <w:tc>
          <w:tcPr>
            <w:tcW w:w="1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4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gridSpan w:val="2"/>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2006</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2005</w:t>
            </w: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2006</w:t>
            </w:r>
          </w:p>
        </w:tc>
        <w:tc>
          <w:tcPr>
            <w:tcW w:w="82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options</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22</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$ 44</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40" w:type="dxa"/>
            <w:vAlign w:val="bottom"/>
          </w:tcPr>
          <w:p>
            <w:pPr>
              <w:spacing w:after="0" w:line="149" w:lineRule="exact"/>
              <w:rPr>
                <w:sz w:val="20"/>
                <w:szCs w:val="20"/>
                <w:color w:val="auto"/>
              </w:rPr>
            </w:pPr>
            <w:r>
              <w:rPr>
                <w:rFonts w:ascii="Arial" w:cs="Arial" w:eastAsia="Arial" w:hAnsi="Arial"/>
                <w:sz w:val="14"/>
                <w:szCs w:val="14"/>
                <w:color w:val="auto"/>
              </w:rPr>
              <w:t>DSPP</w:t>
            </w:r>
          </w:p>
        </w:tc>
        <w:tc>
          <w:tcPr>
            <w:tcW w:w="1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7</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stock</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stock-based compensation expense</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28</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$ 54</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-29210</wp:posOffset>
            </wp:positionV>
            <wp:extent cx="26162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6162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27876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78765"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-29210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-29210</wp:posOffset>
            </wp:positionV>
            <wp:extent cx="2159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-29210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7120890</wp:posOffset>
            </wp:positionH>
            <wp:positionV relativeFrom="paragraph">
              <wp:posOffset>-29210</wp:posOffset>
            </wp:positionV>
            <wp:extent cx="2159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160" w:firstLine="228"/>
        <w:spacing w:after="0" w:line="259" w:lineRule="auto"/>
        <w:rPr>
          <w:sz w:val="20"/>
          <w:szCs w:val="20"/>
          <w:color w:val="auto"/>
        </w:rPr>
      </w:pPr>
      <w:r>
        <w:rPr>
          <w:rFonts w:ascii="Arial" w:cs="Arial" w:eastAsia="Arial" w:hAnsi="Arial"/>
          <w:sz w:val="18"/>
          <w:szCs w:val="18"/>
          <w:color w:val="auto"/>
        </w:rPr>
        <w:t>As of June 30, 2006, there was $242 million of total unrecognized compensation cost related to non-vested stock-based compensation arrangements. Approximately $49 million is expected to be recognized over the remainder of 2006, $81 million is expected to be recognized in 2007, $65 million in 2008, $43 million in 2009, $3 million in 2010 and $0.7 million in 2011.</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w:t>
      </w:r>
    </w:p>
    <w:p>
      <w:pPr>
        <w:spacing w:after="0" w:line="206" w:lineRule="exact"/>
        <w:rPr>
          <w:sz w:val="20"/>
          <w:szCs w:val="20"/>
          <w:color w:val="auto"/>
        </w:rPr>
      </w:pPr>
    </w:p>
    <w:p>
      <w:pPr>
        <w:ind w:right="140" w:firstLine="228"/>
        <w:spacing w:after="0" w:line="259" w:lineRule="auto"/>
        <w:rPr>
          <w:sz w:val="20"/>
          <w:szCs w:val="20"/>
          <w:color w:val="auto"/>
        </w:rPr>
      </w:pPr>
      <w:r>
        <w:rPr>
          <w:rFonts w:ascii="Arial" w:cs="Arial" w:eastAsia="Arial" w:hAnsi="Arial"/>
          <w:sz w:val="18"/>
          <w:szCs w:val="18"/>
          <w:color w:val="auto"/>
        </w:rPr>
        <w:t>Schlumberger applied the intrinsic value method of APB Opinion 25 for grants prior to January 1, 2003. Had compensation cost for stock-based awards granted prior to January 1, 2003 been determined based on the fair value at the grant dates, consistent with the method of SFAS 123, Schlumberger’s net income and earnings per share would have been the pro forma amounts indicated below:</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946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4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w w:val="95"/>
              </w:rPr>
              <w:t>Second Quarter</w:t>
            </w:r>
          </w:p>
        </w:tc>
        <w:tc>
          <w:tcPr>
            <w:tcW w:w="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5"/>
          </w:tcPr>
          <w:p>
            <w:pPr>
              <w:jc w:val="right"/>
              <w:ind w:right="32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64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96"/>
              </w:rPr>
              <w:t>2006</w:t>
            </w: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2005</w:t>
            </w: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2006</w:t>
            </w: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2005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3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tcPr>
          <w:p>
            <w:pPr>
              <w:ind w:left="260"/>
              <w:spacing w:after="0" w:line="149" w:lineRule="exact"/>
              <w:rPr>
                <w:sz w:val="20"/>
                <w:szCs w:val="20"/>
                <w:color w:val="auto"/>
              </w:rPr>
            </w:pPr>
            <w:r>
              <w:rPr>
                <w:rFonts w:ascii="Arial" w:cs="Arial" w:eastAsia="Arial" w:hAnsi="Arial"/>
                <w:sz w:val="14"/>
                <w:szCs w:val="14"/>
                <w:color w:val="auto"/>
              </w:rPr>
              <w:t>As reported</w:t>
            </w: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$ 857</w:t>
            </w:r>
          </w:p>
        </w:tc>
        <w:tc>
          <w:tcPr>
            <w:tcW w:w="4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482</w:t>
            </w:r>
          </w:p>
        </w:tc>
        <w:tc>
          <w:tcPr>
            <w:tcW w:w="38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9"/>
              </w:rPr>
              <w:t>1,579</w:t>
            </w:r>
          </w:p>
        </w:tc>
        <w:tc>
          <w:tcPr>
            <w:tcW w:w="4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w w:val="79"/>
              </w:rPr>
              <w:t>1,006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Proforma adjustments:</w:t>
            </w:r>
          </w:p>
        </w:tc>
        <w:tc>
          <w:tcPr>
            <w:tcW w:w="3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40" w:type="dxa"/>
            <w:vAlign w:val="bottom"/>
          </w:tcPr>
          <w:p>
            <w:pPr>
              <w:ind w:left="520"/>
              <w:spacing w:after="0"/>
              <w:rPr>
                <w:sz w:val="20"/>
                <w:szCs w:val="20"/>
                <w:color w:val="auto"/>
              </w:rPr>
            </w:pPr>
            <w:r>
              <w:rPr>
                <w:rFonts w:ascii="Arial" w:cs="Arial" w:eastAsia="Arial" w:hAnsi="Arial"/>
                <w:sz w:val="14"/>
                <w:szCs w:val="14"/>
                <w:color w:val="auto"/>
              </w:rPr>
              <w:t>Cost of Stock Options</w:t>
            </w:r>
          </w:p>
        </w:tc>
        <w:tc>
          <w:tcPr>
            <w:tcW w:w="7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5"/>
                <w:szCs w:val="15"/>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6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Proforma</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$ 857</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9"/>
              </w:rPr>
              <w:t>1,579</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4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earnings per share:</w:t>
            </w:r>
          </w:p>
        </w:tc>
        <w:tc>
          <w:tcPr>
            <w:tcW w:w="3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tcPr>
          <w:p>
            <w:pPr>
              <w:ind w:left="260"/>
              <w:spacing w:after="0" w:line="149" w:lineRule="exact"/>
              <w:rPr>
                <w:sz w:val="20"/>
                <w:szCs w:val="20"/>
                <w:color w:val="auto"/>
              </w:rPr>
            </w:pPr>
            <w:r>
              <w:rPr>
                <w:rFonts w:ascii="Arial" w:cs="Arial" w:eastAsia="Arial" w:hAnsi="Arial"/>
                <w:sz w:val="14"/>
                <w:szCs w:val="14"/>
                <w:color w:val="auto"/>
              </w:rPr>
              <w:t>As reported</w:t>
            </w: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$0.72</w:t>
            </w:r>
          </w:p>
        </w:tc>
        <w:tc>
          <w:tcPr>
            <w:tcW w:w="4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0.41</w:t>
            </w:r>
          </w:p>
        </w:tc>
        <w:tc>
          <w:tcPr>
            <w:tcW w:w="38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1.34</w:t>
            </w:r>
          </w:p>
        </w:tc>
        <w:tc>
          <w:tcPr>
            <w:tcW w:w="4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0.85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Proforma adjustments:</w:t>
            </w:r>
          </w:p>
        </w:tc>
        <w:tc>
          <w:tcPr>
            <w:tcW w:w="3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40" w:type="dxa"/>
            <w:vAlign w:val="bottom"/>
          </w:tcPr>
          <w:p>
            <w:pPr>
              <w:ind w:left="520"/>
              <w:spacing w:after="0"/>
              <w:rPr>
                <w:sz w:val="20"/>
                <w:szCs w:val="20"/>
                <w:color w:val="auto"/>
              </w:rPr>
            </w:pPr>
            <w:r>
              <w:rPr>
                <w:rFonts w:ascii="Arial" w:cs="Arial" w:eastAsia="Arial" w:hAnsi="Arial"/>
                <w:sz w:val="14"/>
                <w:szCs w:val="14"/>
                <w:color w:val="auto"/>
              </w:rPr>
              <w:t>Cost of Stock Options</w:t>
            </w:r>
          </w:p>
        </w:tc>
        <w:tc>
          <w:tcPr>
            <w:tcW w:w="7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4"/>
                <w:szCs w:val="14"/>
                <w:color w:val="auto"/>
                <w:w w:val="87"/>
              </w:rPr>
              <w:t>(0.01)</w:t>
            </w:r>
          </w:p>
        </w:tc>
        <w:tc>
          <w:tcPr>
            <w:tcW w:w="80" w:type="dxa"/>
            <w:vAlign w:val="bottom"/>
          </w:tcPr>
          <w:p>
            <w:pPr>
              <w:spacing w:after="0"/>
              <w:rPr>
                <w:sz w:val="15"/>
                <w:szCs w:val="15"/>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color w:val="auto"/>
                <w:w w:val="92"/>
              </w:rPr>
              <w:t>(0.02)</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6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Pro forma</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$0.72</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1.34</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4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 earnings per share:</w:t>
            </w:r>
          </w:p>
        </w:tc>
        <w:tc>
          <w:tcPr>
            <w:tcW w:w="3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tcPr>
          <w:p>
            <w:pPr>
              <w:ind w:left="260"/>
              <w:spacing w:after="0" w:line="149" w:lineRule="exact"/>
              <w:rPr>
                <w:sz w:val="20"/>
                <w:szCs w:val="20"/>
                <w:color w:val="auto"/>
              </w:rPr>
            </w:pPr>
            <w:r>
              <w:rPr>
                <w:rFonts w:ascii="Arial" w:cs="Arial" w:eastAsia="Arial" w:hAnsi="Arial"/>
                <w:sz w:val="14"/>
                <w:szCs w:val="14"/>
                <w:color w:val="auto"/>
              </w:rPr>
              <w:t>As reported</w:t>
            </w: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$0.69</w:t>
            </w:r>
          </w:p>
        </w:tc>
        <w:tc>
          <w:tcPr>
            <w:tcW w:w="4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0.40</w:t>
            </w:r>
          </w:p>
        </w:tc>
        <w:tc>
          <w:tcPr>
            <w:tcW w:w="38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1.28</w:t>
            </w:r>
          </w:p>
        </w:tc>
        <w:tc>
          <w:tcPr>
            <w:tcW w:w="4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0.83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Proforma adjustments:</w:t>
            </w:r>
          </w:p>
        </w:tc>
        <w:tc>
          <w:tcPr>
            <w:tcW w:w="3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40" w:type="dxa"/>
            <w:vAlign w:val="bottom"/>
          </w:tcPr>
          <w:p>
            <w:pPr>
              <w:ind w:left="520"/>
              <w:spacing w:after="0"/>
              <w:rPr>
                <w:sz w:val="20"/>
                <w:szCs w:val="20"/>
                <w:color w:val="auto"/>
              </w:rPr>
            </w:pPr>
            <w:r>
              <w:rPr>
                <w:rFonts w:ascii="Arial" w:cs="Arial" w:eastAsia="Arial" w:hAnsi="Arial"/>
                <w:sz w:val="14"/>
                <w:szCs w:val="14"/>
                <w:color w:val="auto"/>
              </w:rPr>
              <w:t>Cost of Stock Options</w:t>
            </w:r>
          </w:p>
        </w:tc>
        <w:tc>
          <w:tcPr>
            <w:tcW w:w="7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4"/>
                <w:szCs w:val="14"/>
                <w:color w:val="auto"/>
                <w:w w:val="87"/>
              </w:rPr>
              <w:t>(0.01)</w:t>
            </w:r>
          </w:p>
        </w:tc>
        <w:tc>
          <w:tcPr>
            <w:tcW w:w="80" w:type="dxa"/>
            <w:vAlign w:val="bottom"/>
          </w:tcPr>
          <w:p>
            <w:pPr>
              <w:spacing w:after="0"/>
              <w:rPr>
                <w:sz w:val="15"/>
                <w:szCs w:val="15"/>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color w:val="auto"/>
                <w:w w:val="92"/>
              </w:rPr>
              <w:t>(0.02)</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6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Pro forma</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$0.69</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0.39</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1.28</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4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5500370</wp:posOffset>
            </wp:positionH>
            <wp:positionV relativeFrom="paragraph">
              <wp:posOffset>-1590040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-1590040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-1590040</wp:posOffset>
            </wp:positionV>
            <wp:extent cx="2159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-1590040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-1590040</wp:posOffset>
            </wp:positionV>
            <wp:extent cx="2159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-1590040</wp:posOffset>
            </wp:positionV>
            <wp:extent cx="3873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-1590040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-1590040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-1590040</wp:posOffset>
            </wp:positionV>
            <wp:extent cx="2159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-1590040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-1590040</wp:posOffset>
            </wp:positionV>
            <wp:extent cx="2159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-1590040</wp:posOffset>
            </wp:positionV>
            <wp:extent cx="3873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-809625</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-809625</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-809625</wp:posOffset>
            </wp:positionV>
            <wp:extent cx="2159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-809625</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-809625</wp:posOffset>
            </wp:positionV>
            <wp:extent cx="2159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-809625</wp:posOffset>
            </wp:positionV>
            <wp:extent cx="3873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-809625</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-809625</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-809625</wp:posOffset>
            </wp:positionV>
            <wp:extent cx="2159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-809625</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-809625</wp:posOffset>
            </wp:positionV>
            <wp:extent cx="2159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-809625</wp:posOffset>
            </wp:positionV>
            <wp:extent cx="3873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2159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2159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-29210</wp:posOffset>
            </wp:positionV>
            <wp:extent cx="3873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2159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-29210</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-29210</wp:posOffset>
            </wp:positionV>
            <wp:extent cx="2159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stock option activity as of June 30, 2006:</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Weighted-</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4"/>
              </w:rPr>
              <w:t>Weighted-</w:t>
            </w:r>
          </w:p>
        </w:tc>
        <w:tc>
          <w:tcPr>
            <w:tcW w:w="920" w:type="dxa"/>
            <w:vAlign w:val="bottom"/>
          </w:tcPr>
          <w:p>
            <w:pPr>
              <w:spacing w:after="0"/>
              <w:rPr>
                <w:sz w:val="12"/>
                <w:szCs w:val="12"/>
                <w:color w:val="auto"/>
              </w:rPr>
            </w:pPr>
          </w:p>
        </w:tc>
        <w:tc>
          <w:tcPr>
            <w:tcW w:w="90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4"/>
              </w:rPr>
              <w:t>average</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4"/>
            <w:vMerge w:val="continue"/>
          </w:tcPr>
          <w:p>
            <w:pPr>
              <w:spacing w:after="0"/>
              <w:rPr>
                <w:sz w:val="11"/>
                <w:szCs w:val="11"/>
                <w:color w:val="auto"/>
              </w:rPr>
            </w:pPr>
          </w:p>
        </w:tc>
        <w:tc>
          <w:tcPr>
            <w:tcW w:w="1820" w:type="dxa"/>
            <w:vAlign w:val="bottom"/>
            <w:gridSpan w:val="3"/>
          </w:tcPr>
          <w:p>
            <w:pPr>
              <w:jc w:val="right"/>
              <w:ind w:right="380"/>
              <w:spacing w:after="0" w:line="135" w:lineRule="exact"/>
              <w:rPr>
                <w:sz w:val="20"/>
                <w:szCs w:val="20"/>
                <w:color w:val="auto"/>
              </w:rPr>
            </w:pPr>
            <w:r>
              <w:rPr>
                <w:rFonts w:ascii="Arial" w:cs="Arial" w:eastAsia="Arial" w:hAnsi="Arial"/>
                <w:sz w:val="14"/>
                <w:szCs w:val="14"/>
                <w:b w:val="1"/>
                <w:bCs w:val="1"/>
                <w:color w:val="auto"/>
              </w:rPr>
              <w:t>remaining</w:t>
            </w:r>
          </w:p>
        </w:tc>
        <w:tc>
          <w:tcPr>
            <w:tcW w:w="460" w:type="dxa"/>
            <w:vAlign w:val="bottom"/>
          </w:tcPr>
          <w:p>
            <w:pPr>
              <w:spacing w:after="0"/>
              <w:rPr>
                <w:sz w:val="11"/>
                <w:szCs w:val="11"/>
                <w:color w:val="auto"/>
              </w:rPr>
            </w:pPr>
          </w:p>
        </w:tc>
        <w:tc>
          <w:tcPr>
            <w:tcW w:w="620" w:type="dxa"/>
            <w:vAlign w:val="bottom"/>
            <w:gridSpan w:val="4"/>
          </w:tcPr>
          <w:p>
            <w:pPr>
              <w:jc w:val="right"/>
              <w:ind w:right="20"/>
              <w:spacing w:after="0" w:line="135"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average</w:t>
            </w:r>
          </w:p>
        </w:tc>
        <w:tc>
          <w:tcPr>
            <w:tcW w:w="182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rPr>
              <w:t>contractual</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2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Options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9"/>
              </w:rPr>
              <w:t>exercise</w:t>
            </w:r>
          </w:p>
        </w:tc>
        <w:tc>
          <w:tcPr>
            <w:tcW w:w="920" w:type="dxa"/>
            <w:vAlign w:val="bottom"/>
          </w:tcPr>
          <w:p>
            <w:pPr>
              <w:spacing w:after="0"/>
              <w:rPr>
                <w:sz w:val="12"/>
                <w:szCs w:val="12"/>
                <w:color w:val="auto"/>
              </w:rPr>
            </w:pPr>
          </w:p>
        </w:tc>
        <w:tc>
          <w:tcPr>
            <w:tcW w:w="90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life in</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370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(thousands)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ind w:left="220"/>
              <w:spacing w:after="0"/>
              <w:rPr>
                <w:sz w:val="20"/>
                <w:szCs w:val="20"/>
                <w:color w:val="auto"/>
              </w:rPr>
            </w:pPr>
            <w:r>
              <w:rPr>
                <w:rFonts w:ascii="Arial" w:cs="Arial" w:eastAsia="Arial" w:hAnsi="Arial"/>
                <w:sz w:val="14"/>
                <w:szCs w:val="14"/>
                <w:b w:val="1"/>
                <w:bCs w:val="1"/>
                <w:color w:val="auto"/>
                <w:w w:val="83"/>
              </w:rPr>
              <w:t>price</w:t>
            </w:r>
          </w:p>
        </w:tc>
        <w:tc>
          <w:tcPr>
            <w:tcW w:w="920" w:type="dxa"/>
            <w:vAlign w:val="bottom"/>
          </w:tcPr>
          <w:p>
            <w:pPr>
              <w:spacing w:after="0"/>
              <w:rPr>
                <w:sz w:val="15"/>
                <w:szCs w:val="15"/>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years</w:t>
            </w:r>
          </w:p>
        </w:tc>
        <w:tc>
          <w:tcPr>
            <w:tcW w:w="108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 millions)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Outstanding at December 31, 2005</w:t>
            </w:r>
          </w:p>
        </w:tc>
        <w:tc>
          <w:tcPr>
            <w:tcW w:w="2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52,979</w:t>
            </w:r>
          </w:p>
        </w:tc>
        <w:tc>
          <w:tcPr>
            <w:tcW w:w="74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79"/>
              </w:rPr>
              <w:t>31.38</w:t>
            </w:r>
          </w:p>
        </w:tc>
        <w:tc>
          <w:tcPr>
            <w:tcW w:w="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line="149" w:lineRule="exact"/>
              <w:rPr>
                <w:sz w:val="20"/>
                <w:szCs w:val="20"/>
                <w:color w:val="auto"/>
              </w:rPr>
            </w:pPr>
            <w:r>
              <w:rPr>
                <w:rFonts w:ascii="Arial" w:cs="Arial" w:eastAsia="Arial" w:hAnsi="Arial"/>
                <w:sz w:val="14"/>
                <w:szCs w:val="14"/>
                <w:color w:val="auto"/>
              </w:rPr>
              <w:t>Granted</w:t>
            </w:r>
          </w:p>
        </w:tc>
        <w:tc>
          <w:tcPr>
            <w:tcW w:w="2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8,228</w:t>
            </w:r>
          </w:p>
        </w:tc>
        <w:tc>
          <w:tcPr>
            <w:tcW w:w="740" w:type="dxa"/>
            <w:vAlign w:val="bottom"/>
          </w:tcPr>
          <w:p>
            <w:pPr>
              <w:spacing w:after="0"/>
              <w:rPr>
                <w:sz w:val="12"/>
                <w:szCs w:val="12"/>
                <w:color w:val="auto"/>
              </w:rPr>
            </w:pPr>
          </w:p>
        </w:tc>
        <w:tc>
          <w:tcPr>
            <w:tcW w:w="140" w:type="dxa"/>
            <w:vAlign w:val="bottom"/>
            <w:gridSpan w:val="2"/>
          </w:tcPr>
          <w:p>
            <w:pPr>
              <w:jc w:val="right"/>
              <w:ind w:right="80"/>
              <w:spacing w:after="0"/>
              <w:rPr>
                <w:sz w:val="20"/>
                <w:szCs w:val="20"/>
                <w:color w:val="auto"/>
              </w:rPr>
            </w:pPr>
            <w:r>
              <w:rPr>
                <w:rFonts w:ascii="Arial" w:cs="Arial" w:eastAsia="Arial" w:hAnsi="Arial"/>
                <w:sz w:val="10"/>
                <w:szCs w:val="10"/>
                <w:color w:val="auto"/>
                <w:w w:val="71"/>
              </w:rPr>
              <w:t>$</w:t>
            </w:r>
          </w:p>
        </w:tc>
        <w:tc>
          <w:tcPr>
            <w:tcW w:w="500" w:type="dxa"/>
            <w:vAlign w:val="bottom"/>
          </w:tcPr>
          <w:p>
            <w:pPr>
              <w:ind w:left="200"/>
              <w:spacing w:after="0" w:line="149" w:lineRule="exact"/>
              <w:rPr>
                <w:sz w:val="20"/>
                <w:szCs w:val="20"/>
                <w:color w:val="auto"/>
              </w:rPr>
            </w:pPr>
            <w:r>
              <w:rPr>
                <w:rFonts w:ascii="Arial" w:cs="Arial" w:eastAsia="Arial" w:hAnsi="Arial"/>
                <w:sz w:val="14"/>
                <w:szCs w:val="14"/>
                <w:color w:val="auto"/>
                <w:w w:val="79"/>
              </w:rPr>
              <w:t>55.15</w:t>
            </w: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Exercised</w:t>
            </w:r>
          </w:p>
        </w:tc>
        <w:tc>
          <w:tcPr>
            <w:tcW w:w="370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(8,604)</w:t>
            </w:r>
          </w:p>
        </w:tc>
        <w:tc>
          <w:tcPr>
            <w:tcW w:w="1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79"/>
              </w:rPr>
              <w:t>29.68</w:t>
            </w:r>
          </w:p>
        </w:tc>
        <w:tc>
          <w:tcPr>
            <w:tcW w:w="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60" w:type="dxa"/>
            <w:vAlign w:val="bottom"/>
          </w:tcPr>
          <w:p>
            <w:pPr>
              <w:spacing w:after="0"/>
              <w:rPr>
                <w:sz w:val="20"/>
                <w:szCs w:val="20"/>
                <w:color w:val="auto"/>
              </w:rPr>
            </w:pPr>
            <w:r>
              <w:rPr>
                <w:rFonts w:ascii="Arial" w:cs="Arial" w:eastAsia="Arial" w:hAnsi="Arial"/>
                <w:sz w:val="14"/>
                <w:szCs w:val="14"/>
                <w:color w:val="auto"/>
              </w:rPr>
              <w:t>Forfeited</w:t>
            </w:r>
          </w:p>
        </w:tc>
        <w:tc>
          <w:tcPr>
            <w:tcW w:w="3700" w:type="dxa"/>
            <w:vAlign w:val="bottom"/>
            <w:gridSpan w:val="3"/>
          </w:tcPr>
          <w:p>
            <w:pPr>
              <w:jc w:val="right"/>
              <w:ind w:right="700"/>
              <w:spacing w:after="0"/>
              <w:rPr>
                <w:sz w:val="20"/>
                <w:szCs w:val="20"/>
                <w:color w:val="auto"/>
              </w:rPr>
            </w:pPr>
            <w:r>
              <w:rPr>
                <w:rFonts w:ascii="Arial" w:cs="Arial" w:eastAsia="Arial" w:hAnsi="Arial"/>
                <w:sz w:val="14"/>
                <w:szCs w:val="14"/>
                <w:color w:val="auto"/>
              </w:rPr>
              <w:t>(1,319)</w:t>
            </w:r>
          </w:p>
        </w:tc>
        <w:tc>
          <w:tcPr>
            <w:tcW w:w="140" w:type="dxa"/>
            <w:vAlign w:val="bottom"/>
            <w:gridSpan w:val="2"/>
          </w:tcPr>
          <w:p>
            <w:pPr>
              <w:jc w:val="right"/>
              <w:ind w:right="80"/>
              <w:spacing w:after="0"/>
              <w:rPr>
                <w:sz w:val="20"/>
                <w:szCs w:val="20"/>
                <w:color w:val="auto"/>
              </w:rPr>
            </w:pPr>
            <w:r>
              <w:rPr>
                <w:rFonts w:ascii="Arial" w:cs="Arial" w:eastAsia="Arial" w:hAnsi="Arial"/>
                <w:sz w:val="10"/>
                <w:szCs w:val="10"/>
                <w:color w:val="auto"/>
                <w:w w:val="71"/>
              </w:rPr>
              <w:t>$</w:t>
            </w:r>
          </w:p>
        </w:tc>
        <w:tc>
          <w:tcPr>
            <w:tcW w:w="500" w:type="dxa"/>
            <w:vAlign w:val="bottom"/>
          </w:tcPr>
          <w:p>
            <w:pPr>
              <w:ind w:left="200"/>
              <w:spacing w:after="0"/>
              <w:rPr>
                <w:sz w:val="20"/>
                <w:szCs w:val="20"/>
                <w:color w:val="auto"/>
              </w:rPr>
            </w:pPr>
            <w:r>
              <w:rPr>
                <w:rFonts w:ascii="Arial" w:cs="Arial" w:eastAsia="Arial" w:hAnsi="Arial"/>
                <w:sz w:val="14"/>
                <w:szCs w:val="14"/>
                <w:color w:val="auto"/>
                <w:w w:val="79"/>
              </w:rPr>
              <w:t>27.39</w:t>
            </w: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160" w:type="dxa"/>
            <w:vAlign w:val="bottom"/>
            <w:tcBorders>
              <w:bottom w:val="single" w:sz="8" w:color="auto"/>
            </w:tcBorders>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Outstanding at June 30, 2006</w:t>
            </w:r>
          </w:p>
        </w:tc>
        <w:tc>
          <w:tcPr>
            <w:tcW w:w="2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51,284</w:t>
            </w:r>
          </w:p>
        </w:tc>
        <w:tc>
          <w:tcPr>
            <w:tcW w:w="74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79"/>
              </w:rPr>
              <w:t>35.54</w:t>
            </w:r>
          </w:p>
        </w:tc>
        <w:tc>
          <w:tcPr>
            <w:tcW w:w="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6.11</w:t>
            </w:r>
          </w:p>
        </w:tc>
        <w:tc>
          <w:tcPr>
            <w:tcW w:w="5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1,517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Exercisable at June 30, 2006</w:t>
            </w:r>
          </w:p>
        </w:tc>
        <w:tc>
          <w:tcPr>
            <w:tcW w:w="2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28,815</w:t>
            </w:r>
          </w:p>
        </w:tc>
        <w:tc>
          <w:tcPr>
            <w:tcW w:w="74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79"/>
              </w:rPr>
              <w:t>32.73</w:t>
            </w:r>
          </w:p>
        </w:tc>
        <w:tc>
          <w:tcPr>
            <w:tcW w:w="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4.30</w:t>
            </w:r>
          </w:p>
        </w:tc>
        <w:tc>
          <w:tcPr>
            <w:tcW w:w="5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933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-286385</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-286385</wp:posOffset>
            </wp:positionV>
            <wp:extent cx="3873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-286385</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-286385</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-286385</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-286385</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-286385</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-286385</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-29210</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-29210</wp:posOffset>
            </wp:positionV>
            <wp:extent cx="3873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-29210</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-29210</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total intrinsic value of options exercised during the six months ended June 30, 2006 was $275 million.</w:t>
      </w:r>
    </w:p>
    <w:p>
      <w:pPr>
        <w:spacing w:after="0" w:line="147" w:lineRule="exact"/>
        <w:rPr>
          <w:sz w:val="20"/>
          <w:szCs w:val="20"/>
          <w:color w:val="auto"/>
        </w:rPr>
      </w:pPr>
    </w:p>
    <w:p>
      <w:pPr>
        <w:ind w:left="440" w:hanging="432"/>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Pretax book income from continuing operations subject to US and non-US income taxes was as follows: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00" w:type="dxa"/>
            <w:vAlign w:val="bottom"/>
            <w:tcBorders>
              <w:top w:val="single" w:sz="8" w:color="auto"/>
            </w:tcBorders>
          </w:tcPr>
          <w:p>
            <w:pPr>
              <w:spacing w:after="0"/>
              <w:rPr>
                <w:sz w:val="15"/>
                <w:szCs w:val="15"/>
                <w:color w:val="auto"/>
              </w:rPr>
            </w:pPr>
          </w:p>
        </w:tc>
        <w:tc>
          <w:tcPr>
            <w:tcW w:w="54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87"/>
              </w:rPr>
              <w:t>Second Quarter</w:t>
            </w:r>
          </w:p>
        </w:tc>
        <w:tc>
          <w:tcPr>
            <w:tcW w:w="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4"/>
          </w:tcPr>
          <w:p>
            <w:pPr>
              <w:jc w:val="right"/>
              <w:ind w:right="152"/>
              <w:spacing w:after="0"/>
              <w:rPr>
                <w:sz w:val="20"/>
                <w:szCs w:val="20"/>
                <w:color w:val="auto"/>
              </w:rPr>
            </w:pPr>
            <w:r>
              <w:rPr>
                <w:rFonts w:ascii="Arial" w:cs="Arial" w:eastAsia="Arial" w:hAnsi="Arial"/>
                <w:sz w:val="14"/>
                <w:szCs w:val="14"/>
                <w:b w:val="1"/>
                <w:bCs w:val="1"/>
                <w:color w:val="auto"/>
              </w:rPr>
              <w:t>Six Months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400" w:type="dxa"/>
            <w:vAlign w:val="bottom"/>
          </w:tcPr>
          <w:p>
            <w:pPr>
              <w:spacing w:after="0"/>
              <w:rPr>
                <w:sz w:val="6"/>
                <w:szCs w:val="6"/>
                <w:color w:val="auto"/>
              </w:rPr>
            </w:pPr>
          </w:p>
        </w:tc>
        <w:tc>
          <w:tcPr>
            <w:tcW w:w="548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5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2006</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2005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United States</w:t>
            </w:r>
          </w:p>
        </w:tc>
        <w:tc>
          <w:tcPr>
            <w:tcW w:w="5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360</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$ 220</w:t>
            </w:r>
          </w:p>
        </w:tc>
        <w:tc>
          <w:tcPr>
            <w:tcW w:w="4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681</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0" w:type="dxa"/>
            <w:vAlign w:val="bottom"/>
          </w:tcPr>
          <w:p>
            <w:pPr>
              <w:spacing w:after="0"/>
              <w:rPr>
                <w:sz w:val="20"/>
                <w:szCs w:val="20"/>
                <w:color w:val="auto"/>
              </w:rPr>
            </w:pPr>
            <w:r>
              <w:rPr>
                <w:rFonts w:ascii="Arial" w:cs="Arial" w:eastAsia="Arial" w:hAnsi="Arial"/>
                <w:sz w:val="14"/>
                <w:szCs w:val="14"/>
                <w:color w:val="auto"/>
              </w:rPr>
              <w:t>Outside United States</w:t>
            </w:r>
          </w:p>
        </w:tc>
        <w:tc>
          <w:tcPr>
            <w:tcW w:w="5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781</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431</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79"/>
              </w:rPr>
              <w:t>1,482</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928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400" w:type="dxa"/>
            <w:vAlign w:val="bottom"/>
            <w:tcBorders>
              <w:bottom w:val="single" w:sz="8" w:color="auto"/>
            </w:tcBorders>
          </w:tcPr>
          <w:p>
            <w:pPr>
              <w:spacing w:after="0"/>
              <w:rPr>
                <w:sz w:val="7"/>
                <w:szCs w:val="7"/>
                <w:color w:val="auto"/>
              </w:rPr>
            </w:pPr>
          </w:p>
        </w:tc>
        <w:tc>
          <w:tcPr>
            <w:tcW w:w="54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0" w:type="dxa"/>
            <w:vAlign w:val="bottom"/>
          </w:tcPr>
          <w:p>
            <w:pPr>
              <w:spacing w:after="0"/>
              <w:rPr>
                <w:sz w:val="8"/>
                <w:szCs w:val="8"/>
                <w:color w:val="auto"/>
              </w:rPr>
            </w:pPr>
          </w:p>
        </w:tc>
        <w:tc>
          <w:tcPr>
            <w:tcW w:w="5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Pretax income</w:t>
            </w:r>
          </w:p>
        </w:tc>
        <w:tc>
          <w:tcPr>
            <w:tcW w:w="5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1,141</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$ 651</w:t>
            </w:r>
          </w:p>
        </w:tc>
        <w:tc>
          <w:tcPr>
            <w:tcW w:w="4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9"/>
              </w:rPr>
              <w:t>2,163</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1,330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5480" w:type="dxa"/>
            <w:vAlign w:val="bottom"/>
            <w:vMerge w:val="restart"/>
          </w:tcPr>
          <w:p>
            <w:pPr>
              <w:jc w:val="right"/>
              <w:ind w:right="3052"/>
              <w:spacing w:after="0"/>
              <w:rPr>
                <w:sz w:val="20"/>
                <w:szCs w:val="20"/>
                <w:color w:val="auto"/>
              </w:rPr>
            </w:pPr>
            <w:r>
              <w:rPr>
                <w:rFonts w:ascii="Arial" w:cs="Arial" w:eastAsia="Arial" w:hAnsi="Arial"/>
                <w:sz w:val="14"/>
                <w:szCs w:val="14"/>
                <w:color w:val="auto"/>
              </w:rPr>
              <w:t>16</w:t>
            </w:r>
          </w:p>
        </w:tc>
        <w:tc>
          <w:tcPr>
            <w:tcW w:w="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4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-292735</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-292735</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-292735</wp:posOffset>
            </wp:positionV>
            <wp:extent cx="2159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-292735</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-292735</wp:posOffset>
            </wp:positionV>
            <wp:extent cx="1270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-292735</wp:posOffset>
            </wp:positionV>
            <wp:extent cx="2159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-292735</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-292735</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-292735</wp:posOffset>
            </wp:positionV>
            <wp:extent cx="2159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-292735</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-292735</wp:posOffset>
            </wp:positionV>
            <wp:extent cx="1270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-292735</wp:posOffset>
            </wp:positionV>
            <wp:extent cx="2159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w:t>
      </w:r>
    </w:p>
    <w:p>
      <w:pPr>
        <w:spacing w:after="0" w:line="206" w:lineRule="exact"/>
        <w:rPr>
          <w:sz w:val="20"/>
          <w:szCs w:val="20"/>
          <w:color w:val="auto"/>
        </w:rPr>
      </w:pPr>
    </w:p>
    <w:p>
      <w:pPr>
        <w:ind w:right="20" w:firstLine="228"/>
        <w:spacing w:after="0" w:line="252" w:lineRule="auto"/>
        <w:rPr>
          <w:sz w:val="20"/>
          <w:szCs w:val="20"/>
          <w:color w:val="auto"/>
        </w:rPr>
      </w:pPr>
      <w:r>
        <w:rPr>
          <w:rFonts w:ascii="Arial" w:cs="Arial" w:eastAsia="Arial" w:hAnsi="Arial"/>
          <w:sz w:val="18"/>
          <w:szCs w:val="18"/>
          <w:color w:val="auto"/>
        </w:rPr>
        <w:t>Schlumberger reported charges and credits in continuing operations in 2006 and 2005. These are more fully described in Note 2</w:t>
      </w:r>
      <w:r>
        <w:rPr>
          <w:rFonts w:ascii="Arial" w:cs="Arial" w:eastAsia="Arial" w:hAnsi="Arial"/>
          <w:sz w:val="18"/>
          <w:szCs w:val="18"/>
          <w:i w:val="1"/>
          <w:iCs w:val="1"/>
          <w:color w:val="auto"/>
        </w:rPr>
        <w:t>—Charges and Credits</w:t>
      </w:r>
      <w:r>
        <w:rPr>
          <w:rFonts w:ascii="Arial" w:cs="Arial" w:eastAsia="Arial" w:hAnsi="Arial"/>
          <w:sz w:val="18"/>
          <w:szCs w:val="18"/>
          <w:color w:val="auto"/>
        </w:rPr>
        <w:t>. During the second quarter of 2006, Schlumberger recorded pretax charges of $46 million ($20 million in the US; $26 million outside of the US). There were no charges recorded in the first quarter of 2006. During the first quarter of 2005, Schlumberger recorded net credits of $134 million ($2 million of charges in the US; $136 million of net credits outside of the US).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net deferred tax assets were as follows: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89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2"/>
              </w:rPr>
              <w:t>June 30 2006</w:t>
            </w:r>
          </w:p>
        </w:tc>
        <w:tc>
          <w:tcPr>
            <w:tcW w:w="10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85"/>
              </w:rPr>
              <w:t>Dec. 31 2005</w:t>
            </w:r>
          </w:p>
        </w:tc>
        <w:tc>
          <w:tcPr>
            <w:tcW w:w="0" w:type="dxa"/>
            <w:vAlign w:val="bottom"/>
          </w:tcPr>
          <w:p>
            <w:pPr>
              <w:spacing w:after="0"/>
              <w:rPr>
                <w:sz w:val="1"/>
                <w:szCs w:val="1"/>
                <w:color w:val="auto"/>
              </w:rPr>
            </w:pPr>
          </w:p>
        </w:tc>
      </w:tr>
      <w:tr>
        <w:trPr>
          <w:trHeight w:val="149"/>
        </w:trPr>
        <w:tc>
          <w:tcPr>
            <w:tcW w:w="8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Postretirement and other long-term benefits</w:t>
            </w:r>
          </w:p>
        </w:tc>
        <w:tc>
          <w:tcPr>
            <w:tcW w:w="19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5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263</w:t>
            </w:r>
          </w:p>
        </w:tc>
        <w:tc>
          <w:tcPr>
            <w:tcW w:w="1320" w:type="dxa"/>
            <w:vAlign w:val="bottom"/>
            <w:gridSpan w:val="3"/>
            <w:shd w:val="clear" w:color="auto" w:fill="CCEEFF"/>
          </w:tcPr>
          <w:p>
            <w:pPr>
              <w:ind w:left="10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900" w:type="dxa"/>
            <w:vAlign w:val="bottom"/>
          </w:tcPr>
          <w:p>
            <w:pPr>
              <w:spacing w:after="0" w:line="149" w:lineRule="exact"/>
              <w:rPr>
                <w:sz w:val="20"/>
                <w:szCs w:val="20"/>
                <w:color w:val="auto"/>
              </w:rPr>
            </w:pPr>
            <w:r>
              <w:rPr>
                <w:rFonts w:ascii="Arial" w:cs="Arial" w:eastAsia="Arial" w:hAnsi="Arial"/>
                <w:sz w:val="14"/>
                <w:szCs w:val="14"/>
                <w:color w:val="auto"/>
              </w:rPr>
              <w:t>Current employee benefits</w:t>
            </w:r>
          </w:p>
        </w:tc>
        <w:tc>
          <w:tcPr>
            <w:tcW w:w="190" w:type="dxa"/>
            <w:vAlign w:val="bottom"/>
          </w:tcPr>
          <w:p>
            <w:pPr>
              <w:spacing w:after="0"/>
              <w:rPr>
                <w:sz w:val="12"/>
                <w:szCs w:val="12"/>
                <w:color w:val="auto"/>
              </w:rPr>
            </w:pPr>
          </w:p>
        </w:tc>
        <w:tc>
          <w:tcPr>
            <w:tcW w:w="57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60</w:t>
            </w: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Fixed assets, inventory and other</w:t>
            </w:r>
          </w:p>
        </w:tc>
        <w:tc>
          <w:tcPr>
            <w:tcW w:w="190" w:type="dxa"/>
            <w:vAlign w:val="bottom"/>
            <w:shd w:val="clear" w:color="auto" w:fill="CCEEFF"/>
          </w:tcPr>
          <w:p>
            <w:pPr>
              <w:spacing w:after="0"/>
              <w:rPr>
                <w:sz w:val="12"/>
                <w:szCs w:val="12"/>
                <w:color w:val="auto"/>
              </w:rPr>
            </w:pPr>
          </w:p>
        </w:tc>
        <w:tc>
          <w:tcPr>
            <w:tcW w:w="5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193</w:t>
            </w: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8900" w:type="dxa"/>
            <w:vAlign w:val="bottom"/>
          </w:tcPr>
          <w:p>
            <w:pPr>
              <w:spacing w:after="0"/>
              <w:rPr>
                <w:sz w:val="20"/>
                <w:szCs w:val="20"/>
                <w:color w:val="auto"/>
              </w:rPr>
            </w:pPr>
            <w:r>
              <w:rPr>
                <w:rFonts w:ascii="Arial" w:cs="Arial" w:eastAsia="Arial" w:hAnsi="Arial"/>
                <w:sz w:val="14"/>
                <w:szCs w:val="14"/>
                <w:color w:val="auto"/>
              </w:rPr>
              <w:t>Net operating losses</w:t>
            </w:r>
          </w:p>
        </w:tc>
        <w:tc>
          <w:tcPr>
            <w:tcW w:w="190" w:type="dxa"/>
            <w:vAlign w:val="bottom"/>
          </w:tcPr>
          <w:p>
            <w:pPr>
              <w:spacing w:after="0"/>
              <w:rPr>
                <w:sz w:val="15"/>
                <w:szCs w:val="15"/>
                <w:color w:val="auto"/>
              </w:rPr>
            </w:pPr>
          </w:p>
        </w:tc>
        <w:tc>
          <w:tcPr>
            <w:tcW w:w="57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8900" w:type="dxa"/>
            <w:vAlign w:val="bottom"/>
            <w:tcBorders>
              <w:bottom w:val="single" w:sz="8" w:color="auto"/>
            </w:tcBorders>
          </w:tcPr>
          <w:p>
            <w:pPr>
              <w:spacing w:after="0"/>
              <w:rPr>
                <w:sz w:val="7"/>
                <w:szCs w:val="7"/>
                <w:color w:val="auto"/>
              </w:rPr>
            </w:pPr>
          </w:p>
        </w:tc>
        <w:tc>
          <w:tcPr>
            <w:tcW w:w="190" w:type="dxa"/>
            <w:vAlign w:val="bottom"/>
            <w:tcBorders>
              <w:bottom w:val="single" w:sz="8" w:color="auto"/>
            </w:tcBorders>
          </w:tcPr>
          <w:p>
            <w:pPr>
              <w:spacing w:after="0"/>
              <w:rPr>
                <w:sz w:val="7"/>
                <w:szCs w:val="7"/>
                <w:color w:val="auto"/>
              </w:rPr>
            </w:pPr>
          </w:p>
        </w:tc>
        <w:tc>
          <w:tcPr>
            <w:tcW w:w="570" w:type="dxa"/>
            <w:vAlign w:val="bottom"/>
            <w:tcBorders>
              <w:bottom w:val="single" w:sz="8" w:color="auto"/>
            </w:tcBorders>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8900" w:type="dxa"/>
            <w:vAlign w:val="bottom"/>
          </w:tcPr>
          <w:p>
            <w:pPr>
              <w:spacing w:after="0"/>
              <w:rPr>
                <w:sz w:val="8"/>
                <w:szCs w:val="8"/>
                <w:color w:val="auto"/>
              </w:rPr>
            </w:pPr>
          </w:p>
        </w:tc>
        <w:tc>
          <w:tcPr>
            <w:tcW w:w="190" w:type="dxa"/>
            <w:vAlign w:val="bottom"/>
          </w:tcPr>
          <w:p>
            <w:pPr>
              <w:spacing w:after="0"/>
              <w:rPr>
                <w:sz w:val="8"/>
                <w:szCs w:val="8"/>
                <w:color w:val="auto"/>
              </w:rPr>
            </w:pPr>
          </w:p>
        </w:tc>
        <w:tc>
          <w:tcPr>
            <w:tcW w:w="57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8900" w:type="dxa"/>
            <w:vAlign w:val="bottom"/>
            <w:shd w:val="clear" w:color="auto" w:fill="CCEEFF"/>
          </w:tcPr>
          <w:p>
            <w:pPr>
              <w:spacing w:after="0"/>
              <w:rPr>
                <w:sz w:val="12"/>
                <w:szCs w:val="12"/>
                <w:color w:val="auto"/>
              </w:rPr>
            </w:pPr>
          </w:p>
        </w:tc>
        <w:tc>
          <w:tcPr>
            <w:tcW w:w="19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5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523</w:t>
            </w:r>
          </w:p>
        </w:tc>
        <w:tc>
          <w:tcPr>
            <w:tcW w:w="1320" w:type="dxa"/>
            <w:vAlign w:val="bottom"/>
            <w:gridSpan w:val="3"/>
            <w:shd w:val="clear" w:color="auto" w:fill="CCEEFF"/>
          </w:tcPr>
          <w:p>
            <w:pPr>
              <w:ind w:left="10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8900" w:type="dxa"/>
            <w:vAlign w:val="bottom"/>
          </w:tcPr>
          <w:p>
            <w:pPr>
              <w:spacing w:after="0"/>
              <w:rPr>
                <w:sz w:val="11"/>
                <w:szCs w:val="11"/>
                <w:color w:val="auto"/>
              </w:rPr>
            </w:pPr>
          </w:p>
        </w:tc>
        <w:tc>
          <w:tcPr>
            <w:tcW w:w="19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5654675</wp:posOffset>
            </wp:positionH>
            <wp:positionV relativeFrom="paragraph">
              <wp:posOffset>-29210</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2159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1270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-29210</wp:posOffset>
            </wp:positionV>
            <wp:extent cx="2159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260" w:firstLine="228"/>
        <w:spacing w:after="0" w:line="268" w:lineRule="auto"/>
        <w:rPr>
          <w:sz w:val="20"/>
          <w:szCs w:val="20"/>
          <w:color w:val="auto"/>
        </w:rPr>
      </w:pPr>
      <w:r>
        <w:rPr>
          <w:rFonts w:ascii="Arial" w:cs="Arial" w:eastAsia="Arial" w:hAnsi="Arial"/>
          <w:sz w:val="18"/>
          <w:szCs w:val="18"/>
          <w:color w:val="auto"/>
        </w:rPr>
        <w:t>The deferred tax assets relating to net operating losses at June 30, 2006 and December 31, 2005 are net of valuation allowances in certain countries of $218 million and $213 million, respectively.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consolidated income tax expense from continuing operations were as follows: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3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gridSpan w:val="5"/>
          </w:tcPr>
          <w:p>
            <w:pPr>
              <w:jc w:val="right"/>
              <w:ind w:right="640"/>
              <w:spacing w:after="0"/>
              <w:rPr>
                <w:sz w:val="20"/>
                <w:szCs w:val="20"/>
                <w:color w:val="auto"/>
              </w:rPr>
            </w:pPr>
            <w:r>
              <w:rPr>
                <w:rFonts w:ascii="Arial" w:cs="Arial" w:eastAsia="Arial" w:hAnsi="Arial"/>
                <w:sz w:val="14"/>
                <w:szCs w:val="14"/>
                <w:b w:val="1"/>
                <w:bCs w:val="1"/>
                <w:color w:val="auto"/>
                <w:w w:val="93"/>
              </w:rPr>
              <w:t>Second Quarter</w:t>
            </w:r>
          </w:p>
        </w:tc>
        <w:tc>
          <w:tcPr>
            <w:tcW w:w="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w w:val="99"/>
              </w:rPr>
              <w:t>Six Months</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34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Borders>
              <w:bottom w:val="single" w:sz="8" w:color="auto"/>
            </w:tcBorders>
            <w:gridSpan w:val="2"/>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2006</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2005</w:t>
            </w:r>
          </w:p>
        </w:tc>
        <w:tc>
          <w:tcPr>
            <w:tcW w:w="46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2006</w:t>
            </w:r>
          </w:p>
        </w:tc>
        <w:tc>
          <w:tcPr>
            <w:tcW w:w="46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2005</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ind w:left="320"/>
              <w:spacing w:after="0" w:line="149" w:lineRule="exact"/>
              <w:rPr>
                <w:sz w:val="20"/>
                <w:szCs w:val="20"/>
                <w:color w:val="auto"/>
              </w:rPr>
            </w:pPr>
            <w:r>
              <w:rPr>
                <w:rFonts w:ascii="Arial" w:cs="Arial" w:eastAsia="Arial" w:hAnsi="Arial"/>
                <w:sz w:val="14"/>
                <w:szCs w:val="14"/>
                <w:color w:val="auto"/>
              </w:rPr>
              <w:t>United States – Federal</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132</w:t>
            </w:r>
          </w:p>
        </w:tc>
        <w:tc>
          <w:tcPr>
            <w:tcW w:w="4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90</w:t>
            </w:r>
          </w:p>
        </w:tc>
        <w:tc>
          <w:tcPr>
            <w:tcW w:w="46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179</w:t>
            </w:r>
          </w:p>
        </w:tc>
        <w:tc>
          <w:tcPr>
            <w:tcW w:w="46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w w:val="83"/>
              </w:rPr>
              <w:t>$144</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United States – State</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w:t>
            </w: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340" w:type="dxa"/>
            <w:vAlign w:val="bottom"/>
          </w:tcPr>
          <w:p>
            <w:pPr>
              <w:ind w:left="320"/>
              <w:spacing w:after="0"/>
              <w:rPr>
                <w:sz w:val="20"/>
                <w:szCs w:val="20"/>
                <w:color w:val="auto"/>
              </w:rPr>
            </w:pPr>
            <w:r>
              <w:rPr>
                <w:rFonts w:ascii="Arial" w:cs="Arial" w:eastAsia="Arial" w:hAnsi="Arial"/>
                <w:sz w:val="14"/>
                <w:szCs w:val="14"/>
                <w:color w:val="auto"/>
              </w:rPr>
              <w:t>Outside United States</w:t>
            </w:r>
          </w:p>
        </w:tc>
        <w:tc>
          <w:tcPr>
            <w:tcW w:w="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159</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91</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w w:val="76"/>
              </w:rPr>
              <w:t>303</w:t>
            </w:r>
          </w:p>
        </w:tc>
        <w:tc>
          <w:tcPr>
            <w:tcW w:w="4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175</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3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304</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499</w:t>
            </w: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$335</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ind w:left="320"/>
              <w:spacing w:after="0" w:line="149" w:lineRule="exact"/>
              <w:rPr>
                <w:sz w:val="20"/>
                <w:szCs w:val="20"/>
                <w:color w:val="auto"/>
              </w:rPr>
            </w:pPr>
            <w:r>
              <w:rPr>
                <w:rFonts w:ascii="Arial" w:cs="Arial" w:eastAsia="Arial" w:hAnsi="Arial"/>
                <w:sz w:val="14"/>
                <w:szCs w:val="14"/>
                <w:color w:val="auto"/>
              </w:rPr>
              <w:t>United States – Federal</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(22)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(21)</w:t>
            </w:r>
          </w:p>
        </w:tc>
        <w:tc>
          <w:tcPr>
            <w:tcW w:w="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31</w:t>
            </w:r>
          </w:p>
        </w:tc>
        <w:tc>
          <w:tcPr>
            <w:tcW w:w="46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1"/>
              </w:rPr>
              <w:t>$ (27)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United States – State</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w:t>
            </w:r>
          </w:p>
        </w:tc>
        <w:tc>
          <w:tcPr>
            <w:tcW w:w="4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ind w:left="320"/>
              <w:spacing w:after="0" w:line="149" w:lineRule="exact"/>
              <w:rPr>
                <w:sz w:val="20"/>
                <w:szCs w:val="20"/>
                <w:color w:val="auto"/>
              </w:rPr>
            </w:pPr>
            <w:r>
              <w:rPr>
                <w:rFonts w:ascii="Arial" w:cs="Arial" w:eastAsia="Arial" w:hAnsi="Arial"/>
                <w:sz w:val="14"/>
                <w:szCs w:val="14"/>
                <w:color w:val="auto"/>
              </w:rPr>
              <w:t>Outside United States</w:t>
            </w:r>
          </w:p>
        </w:tc>
        <w:tc>
          <w:tcPr>
            <w:tcW w:w="80" w:type="dxa"/>
            <w:vAlign w:val="bottom"/>
          </w:tcPr>
          <w:p>
            <w:pPr>
              <w:spacing w:after="0"/>
              <w:rPr>
                <w:sz w:val="12"/>
                <w:szCs w:val="12"/>
                <w:color w:val="auto"/>
              </w:rPr>
            </w:pPr>
          </w:p>
        </w:tc>
        <w:tc>
          <w:tcPr>
            <w:tcW w:w="7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2"/>
                <w:szCs w:val="12"/>
                <w:color w:val="auto"/>
              </w:rPr>
            </w:pPr>
          </w:p>
        </w:tc>
        <w:tc>
          <w:tcPr>
            <w:tcW w:w="7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(4)</w:t>
            </w:r>
          </w:p>
        </w:tc>
        <w:tc>
          <w:tcPr>
            <w:tcW w:w="80" w:type="dxa"/>
            <w:vAlign w:val="bottom"/>
          </w:tcPr>
          <w:p>
            <w:pPr>
              <w:spacing w:after="0"/>
              <w:rPr>
                <w:sz w:val="12"/>
                <w:szCs w:val="12"/>
                <w:color w:val="auto"/>
              </w:rPr>
            </w:pPr>
          </w:p>
        </w:tc>
        <w:tc>
          <w:tcPr>
            <w:tcW w:w="6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(3)</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43</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Valuation allowance</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(2)</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b w:val="1"/>
                <w:bCs w:val="1"/>
                <w:color w:val="auto"/>
              </w:rPr>
              <w:t>(5)</w:t>
            </w:r>
          </w:p>
        </w:tc>
        <w:tc>
          <w:tcPr>
            <w:tcW w:w="6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(26)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36</w:t>
            </w:r>
          </w:p>
        </w:tc>
        <w:tc>
          <w:tcPr>
            <w:tcW w:w="4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1"/>
              </w:rPr>
              <w:t>$ (35)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Consolidated taxes on income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278</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535</w:t>
            </w: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$300</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-29210</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-29210</wp:posOffset>
            </wp:positionV>
            <wp:extent cx="2159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3873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-29210</wp:posOffset>
            </wp:positionV>
            <wp:extent cx="1270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2159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3873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-29210</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2159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3873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-29210</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-29210</wp:posOffset>
            </wp:positionV>
            <wp:extent cx="2159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7035165</wp:posOffset>
            </wp:positionH>
            <wp:positionV relativeFrom="paragraph">
              <wp:posOffset>-29210</wp:posOffset>
            </wp:positionV>
            <wp:extent cx="3873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US statutory federal tax rate (35%) to the consolidated effective tax rate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3920" w:type="dxa"/>
            <w:vAlign w:val="bottom"/>
            <w:tcBorders>
              <w:top w:val="single" w:sz="8" w:color="auto"/>
            </w:tcBorders>
          </w:tcPr>
          <w:p>
            <w:pPr>
              <w:spacing w:after="0"/>
              <w:rPr>
                <w:sz w:val="16"/>
                <w:szCs w:val="16"/>
                <w:color w:val="auto"/>
              </w:rPr>
            </w:pPr>
          </w:p>
        </w:tc>
        <w:tc>
          <w:tcPr>
            <w:tcW w:w="468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4"/>
          </w:tcPr>
          <w:p>
            <w:pPr>
              <w:jc w:val="right"/>
              <w:ind w:right="620"/>
              <w:spacing w:after="0"/>
              <w:rPr>
                <w:sz w:val="20"/>
                <w:szCs w:val="20"/>
                <w:color w:val="auto"/>
              </w:rPr>
            </w:pPr>
            <w:r>
              <w:rPr>
                <w:rFonts w:ascii="Arial" w:cs="Arial" w:eastAsia="Arial" w:hAnsi="Arial"/>
                <w:sz w:val="14"/>
                <w:szCs w:val="14"/>
                <w:b w:val="1"/>
                <w:bCs w:val="1"/>
                <w:color w:val="auto"/>
              </w:rPr>
              <w:t>Second Quarter</w:t>
            </w:r>
          </w:p>
        </w:tc>
        <w:tc>
          <w:tcPr>
            <w:tcW w:w="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920" w:type="dxa"/>
            <w:vAlign w:val="bottom"/>
          </w:tcPr>
          <w:p>
            <w:pPr>
              <w:spacing w:after="0"/>
              <w:rPr>
                <w:sz w:val="7"/>
                <w:szCs w:val="7"/>
                <w:color w:val="auto"/>
              </w:rPr>
            </w:pPr>
          </w:p>
        </w:tc>
        <w:tc>
          <w:tcPr>
            <w:tcW w:w="468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50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4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2006</w:t>
            </w:r>
          </w:p>
        </w:tc>
        <w:tc>
          <w:tcPr>
            <w:tcW w:w="4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76"/>
              </w:rPr>
              <w:t>2005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 federal statutory rate</w:t>
            </w:r>
          </w:p>
        </w:tc>
        <w:tc>
          <w:tcPr>
            <w:tcW w:w="5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35</w:t>
            </w: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4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35</w:t>
            </w: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US state income taxes</w:t>
            </w:r>
          </w:p>
        </w:tc>
        <w:tc>
          <w:tcPr>
            <w:tcW w:w="5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w:t>
            </w:r>
          </w:p>
        </w:tc>
        <w:tc>
          <w:tcPr>
            <w:tcW w:w="480" w:type="dxa"/>
            <w:vAlign w:val="bottom"/>
          </w:tcPr>
          <w:p>
            <w:pPr>
              <w:spacing w:after="0"/>
              <w:rPr>
                <w:sz w:val="12"/>
                <w:szCs w:val="12"/>
                <w:color w:val="auto"/>
              </w:rPr>
            </w:pP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w:t>
            </w:r>
          </w:p>
        </w:tc>
        <w:tc>
          <w:tcPr>
            <w:tcW w:w="48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 US income taxed at different rates</w:t>
            </w:r>
          </w:p>
        </w:tc>
        <w:tc>
          <w:tcPr>
            <w:tcW w:w="55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(12)</w:t>
            </w:r>
          </w:p>
        </w:tc>
        <w:tc>
          <w:tcPr>
            <w:tcW w:w="8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(9)</w:t>
            </w:r>
          </w:p>
        </w:tc>
        <w:tc>
          <w:tcPr>
            <w:tcW w:w="76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(10)</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Effect of equity method investment</w:t>
            </w:r>
          </w:p>
        </w:tc>
        <w:tc>
          <w:tcPr>
            <w:tcW w:w="554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rPr>
              <w:t>(1)</w:t>
            </w:r>
          </w:p>
        </w:tc>
        <w:tc>
          <w:tcPr>
            <w:tcW w:w="8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w:t>
            </w:r>
          </w:p>
        </w:tc>
        <w:tc>
          <w:tcPr>
            <w:tcW w:w="76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rPr>
              <w:t>(1)</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partner’s share of LLC earnings</w:t>
            </w:r>
          </w:p>
        </w:tc>
        <w:tc>
          <w:tcPr>
            <w:tcW w:w="46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Charges and credits</w:t>
            </w:r>
          </w:p>
        </w:tc>
        <w:tc>
          <w:tcPr>
            <w:tcW w:w="5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w:t>
            </w:r>
          </w:p>
        </w:tc>
        <w:tc>
          <w:tcPr>
            <w:tcW w:w="480" w:type="dxa"/>
            <w:vAlign w:val="bottom"/>
          </w:tcPr>
          <w:p>
            <w:pPr>
              <w:spacing w:after="0"/>
              <w:rPr>
                <w:sz w:val="12"/>
                <w:szCs w:val="12"/>
                <w:color w:val="auto"/>
              </w:rPr>
            </w:pP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w:t>
            </w:r>
          </w:p>
        </w:tc>
        <w:tc>
          <w:tcPr>
            <w:tcW w:w="48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55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(1)</w:t>
            </w: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(1)</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20" w:type="dxa"/>
            <w:vAlign w:val="bottom"/>
            <w:tcBorders>
              <w:bottom w:val="single" w:sz="8" w:color="auto"/>
            </w:tcBorders>
          </w:tcPr>
          <w:p>
            <w:pPr>
              <w:spacing w:after="0"/>
              <w:rPr>
                <w:sz w:val="9"/>
                <w:szCs w:val="9"/>
                <w:color w:val="auto"/>
              </w:rPr>
            </w:pPr>
          </w:p>
        </w:tc>
        <w:tc>
          <w:tcPr>
            <w:tcW w:w="46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Effective income tax rate</w:t>
            </w:r>
          </w:p>
        </w:tc>
        <w:tc>
          <w:tcPr>
            <w:tcW w:w="5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24</w:t>
            </w: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4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25</w:t>
            </w: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4680" w:type="dxa"/>
            <w:vAlign w:val="bottom"/>
            <w:vMerge w:val="restart"/>
          </w:tcPr>
          <w:p>
            <w:pPr>
              <w:jc w:val="right"/>
              <w:ind w:right="2772"/>
              <w:spacing w:after="0"/>
              <w:rPr>
                <w:sz w:val="20"/>
                <w:szCs w:val="20"/>
                <w:color w:val="auto"/>
              </w:rPr>
            </w:pPr>
            <w:r>
              <w:rPr>
                <w:rFonts w:ascii="Arial" w:cs="Arial" w:eastAsia="Arial" w:hAnsi="Arial"/>
                <w:sz w:val="14"/>
                <w:szCs w:val="14"/>
                <w:color w:val="auto"/>
              </w:rPr>
              <w:t>17</w:t>
            </w:r>
          </w:p>
        </w:tc>
        <w:tc>
          <w:tcPr>
            <w:tcW w:w="3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6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-292735</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-292735</wp:posOffset>
            </wp:positionV>
            <wp:extent cx="3873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-292735</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-292735</wp:posOffset>
            </wp:positionV>
            <wp:extent cx="3873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-292735</wp:posOffset>
            </wp:positionV>
            <wp:extent cx="1270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-292735</wp:posOffset>
            </wp:positionV>
            <wp:extent cx="3873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-292735</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-292735</wp:posOffset>
            </wp:positionV>
            <wp:extent cx="3873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w:t>
      </w:r>
    </w:p>
    <w:p>
      <w:pPr>
        <w:spacing w:after="0" w:line="206" w:lineRule="exact"/>
        <w:rPr>
          <w:sz w:val="20"/>
          <w:szCs w:val="20"/>
          <w:color w:val="auto"/>
        </w:rPr>
      </w:pPr>
    </w:p>
    <w:p>
      <w:pPr>
        <w:jc w:val="both"/>
        <w:ind w:right="380" w:firstLine="228"/>
        <w:spacing w:after="0" w:line="253" w:lineRule="auto"/>
        <w:rPr>
          <w:sz w:val="20"/>
          <w:szCs w:val="20"/>
          <w:color w:val="auto"/>
        </w:rPr>
      </w:pPr>
      <w:r>
        <w:rPr>
          <w:rFonts w:ascii="Arial" w:cs="Arial" w:eastAsia="Arial" w:hAnsi="Arial"/>
          <w:sz w:val="18"/>
          <w:szCs w:val="18"/>
          <w:color w:val="auto"/>
        </w:rPr>
        <w:t>The charges and credits described in Note 2 increased the Schlumberger effective tax rate by one percentage point during the three and six months ended June 30, 2006 and lowered the effective tax rate by two percentage points during the six months ended June 30, 2005. Schlumberger reported no charges and credits in the second quarter of 2005.</w:t>
      </w:r>
    </w:p>
    <w:p>
      <w:pPr>
        <w:ind w:right="20" w:firstLine="228"/>
        <w:spacing w:after="0" w:line="292" w:lineRule="auto"/>
        <w:rPr>
          <w:sz w:val="20"/>
          <w:szCs w:val="20"/>
          <w:color w:val="auto"/>
        </w:rPr>
      </w:pPr>
      <w:r>
        <w:rPr>
          <w:rFonts w:ascii="Arial" w:cs="Arial" w:eastAsia="Arial" w:hAnsi="Arial"/>
          <w:sz w:val="16"/>
          <w:szCs w:val="16"/>
          <w:color w:val="auto"/>
        </w:rPr>
        <w:t xml:space="preserve">In July 2006, the Financial Accounting Standards Board (FASB) issued FASB Interpretation No. 48, </w:t>
      </w:r>
      <w:r>
        <w:rPr>
          <w:rFonts w:ascii="Arial" w:cs="Arial" w:eastAsia="Arial" w:hAnsi="Arial"/>
          <w:sz w:val="16"/>
          <w:szCs w:val="16"/>
          <w:i w:val="1"/>
          <w:iCs w:val="1"/>
          <w:color w:val="auto"/>
        </w:rPr>
        <w:t>Accounting for Uncertainty in Income Taxes—an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Interpretation of FASB Statement No. 109 </w:t>
      </w:r>
      <w:r>
        <w:rPr>
          <w:rFonts w:ascii="Arial" w:cs="Arial" w:eastAsia="Arial" w:hAnsi="Arial"/>
          <w:sz w:val="16"/>
          <w:szCs w:val="16"/>
          <w:color w:val="auto"/>
        </w:rPr>
        <w:t>(FIN 48), which clarifies the accounting for uncertain tax positions. This interpretation requires companies to recognize</w:t>
      </w:r>
      <w:r>
        <w:rPr>
          <w:rFonts w:ascii="Arial" w:cs="Arial" w:eastAsia="Arial" w:hAnsi="Arial"/>
          <w:sz w:val="16"/>
          <w:szCs w:val="16"/>
          <w:i w:val="1"/>
          <w:iCs w:val="1"/>
          <w:color w:val="auto"/>
        </w:rPr>
        <w:t xml:space="preserve"> </w:t>
      </w:r>
      <w:r>
        <w:rPr>
          <w:rFonts w:ascii="Arial" w:cs="Arial" w:eastAsia="Arial" w:hAnsi="Arial"/>
          <w:sz w:val="16"/>
          <w:szCs w:val="16"/>
          <w:color w:val="auto"/>
        </w:rPr>
        <w:t>in their financial statements the impact of a tax position, if that position is more likely than not of being sustained on audit, based on the technical merits of the position. The provisions of FIN 48 are effective for Schlumberger on January 1, 2007, with the cumulative effect of the change in accounting principle, if any, recorded as an adjustment to opening retained earnings. Schlumberger is currently evaluating the impact of adopting FIN 48.</w:t>
      </w:r>
    </w:p>
    <w:p>
      <w:pPr>
        <w:spacing w:after="0" w:line="93" w:lineRule="exact"/>
        <w:rPr>
          <w:sz w:val="20"/>
          <w:szCs w:val="20"/>
          <w:color w:val="auto"/>
        </w:rPr>
      </w:pPr>
    </w:p>
    <w:p>
      <w:pPr>
        <w:ind w:left="440" w:hanging="432"/>
        <w:spacing w:after="0"/>
        <w:tabs>
          <w:tab w:leader="none" w:pos="4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74"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includes accruals for the estimated future costs associated with certain environmental remediation activities related to the past use or disposal of hazardous materials where it is probable that Schlumberger has incurred a liability and such amount can be reasonably estimated. Substantially all such costs relate to divested operations and to facilities or locations that are no longer in operation. Due to a number of uncertainties, including uncertainty of timing, the scope of remediation, future technology, regulatory changes, natural resource or property damage claims and other factors, it is possible that the ultimate remediation costs may exceed the amounts estimated. However, in the opinion of management, any such additional costs are not expected to be material relative to consolidated liquidity, financial position or future results of operations.</w:t>
      </w:r>
    </w:p>
    <w:p>
      <w:pPr>
        <w:spacing w:after="0" w:line="1" w:lineRule="exact"/>
        <w:rPr>
          <w:sz w:val="20"/>
          <w:szCs w:val="20"/>
          <w:color w:val="auto"/>
        </w:rPr>
      </w:pPr>
    </w:p>
    <w:p>
      <w:pPr>
        <w:jc w:val="both"/>
        <w:ind w:right="320" w:firstLine="228"/>
        <w:spacing w:after="0" w:line="28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included accruals for estimated future expenditures, relating to potential contractual obligations, associated with business divestitures that have been completed. It is possible that the ultimate expenditures may differ from the amounts recorded. In the opinion of management, such differences are not expected to be material relative to consolidated liquidity, financial position or future results of operations.</w:t>
      </w:r>
    </w:p>
    <w:p>
      <w:pPr>
        <w:spacing w:after="0" w:line="2" w:lineRule="exact"/>
        <w:rPr>
          <w:sz w:val="20"/>
          <w:szCs w:val="20"/>
          <w:color w:val="auto"/>
        </w:rPr>
      </w:pPr>
    </w:p>
    <w:p>
      <w:pPr>
        <w:ind w:firstLine="228"/>
        <w:spacing w:after="0" w:line="281" w:lineRule="auto"/>
        <w:rPr>
          <w:sz w:val="20"/>
          <w:szCs w:val="20"/>
          <w:color w:val="auto"/>
        </w:rPr>
      </w:pPr>
      <w:r>
        <w:rPr>
          <w:rFonts w:ascii="Arial" w:cs="Arial" w:eastAsia="Arial" w:hAnsi="Arial"/>
          <w:sz w:val="16"/>
          <w:szCs w:val="16"/>
          <w:color w:val="auto"/>
        </w:rPr>
        <w:t xml:space="preserve">In December 2004, WesternGeco L.L.C. and Schlumberger Technology Corporation received federal grand jury subpoenas issued by the United States District Court for the Southern District of Texas. The subpoenas sought documents relating to possible fraud in obtaining visas for foreign crewmembers working on vessels operating on the Outer Continental Shelf of the Gulf of Mexico. On June 16, 2006, WesternGeco L.L.C. entered into an agreement with the United States Attorney’s Office for the Southern District of Texas (“USAO”) resolving the issues raised in the federal investigation. Under the terms of the agreement, WesternGeco L.L.C. accepted responsibility for U.S. visa violations and agreed to pay a monetary penalty of $18 million and reimburse the United States Government for $1.6 million in investigation expenses. As a result of this agreement, a pretax charge of approximately $10 million ($7 million after-tax and minority interest) was recorded in the second quarter of 2006 (see Note 2 </w:t>
      </w:r>
      <w:r>
        <w:rPr>
          <w:rFonts w:ascii="Arial" w:cs="Arial" w:eastAsia="Arial" w:hAnsi="Arial"/>
          <w:sz w:val="16"/>
          <w:szCs w:val="16"/>
          <w:i w:val="1"/>
          <w:iCs w:val="1"/>
          <w:color w:val="auto"/>
        </w:rPr>
        <w:t>Charges and Credits</w:t>
      </w:r>
      <w:r>
        <w:rPr>
          <w:rFonts w:ascii="Arial" w:cs="Arial" w:eastAsia="Arial" w:hAnsi="Arial"/>
          <w:sz w:val="16"/>
          <w:szCs w:val="16"/>
          <w:color w:val="auto"/>
        </w:rPr>
        <w:t>). Additionally, WesternGeco L.L.C. accepted a deferred prosecution agreement covering a one-year period, during which time WesternGeco L.L.C.’s Gulf of Mexico activities will be subject to monitoring by the USAO. At the conclusion of the one-year period, if WesternGeco L.L.C. has complied with the deferred prosecution agreement, such agreement will expire and no prosecution arising from the investigation will be brought. WesternGeco has also developed and implemented a comprehensive visa and immigration compliance program to prevent a recurrence of any improper visa practices.</w:t>
      </w:r>
    </w:p>
    <w:p>
      <w:pPr>
        <w:spacing w:after="0" w:line="7" w:lineRule="exact"/>
        <w:rPr>
          <w:sz w:val="20"/>
          <w:szCs w:val="20"/>
          <w:color w:val="auto"/>
        </w:rPr>
      </w:pPr>
    </w:p>
    <w:p>
      <w:pPr>
        <w:ind w:firstLine="228"/>
        <w:spacing w:after="0" w:line="361" w:lineRule="auto"/>
        <w:rPr>
          <w:sz w:val="20"/>
          <w:szCs w:val="20"/>
          <w:color w:val="auto"/>
        </w:rPr>
      </w:pPr>
      <w:r>
        <w:rPr>
          <w:rFonts w:ascii="Arial" w:cs="Arial" w:eastAsia="Arial" w:hAnsi="Arial"/>
          <w:sz w:val="15"/>
          <w:szCs w:val="15"/>
          <w:color w:val="auto"/>
        </w:rPr>
        <w:t>Schlumberger and its subsidiaries are party to various other legal proceedings. A liability is accrued when a loss is both probable and can be reasonably estimable. At this time the ultimate disposition of these proceedings is not presently determinable and therefore, it is not possible to estimate the amount of loss or</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w:t>
      </w:r>
    </w:p>
    <w:p>
      <w:pPr>
        <w:spacing w:after="0" w:line="20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proceedings is not presently determinable and therefore, it is not possible to estimate the amount of loss or range of possible losses that might result from an adverse judgment or settlement in these matters. However, in the opinion of Schlumberger any liability that might ensue would not be material in relation to the consolidated liquidity, financial position or future results of operations.</w:t>
      </w:r>
    </w:p>
    <w:p>
      <w:pPr>
        <w:spacing w:after="0" w:line="116" w:lineRule="exact"/>
        <w:rPr>
          <w:sz w:val="20"/>
          <w:szCs w:val="20"/>
          <w:color w:val="auto"/>
        </w:rPr>
      </w:pPr>
    </w:p>
    <w:p>
      <w:pPr>
        <w:ind w:left="440" w:hanging="432"/>
        <w:spacing w:after="0"/>
        <w:tabs>
          <w:tab w:leader="none" w:pos="4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Schlumberger operates two business segments: Oilfield Services and WesternGeco.</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gridSpan w:val="7"/>
          </w:tcPr>
          <w:p>
            <w:pPr>
              <w:ind w:left="140"/>
              <w:spacing w:after="0"/>
              <w:rPr>
                <w:sz w:val="20"/>
                <w:szCs w:val="20"/>
                <w:color w:val="auto"/>
              </w:rPr>
            </w:pPr>
            <w:r>
              <w:rPr>
                <w:rFonts w:ascii="Arial" w:cs="Arial" w:eastAsia="Arial" w:hAnsi="Arial"/>
                <w:sz w:val="14"/>
                <w:szCs w:val="14"/>
                <w:b w:val="1"/>
                <w:bCs w:val="1"/>
                <w:color w:val="auto"/>
                <w:w w:val="95"/>
              </w:rPr>
              <w:t>SECOND QUARTER 2006</w:t>
            </w:r>
          </w:p>
        </w:tc>
        <w:tc>
          <w:tcPr>
            <w:tcW w:w="2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w w:val="92"/>
              </w:rPr>
              <w:t>SECOND QUARTER 2005</w:t>
            </w:r>
          </w:p>
        </w:tc>
        <w:tc>
          <w:tcPr>
            <w:tcW w:w="2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8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gridSpan w:val="2"/>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gridSpan w:val="2"/>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gridSpan w:val="2"/>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5"/>
              </w:rPr>
              <w:t>Income</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5"/>
              </w:rPr>
              <w:t>Income</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1"/>
              </w:rPr>
              <w:t>Income</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1"/>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after</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79"/>
              </w:rPr>
              <w:t>before</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after</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79"/>
              </w:rPr>
              <w:t>before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9"/>
              </w:rPr>
              <w:t>tax &amp;</w:t>
            </w:r>
          </w:p>
        </w:tc>
        <w:tc>
          <w:tcPr>
            <w:tcW w:w="8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Minority</w:t>
            </w:r>
          </w:p>
        </w:tc>
        <w:tc>
          <w:tcPr>
            <w:tcW w:w="240" w:type="dxa"/>
            <w:vAlign w:val="bottom"/>
          </w:tcPr>
          <w:p>
            <w:pPr>
              <w:spacing w:after="0"/>
              <w:rPr>
                <w:sz w:val="12"/>
                <w:szCs w:val="12"/>
                <w:color w:val="auto"/>
              </w:rPr>
            </w:pPr>
          </w:p>
        </w:tc>
        <w:tc>
          <w:tcPr>
            <w:tcW w:w="5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0"/>
              </w:rPr>
              <w:t>Tax</w:t>
            </w:r>
          </w:p>
        </w:tc>
        <w:tc>
          <w:tcPr>
            <w:tcW w:w="80" w:type="dxa"/>
            <w:vAlign w:val="bottom"/>
          </w:tcPr>
          <w:p>
            <w:pPr>
              <w:spacing w:after="0"/>
              <w:rPr>
                <w:sz w:val="12"/>
                <w:szCs w:val="12"/>
                <w:color w:val="auto"/>
              </w:rPr>
            </w:pPr>
          </w:p>
        </w:tc>
        <w:tc>
          <w:tcPr>
            <w:tcW w:w="6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9"/>
              </w:rPr>
              <w:t>tax &amp;</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3"/>
              </w:rPr>
              <w:t>tax &amp;</w:t>
            </w:r>
          </w:p>
        </w:tc>
        <w:tc>
          <w:tcPr>
            <w:tcW w:w="5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1"/>
              </w:rPr>
              <w:t>Minority</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82"/>
              </w:rPr>
              <w:t>Tax</w:t>
            </w:r>
          </w:p>
        </w:tc>
        <w:tc>
          <w:tcPr>
            <w:tcW w:w="60" w:type="dxa"/>
            <w:vAlign w:val="bottom"/>
          </w:tcPr>
          <w:p>
            <w:pPr>
              <w:spacing w:after="0"/>
              <w:rPr>
                <w:sz w:val="12"/>
                <w:szCs w:val="12"/>
                <w:color w:val="auto"/>
              </w:rPr>
            </w:pP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9"/>
              </w:rPr>
              <w:t>tax &amp;</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4"/>
          </w:tcPr>
          <w:p>
            <w:pPr>
              <w:spacing w:after="0"/>
              <w:rPr>
                <w:sz w:val="20"/>
                <w:szCs w:val="20"/>
                <w:color w:val="auto"/>
              </w:rPr>
            </w:pPr>
            <w:r>
              <w:rPr>
                <w:rFonts w:ascii="Arial" w:cs="Arial" w:eastAsia="Arial" w:hAnsi="Arial"/>
                <w:sz w:val="14"/>
                <w:szCs w:val="14"/>
                <w:b w:val="1"/>
                <w:bCs w:val="1"/>
                <w:color w:val="auto"/>
              </w:rPr>
              <w:t>Revenue</w:t>
            </w:r>
          </w:p>
        </w:tc>
        <w:tc>
          <w:tcPr>
            <w:tcW w:w="80" w:type="dxa"/>
            <w:vAlign w:val="bottom"/>
          </w:tcPr>
          <w:p>
            <w:pPr>
              <w:spacing w:after="0"/>
              <w:rPr>
                <w:sz w:val="15"/>
                <w:szCs w:val="15"/>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MI</w:t>
            </w:r>
          </w:p>
        </w:tc>
        <w:tc>
          <w:tcPr>
            <w:tcW w:w="80" w:type="dxa"/>
            <w:vAlign w:val="bottom"/>
          </w:tcPr>
          <w:p>
            <w:pPr>
              <w:spacing w:after="0"/>
              <w:rPr>
                <w:sz w:val="15"/>
                <w:szCs w:val="15"/>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Interest</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Expense</w:t>
            </w:r>
          </w:p>
        </w:tc>
        <w:tc>
          <w:tcPr>
            <w:tcW w:w="80" w:type="dxa"/>
            <w:vAlign w:val="bottom"/>
          </w:tcPr>
          <w:p>
            <w:pPr>
              <w:spacing w:after="0"/>
              <w:rPr>
                <w:sz w:val="15"/>
                <w:szCs w:val="15"/>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MI</w:t>
            </w:r>
          </w:p>
        </w:tc>
        <w:tc>
          <w:tcPr>
            <w:tcW w:w="780" w:type="dxa"/>
            <w:vAlign w:val="bottom"/>
            <w:gridSpan w:val="4"/>
          </w:tcPr>
          <w:p>
            <w:pPr>
              <w:spacing w:after="0"/>
              <w:rPr>
                <w:sz w:val="20"/>
                <w:szCs w:val="20"/>
                <w:color w:val="auto"/>
              </w:rPr>
            </w:pPr>
            <w:r>
              <w:rPr>
                <w:rFonts w:ascii="Arial" w:cs="Arial" w:eastAsia="Arial" w:hAnsi="Arial"/>
                <w:sz w:val="14"/>
                <w:szCs w:val="14"/>
                <w:b w:val="1"/>
                <w:bCs w:val="1"/>
                <w:color w:val="auto"/>
              </w:rPr>
              <w:t>Revenue</w:t>
            </w:r>
          </w:p>
        </w:tc>
        <w:tc>
          <w:tcPr>
            <w:tcW w:w="80" w:type="dxa"/>
            <w:vAlign w:val="bottom"/>
          </w:tcPr>
          <w:p>
            <w:pPr>
              <w:spacing w:after="0"/>
              <w:rPr>
                <w:sz w:val="15"/>
                <w:szCs w:val="15"/>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MI</w:t>
            </w: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86"/>
              </w:rPr>
              <w:t>Interest</w:t>
            </w:r>
          </w:p>
        </w:tc>
        <w:tc>
          <w:tcPr>
            <w:tcW w:w="260" w:type="dxa"/>
            <w:vAlign w:val="bottom"/>
          </w:tcPr>
          <w:p>
            <w:pPr>
              <w:spacing w:after="0"/>
              <w:rPr>
                <w:sz w:val="15"/>
                <w:szCs w:val="15"/>
                <w:color w:val="auto"/>
              </w:rPr>
            </w:pP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rPr>
              <w:t>Expense</w:t>
            </w:r>
          </w:p>
        </w:tc>
        <w:tc>
          <w:tcPr>
            <w:tcW w:w="60" w:type="dxa"/>
            <w:vAlign w:val="bottom"/>
          </w:tcPr>
          <w:p>
            <w:pPr>
              <w:spacing w:after="0"/>
              <w:rPr>
                <w:sz w:val="15"/>
                <w:szCs w:val="15"/>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MI</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OILFIELD SERVICES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ind w:left="320"/>
              <w:spacing w:after="0" w:line="149" w:lineRule="exact"/>
              <w:rPr>
                <w:sz w:val="20"/>
                <w:szCs w:val="20"/>
                <w:color w:val="auto"/>
              </w:rPr>
            </w:pPr>
            <w:r>
              <w:rPr>
                <w:rFonts w:ascii="Arial" w:cs="Arial" w:eastAsia="Arial" w:hAnsi="Arial"/>
                <w:sz w:val="14"/>
                <w:szCs w:val="14"/>
                <w:color w:val="auto"/>
              </w:rPr>
              <w:t>North America</w:t>
            </w:r>
          </w:p>
        </w:tc>
        <w:tc>
          <w:tcPr>
            <w:tcW w:w="1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6"/>
              </w:rPr>
              <w:t>1,266</w:t>
            </w:r>
          </w:p>
        </w:tc>
        <w:tc>
          <w:tcPr>
            <w:tcW w:w="3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240</w:t>
            </w:r>
          </w:p>
        </w:tc>
        <w:tc>
          <w:tcPr>
            <w:tcW w:w="30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w w:val="94"/>
              </w:rPr>
              <w:t>136</w:t>
            </w:r>
          </w:p>
        </w:tc>
        <w:tc>
          <w:tcPr>
            <w:tcW w:w="3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376</w:t>
            </w:r>
          </w:p>
        </w:tc>
        <w:tc>
          <w:tcPr>
            <w:tcW w:w="32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907</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150</w:t>
            </w:r>
          </w:p>
        </w:tc>
        <w:tc>
          <w:tcPr>
            <w:tcW w:w="32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84</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234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Latin America</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666</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554</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ind w:left="320"/>
              <w:spacing w:after="0" w:line="149" w:lineRule="exact"/>
              <w:rPr>
                <w:sz w:val="20"/>
                <w:szCs w:val="20"/>
                <w:color w:val="auto"/>
              </w:rPr>
            </w:pPr>
            <w:r>
              <w:rPr>
                <w:rFonts w:ascii="Arial" w:cs="Arial" w:eastAsia="Arial" w:hAnsi="Arial"/>
                <w:sz w:val="14"/>
                <w:szCs w:val="14"/>
                <w:color w:val="auto"/>
              </w:rPr>
              <w:t>Europe/CIS/W. Africa</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6"/>
              </w:rPr>
              <w:t>1,180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245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ind w:left="380"/>
              <w:spacing w:after="0"/>
              <w:rPr>
                <w:sz w:val="20"/>
                <w:szCs w:val="20"/>
                <w:color w:val="auto"/>
              </w:rPr>
            </w:pPr>
            <w:r>
              <w:rPr>
                <w:rFonts w:ascii="Arial" w:cs="Arial" w:eastAsia="Arial" w:hAnsi="Arial"/>
                <w:sz w:val="10"/>
                <w:szCs w:val="10"/>
                <w:color w:val="auto"/>
                <w:w w:val="71"/>
              </w:rPr>
              <w:t>1</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48</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294</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825</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127</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154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Middle East &amp; Asia</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975</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731</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00" w:type="dxa"/>
            <w:vAlign w:val="bottom"/>
          </w:tcPr>
          <w:p>
            <w:pPr>
              <w:ind w:left="320"/>
              <w:spacing w:after="0"/>
              <w:rPr>
                <w:sz w:val="20"/>
                <w:szCs w:val="20"/>
                <w:color w:val="auto"/>
              </w:rPr>
            </w:pPr>
            <w:r>
              <w:rPr>
                <w:rFonts w:ascii="Arial" w:cs="Arial" w:eastAsia="Arial" w:hAnsi="Arial"/>
                <w:sz w:val="14"/>
                <w:szCs w:val="14"/>
                <w:color w:val="auto"/>
              </w:rPr>
              <w:t>Elims/Other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40</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78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5</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4</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27</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6"/>
              </w:rPr>
              <w:t>4,127</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872</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ind w:left="380"/>
              <w:spacing w:after="0"/>
              <w:rPr>
                <w:sz w:val="20"/>
                <w:szCs w:val="20"/>
                <w:color w:val="auto"/>
              </w:rPr>
            </w:pPr>
            <w:r>
              <w:rPr>
                <w:rFonts w:ascii="Arial" w:cs="Arial" w:eastAsia="Arial" w:hAnsi="Arial"/>
                <w:sz w:val="10"/>
                <w:szCs w:val="10"/>
                <w:color w:val="auto"/>
                <w:w w:val="71"/>
              </w:rPr>
              <w:t>1</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251</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1,124</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3,044</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517</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157</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WESTERNGECO</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562</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ind w:left="380"/>
              <w:spacing w:after="0"/>
              <w:rPr>
                <w:sz w:val="20"/>
                <w:szCs w:val="20"/>
                <w:color w:val="auto"/>
              </w:rPr>
            </w:pPr>
            <w:r>
              <w:rPr>
                <w:rFonts w:ascii="Arial" w:cs="Arial" w:eastAsia="Arial" w:hAnsi="Arial"/>
                <w:sz w:val="10"/>
                <w:szCs w:val="10"/>
                <w:color w:val="auto"/>
                <w:w w:val="71"/>
              </w:rPr>
              <w:t>8</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383</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Elims &amp; Other</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(57)</w:t>
            </w:r>
          </w:p>
        </w:tc>
        <w:tc>
          <w:tcPr>
            <w:tcW w:w="80" w:type="dxa"/>
            <w:vAlign w:val="bottom"/>
            <w:shd w:val="clear" w:color="auto" w:fill="CCEEFF"/>
          </w:tcPr>
          <w:p>
            <w:pPr>
              <w:spacing w:after="0"/>
              <w:rPr>
                <w:sz w:val="12"/>
                <w:szCs w:val="12"/>
                <w:color w:val="auto"/>
              </w:rPr>
            </w:pPr>
          </w:p>
        </w:tc>
        <w:tc>
          <w:tcPr>
            <w:tcW w:w="780" w:type="dxa"/>
            <w:vAlign w:val="bottom"/>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(3)</w:t>
            </w:r>
          </w:p>
        </w:tc>
        <w:tc>
          <w:tcPr>
            <w:tcW w:w="2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(85)</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(44)</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(16)</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6"/>
              </w:rPr>
              <w:t>4,687</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935</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ind w:left="380"/>
              <w:spacing w:after="0"/>
              <w:rPr>
                <w:sz w:val="20"/>
                <w:szCs w:val="20"/>
                <w:color w:val="auto"/>
              </w:rPr>
            </w:pPr>
            <w:r>
              <w:rPr>
                <w:rFonts w:ascii="Arial" w:cs="Arial" w:eastAsia="Arial" w:hAnsi="Arial"/>
                <w:sz w:val="10"/>
                <w:szCs w:val="10"/>
                <w:color w:val="auto"/>
                <w:w w:val="71"/>
              </w:rPr>
              <w:t>6</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278</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3,429</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499</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5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162</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tcPr>
          <w:p>
            <w:pPr>
              <w:spacing w:after="0" w:line="176" w:lineRule="exact"/>
              <w:rPr>
                <w:sz w:val="20"/>
                <w:szCs w:val="20"/>
                <w:color w:val="auto"/>
              </w:rPr>
            </w:pPr>
            <w:r>
              <w:rPr>
                <w:rFonts w:ascii="Arial" w:cs="Arial" w:eastAsia="Arial" w:hAnsi="Arial"/>
                <w:sz w:val="13"/>
                <w:szCs w:val="13"/>
                <w:color w:val="auto"/>
              </w:rPr>
              <w:t xml:space="preserve">Interest Expense </w:t>
            </w:r>
            <w:r>
              <w:rPr>
                <w:rFonts w:ascii="Arial" w:cs="Arial" w:eastAsia="Arial" w:hAnsi="Arial"/>
                <w:sz w:val="20"/>
                <w:szCs w:val="20"/>
                <w:color w:val="auto"/>
                <w:vertAlign w:val="superscript"/>
              </w:rPr>
              <w:t>(1)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(60)</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 xml:space="preserve">Charges and Credits </w:t>
            </w:r>
            <w:r>
              <w:rPr>
                <w:rFonts w:ascii="Arial" w:cs="Arial" w:eastAsia="Arial" w:hAnsi="Arial"/>
                <w:sz w:val="20"/>
                <w:szCs w:val="20"/>
                <w:color w:val="auto"/>
                <w:vertAlign w:val="superscript"/>
              </w:rPr>
              <w:t>(2)</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1,141</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2430145</wp:posOffset>
            </wp:positionH>
            <wp:positionV relativeFrom="paragraph">
              <wp:posOffset>-749300</wp:posOffset>
            </wp:positionV>
            <wp:extent cx="1270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-749300</wp:posOffset>
            </wp:positionV>
            <wp:extent cx="2159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-749300</wp:posOffset>
            </wp:positionV>
            <wp:extent cx="3873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-749300</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-749300</wp:posOffset>
            </wp:positionV>
            <wp:extent cx="2159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-749300</wp:posOffset>
            </wp:positionV>
            <wp:extent cx="3873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-749300</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-749300</wp:posOffset>
            </wp:positionV>
            <wp:extent cx="2159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-749300</wp:posOffset>
            </wp:positionV>
            <wp:extent cx="3873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-749300</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-749300</wp:posOffset>
            </wp:positionV>
            <wp:extent cx="2159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-749300</wp:posOffset>
            </wp:positionV>
            <wp:extent cx="3873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-749300</wp:posOffset>
            </wp:positionV>
            <wp:extent cx="32131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-749300</wp:posOffset>
            </wp:positionV>
            <wp:extent cx="1270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-749300</wp:posOffset>
            </wp:positionV>
            <wp:extent cx="2159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-749300</wp:posOffset>
            </wp:positionV>
            <wp:extent cx="38735"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-749300</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-749300</wp:posOffset>
            </wp:positionV>
            <wp:extent cx="1270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-749300</wp:posOffset>
            </wp:positionV>
            <wp:extent cx="2159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-749300</wp:posOffset>
            </wp:positionV>
            <wp:extent cx="1270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-749300</wp:posOffset>
            </wp:positionV>
            <wp:extent cx="2159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-749300</wp:posOffset>
            </wp:positionV>
            <wp:extent cx="38735"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-29210</wp:posOffset>
            </wp:positionV>
            <wp:extent cx="1270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-29210</wp:posOffset>
            </wp:positionV>
            <wp:extent cx="2159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-29210</wp:posOffset>
            </wp:positionV>
            <wp:extent cx="38735"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-29210</wp:posOffset>
            </wp:positionV>
            <wp:extent cx="1270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-29210</wp:posOffset>
            </wp:positionV>
            <wp:extent cx="2159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1"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Excludes interest expense included in the Segment results ($2 million in 2006; $3 million in 2005).</w:t>
      </w: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 xml:space="preserve">See Note 2 </w:t>
      </w:r>
      <w:r>
        <w:rPr>
          <w:rFonts w:ascii="Arial" w:cs="Arial" w:eastAsia="Arial" w:hAnsi="Arial"/>
          <w:sz w:val="14"/>
          <w:szCs w:val="14"/>
          <w:i w:val="1"/>
          <w:iCs w:val="1"/>
          <w:color w:val="auto"/>
        </w:rPr>
        <w:t>Charges and Credits</w:t>
      </w:r>
      <w:r>
        <w:rPr>
          <w:rFonts w:ascii="Arial" w:cs="Arial" w:eastAsia="Arial" w:hAnsi="Arial"/>
          <w:sz w:val="14"/>
          <w:szCs w:val="14"/>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6"/>
          </w:tcPr>
          <w:p>
            <w:pPr>
              <w:ind w:left="340"/>
              <w:spacing w:after="0"/>
              <w:rPr>
                <w:sz w:val="20"/>
                <w:szCs w:val="20"/>
                <w:color w:val="auto"/>
              </w:rPr>
            </w:pPr>
            <w:r>
              <w:rPr>
                <w:rFonts w:ascii="Arial" w:cs="Arial" w:eastAsia="Arial" w:hAnsi="Arial"/>
                <w:sz w:val="14"/>
                <w:szCs w:val="14"/>
                <w:b w:val="1"/>
                <w:bCs w:val="1"/>
                <w:color w:val="auto"/>
              </w:rPr>
              <w:t>SIX MONTHS 2006</w:t>
            </w:r>
          </w:p>
        </w:tc>
        <w:tc>
          <w:tcPr>
            <w:tcW w:w="3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8"/>
          </w:tcPr>
          <w:p>
            <w:pPr>
              <w:ind w:left="340"/>
              <w:spacing w:after="0"/>
              <w:rPr>
                <w:sz w:val="20"/>
                <w:szCs w:val="20"/>
                <w:color w:val="auto"/>
              </w:rPr>
            </w:pPr>
            <w:r>
              <w:rPr>
                <w:rFonts w:ascii="Arial" w:cs="Arial" w:eastAsia="Arial" w:hAnsi="Arial"/>
                <w:sz w:val="14"/>
                <w:szCs w:val="14"/>
                <w:b w:val="1"/>
                <w:bCs w:val="1"/>
                <w:color w:val="auto"/>
              </w:rPr>
              <w:t>SIX MONTHS 2005</w:t>
            </w:r>
          </w:p>
        </w:tc>
        <w:tc>
          <w:tcPr>
            <w:tcW w:w="3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8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gridSpan w:val="2"/>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gridSpan w:val="2"/>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gridSpan w:val="2"/>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gridSpan w:val="2"/>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5"/>
              </w:rPr>
              <w:t>Income</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81"/>
              </w:rPr>
              <w:t>Income</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81"/>
              </w:rPr>
              <w:t>Income</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1"/>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after</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79"/>
              </w:rPr>
              <w:t>before</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4"/>
          </w:tcPr>
          <w:p>
            <w:pPr>
              <w:jc w:val="right"/>
              <w:ind w:right="340"/>
              <w:spacing w:after="0" w:line="149" w:lineRule="exact"/>
              <w:rPr>
                <w:sz w:val="20"/>
                <w:szCs w:val="20"/>
                <w:color w:val="auto"/>
              </w:rPr>
            </w:pPr>
            <w:r>
              <w:rPr>
                <w:rFonts w:ascii="Arial" w:cs="Arial" w:eastAsia="Arial" w:hAnsi="Arial"/>
                <w:sz w:val="14"/>
                <w:szCs w:val="14"/>
                <w:b w:val="1"/>
                <w:bCs w:val="1"/>
                <w:color w:val="auto"/>
              </w:rPr>
              <w:t>after</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79"/>
              </w:rPr>
              <w:t>before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9"/>
              </w:rPr>
              <w:t>tax &amp;</w:t>
            </w: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Minority</w:t>
            </w:r>
          </w:p>
        </w:tc>
        <w:tc>
          <w:tcPr>
            <w:tcW w:w="18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Tax</w:t>
            </w:r>
          </w:p>
        </w:tc>
        <w:tc>
          <w:tcPr>
            <w:tcW w:w="60" w:type="dxa"/>
            <w:vAlign w:val="bottom"/>
          </w:tcPr>
          <w:p>
            <w:pPr>
              <w:spacing w:after="0"/>
              <w:rPr>
                <w:sz w:val="12"/>
                <w:szCs w:val="12"/>
                <w:color w:val="auto"/>
              </w:rPr>
            </w:pPr>
          </w:p>
        </w:tc>
        <w:tc>
          <w:tcPr>
            <w:tcW w:w="70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99"/>
              </w:rPr>
              <w:t>tax &amp;</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4"/>
          </w:tcPr>
          <w:p>
            <w:pPr>
              <w:jc w:val="right"/>
              <w:ind w:right="340"/>
              <w:spacing w:after="0" w:line="149" w:lineRule="exact"/>
              <w:rPr>
                <w:sz w:val="20"/>
                <w:szCs w:val="20"/>
                <w:color w:val="auto"/>
              </w:rPr>
            </w:pPr>
            <w:r>
              <w:rPr>
                <w:rFonts w:ascii="Arial" w:cs="Arial" w:eastAsia="Arial" w:hAnsi="Arial"/>
                <w:sz w:val="14"/>
                <w:szCs w:val="14"/>
                <w:b w:val="1"/>
                <w:bCs w:val="1"/>
                <w:color w:val="auto"/>
                <w:w w:val="93"/>
              </w:rPr>
              <w:t>tax &amp;</w:t>
            </w:r>
          </w:p>
        </w:tc>
        <w:tc>
          <w:tcPr>
            <w:tcW w:w="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Minority</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rPr>
              <w:t>Tax</w:t>
            </w:r>
          </w:p>
        </w:tc>
        <w:tc>
          <w:tcPr>
            <w:tcW w:w="60" w:type="dxa"/>
            <w:vAlign w:val="bottom"/>
          </w:tcPr>
          <w:p>
            <w:pPr>
              <w:spacing w:after="0"/>
              <w:rPr>
                <w:sz w:val="12"/>
                <w:szCs w:val="12"/>
                <w:color w:val="auto"/>
              </w:rPr>
            </w:pP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9"/>
              </w:rPr>
              <w:t>tax &amp;</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Revenue</w:t>
            </w:r>
          </w:p>
        </w:tc>
        <w:tc>
          <w:tcPr>
            <w:tcW w:w="80" w:type="dxa"/>
            <w:vAlign w:val="bottom"/>
          </w:tcPr>
          <w:p>
            <w:pPr>
              <w:spacing w:after="0"/>
              <w:rPr>
                <w:sz w:val="15"/>
                <w:szCs w:val="15"/>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MI</w:t>
            </w:r>
          </w:p>
        </w:tc>
        <w:tc>
          <w:tcPr>
            <w:tcW w:w="80" w:type="dxa"/>
            <w:vAlign w:val="bottom"/>
          </w:tcPr>
          <w:p>
            <w:pPr>
              <w:spacing w:after="0"/>
              <w:rPr>
                <w:sz w:val="15"/>
                <w:szCs w:val="15"/>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2"/>
              </w:rPr>
              <w:t>Interest</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Expense</w:t>
            </w:r>
          </w:p>
        </w:tc>
        <w:tc>
          <w:tcPr>
            <w:tcW w:w="60" w:type="dxa"/>
            <w:vAlign w:val="bottom"/>
          </w:tcPr>
          <w:p>
            <w:pPr>
              <w:spacing w:after="0"/>
              <w:rPr>
                <w:sz w:val="15"/>
                <w:szCs w:val="15"/>
                <w:color w:val="auto"/>
              </w:rPr>
            </w:pPr>
          </w:p>
        </w:tc>
        <w:tc>
          <w:tcPr>
            <w:tcW w:w="7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MI</w:t>
            </w: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2"/>
              </w:rPr>
              <w:t>Revenue</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MI</w:t>
            </w:r>
          </w:p>
        </w:tc>
        <w:tc>
          <w:tcPr>
            <w:tcW w:w="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86"/>
              </w:rPr>
              <w:t>Interest</w:t>
            </w:r>
          </w:p>
        </w:tc>
        <w:tc>
          <w:tcPr>
            <w:tcW w:w="280" w:type="dxa"/>
            <w:vAlign w:val="bottom"/>
          </w:tcPr>
          <w:p>
            <w:pPr>
              <w:spacing w:after="0"/>
              <w:rPr>
                <w:sz w:val="15"/>
                <w:szCs w:val="15"/>
                <w:color w:val="auto"/>
              </w:rPr>
            </w:pP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rPr>
              <w:t>Expense</w:t>
            </w:r>
          </w:p>
        </w:tc>
        <w:tc>
          <w:tcPr>
            <w:tcW w:w="60" w:type="dxa"/>
            <w:vAlign w:val="bottom"/>
          </w:tcPr>
          <w:p>
            <w:pPr>
              <w:spacing w:after="0"/>
              <w:rPr>
                <w:sz w:val="15"/>
                <w:szCs w:val="15"/>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MI</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OILFIELD SERVICES</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ind w:left="320"/>
              <w:spacing w:after="0" w:line="149" w:lineRule="exact"/>
              <w:rPr>
                <w:sz w:val="20"/>
                <w:szCs w:val="20"/>
                <w:color w:val="auto"/>
              </w:rPr>
            </w:pPr>
            <w:r>
              <w:rPr>
                <w:rFonts w:ascii="Arial" w:cs="Arial" w:eastAsia="Arial" w:hAnsi="Arial"/>
                <w:sz w:val="14"/>
                <w:szCs w:val="14"/>
                <w:color w:val="auto"/>
              </w:rPr>
              <w:t>North America</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2,492</w:t>
            </w:r>
          </w:p>
        </w:tc>
        <w:tc>
          <w:tcPr>
            <w:tcW w:w="3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485</w:t>
            </w:r>
          </w:p>
        </w:tc>
        <w:tc>
          <w:tcPr>
            <w:tcW w:w="32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266</w:t>
            </w:r>
          </w:p>
        </w:tc>
        <w:tc>
          <w:tcPr>
            <w:tcW w:w="3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751</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1,774</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284</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153</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437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Latin America</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1,260</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1,023</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ind w:left="320"/>
              <w:spacing w:after="0" w:line="149" w:lineRule="exact"/>
              <w:rPr>
                <w:sz w:val="20"/>
                <w:szCs w:val="20"/>
                <w:color w:val="auto"/>
              </w:rPr>
            </w:pPr>
            <w:r>
              <w:rPr>
                <w:rFonts w:ascii="Arial" w:cs="Arial" w:eastAsia="Arial" w:hAnsi="Arial"/>
                <w:sz w:val="14"/>
                <w:szCs w:val="14"/>
                <w:color w:val="auto"/>
              </w:rPr>
              <w:t>Europe/CIS/W. Africa</w:t>
            </w: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2,180</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413</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89</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504</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1,576</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225</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277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Middle East &amp; Asia</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1,838</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523</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593</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1,399</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336</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00" w:type="dxa"/>
            <w:vAlign w:val="bottom"/>
          </w:tcPr>
          <w:p>
            <w:pPr>
              <w:ind w:left="320"/>
              <w:spacing w:after="0"/>
              <w:rPr>
                <w:sz w:val="20"/>
                <w:szCs w:val="20"/>
                <w:color w:val="auto"/>
              </w:rPr>
            </w:pPr>
            <w:r>
              <w:rPr>
                <w:rFonts w:ascii="Arial" w:cs="Arial" w:eastAsia="Arial" w:hAnsi="Arial"/>
                <w:sz w:val="14"/>
                <w:szCs w:val="14"/>
                <w:color w:val="auto"/>
              </w:rPr>
              <w:t>Elims/Other</w:t>
            </w: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68</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6</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51</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jc w:val="right"/>
              <w:ind w:right="260"/>
              <w:spacing w:after="0"/>
              <w:rPr>
                <w:sz w:val="20"/>
                <w:szCs w:val="20"/>
                <w:color w:val="auto"/>
              </w:rPr>
            </w:pPr>
            <w:r>
              <w:rPr>
                <w:rFonts w:ascii="Arial" w:cs="Arial" w:eastAsia="Arial" w:hAnsi="Arial"/>
                <w:sz w:val="14"/>
                <w:szCs w:val="14"/>
                <w:color w:val="auto"/>
              </w:rPr>
              <w:t>(19)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8</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8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7,838</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1,596</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474</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2,072</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5,823</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945</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1,232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WESTERNGECO</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1,092</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338</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761</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Elims &amp; Other</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(128)</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(34)</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(158)</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(36)</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8,926</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1,668</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535</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6,588</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914</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4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tcPr>
          <w:p>
            <w:pPr>
              <w:spacing w:after="0" w:line="176" w:lineRule="exact"/>
              <w:rPr>
                <w:sz w:val="20"/>
                <w:szCs w:val="20"/>
                <w:color w:val="auto"/>
              </w:rPr>
            </w:pPr>
            <w:r>
              <w:rPr>
                <w:rFonts w:ascii="Arial" w:cs="Arial" w:eastAsia="Arial" w:hAnsi="Arial"/>
                <w:sz w:val="13"/>
                <w:szCs w:val="13"/>
                <w:color w:val="auto"/>
              </w:rPr>
              <w:t xml:space="preserve">Interest Expense </w:t>
            </w:r>
            <w:r>
              <w:rPr>
                <w:rFonts w:ascii="Arial" w:cs="Arial" w:eastAsia="Arial" w:hAnsi="Arial"/>
                <w:sz w:val="20"/>
                <w:szCs w:val="20"/>
                <w:color w:val="auto"/>
                <w:vertAlign w:val="superscript"/>
              </w:rPr>
              <w:t>(1)</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3"/>
          </w:tcPr>
          <w:p>
            <w:pPr>
              <w:jc w:val="right"/>
              <w:ind w:right="280"/>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 xml:space="preserve">Charges and Credits </w:t>
            </w:r>
            <w:r>
              <w:rPr>
                <w:rFonts w:ascii="Arial" w:cs="Arial" w:eastAsia="Arial" w:hAnsi="Arial"/>
                <w:sz w:val="20"/>
                <w:szCs w:val="20"/>
                <w:color w:val="auto"/>
                <w:vertAlign w:val="superscript"/>
              </w:rPr>
              <w:t>(2)</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2,163</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2421255</wp:posOffset>
            </wp:positionH>
            <wp:positionV relativeFrom="paragraph">
              <wp:posOffset>-749300</wp:posOffset>
            </wp:positionV>
            <wp:extent cx="1270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2464435</wp:posOffset>
            </wp:positionH>
            <wp:positionV relativeFrom="paragraph">
              <wp:posOffset>-749300</wp:posOffset>
            </wp:positionV>
            <wp:extent cx="2159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-749300</wp:posOffset>
            </wp:positionV>
            <wp:extent cx="38735"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-749300</wp:posOffset>
            </wp:positionV>
            <wp:extent cx="1270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-749300</wp:posOffset>
            </wp:positionV>
            <wp:extent cx="2159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-749300</wp:posOffset>
            </wp:positionV>
            <wp:extent cx="3873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-749300</wp:posOffset>
            </wp:positionV>
            <wp:extent cx="1270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-749300</wp:posOffset>
            </wp:positionV>
            <wp:extent cx="1270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-749300</wp:posOffset>
            </wp:positionV>
            <wp:extent cx="2159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-749300</wp:posOffset>
            </wp:positionV>
            <wp:extent cx="1270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-749300</wp:posOffset>
            </wp:positionV>
            <wp:extent cx="2159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-749300</wp:posOffset>
            </wp:positionV>
            <wp:extent cx="38735"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-749300</wp:posOffset>
            </wp:positionV>
            <wp:extent cx="1270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-749300</wp:posOffset>
            </wp:positionV>
            <wp:extent cx="1270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-749300</wp:posOffset>
            </wp:positionV>
            <wp:extent cx="2159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-749300</wp:posOffset>
            </wp:positionV>
            <wp:extent cx="1270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-749300</wp:posOffset>
            </wp:positionV>
            <wp:extent cx="2159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-749300</wp:posOffset>
            </wp:positionV>
            <wp:extent cx="3873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-749300</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-749300</wp:posOffset>
            </wp:positionV>
            <wp:extent cx="1270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-749300</wp:posOffset>
            </wp:positionV>
            <wp:extent cx="2159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-749300</wp:posOffset>
            </wp:positionV>
            <wp:extent cx="1270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-749300</wp:posOffset>
            </wp:positionV>
            <wp:extent cx="2159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-749300</wp:posOffset>
            </wp:positionV>
            <wp:extent cx="3873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-29210</wp:posOffset>
            </wp:positionV>
            <wp:extent cx="1270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-29210</wp:posOffset>
            </wp:positionV>
            <wp:extent cx="2159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-29210</wp:posOffset>
            </wp:positionV>
            <wp:extent cx="3873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-29210</wp:posOffset>
            </wp:positionV>
            <wp:extent cx="1270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-29210</wp:posOffset>
            </wp:positionV>
            <wp:extent cx="2159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1"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Excludes interest expense included in the Segment results ($3 million in 2006; $5 million in 2005).</w:t>
      </w: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 xml:space="preserve">See Note 2 </w:t>
      </w:r>
      <w:r>
        <w:rPr>
          <w:rFonts w:ascii="Arial" w:cs="Arial" w:eastAsia="Arial" w:hAnsi="Arial"/>
          <w:sz w:val="14"/>
          <w:szCs w:val="14"/>
          <w:i w:val="1"/>
          <w:iCs w:val="1"/>
          <w:color w:val="auto"/>
        </w:rPr>
        <w:t>Charges and Credits</w:t>
      </w:r>
      <w:r>
        <w:rPr>
          <w:rFonts w:ascii="Arial" w:cs="Arial" w:eastAsia="Arial" w:hAnsi="Arial"/>
          <w:sz w:val="14"/>
          <w:szCs w:val="14"/>
          <w:color w:val="auto"/>
        </w:rPr>
        <w:t>.</w:t>
      </w:r>
    </w:p>
    <w:p>
      <w:pPr>
        <w:sectPr>
          <w:pgSz w:w="11900" w:h="16838" w:orient="portrait"/>
          <w:cols w:equalWidth="0" w:num="1">
            <w:col w:w="11420"/>
          </w:cols>
          <w:pgMar w:left="240" w:top="459" w:right="239"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420"/>
          </w:cols>
          <w:pgMar w:left="240" w:top="459"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w:t>
      </w:r>
    </w:p>
    <w:p>
      <w:pPr>
        <w:spacing w:after="0" w:line="19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Pension and Other Postretirement Benefits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Net pension cost in the United States included the following components: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5"/>
          </w:tcPr>
          <w:p>
            <w:pPr>
              <w:jc w:val="right"/>
              <w:ind w:right="660"/>
              <w:spacing w:after="0"/>
              <w:rPr>
                <w:sz w:val="20"/>
                <w:szCs w:val="20"/>
                <w:color w:val="auto"/>
              </w:rPr>
            </w:pPr>
            <w:r>
              <w:rPr>
                <w:rFonts w:ascii="Arial" w:cs="Arial" w:eastAsia="Arial" w:hAnsi="Arial"/>
                <w:sz w:val="14"/>
                <w:szCs w:val="14"/>
                <w:b w:val="1"/>
                <w:bCs w:val="1"/>
                <w:color w:val="auto"/>
                <w:w w:val="93"/>
              </w:rPr>
              <w:t>Second Quarter</w:t>
            </w:r>
          </w:p>
        </w:tc>
        <w:tc>
          <w:tcPr>
            <w:tcW w:w="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Six Months</w:t>
            </w:r>
          </w:p>
        </w:tc>
        <w:tc>
          <w:tcPr>
            <w:tcW w:w="1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Borders>
              <w:bottom w:val="single" w:sz="8" w:color="auto"/>
            </w:tcBorders>
            <w:gridSpan w:val="2"/>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gridSpan w:val="2"/>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2006</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2005</w:t>
            </w:r>
          </w:p>
        </w:tc>
        <w:tc>
          <w:tcPr>
            <w:tcW w:w="48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2006</w:t>
            </w:r>
          </w:p>
        </w:tc>
        <w:tc>
          <w:tcPr>
            <w:tcW w:w="280" w:type="dxa"/>
            <w:vAlign w:val="bottom"/>
          </w:tcPr>
          <w:p>
            <w:pPr>
              <w:spacing w:after="0"/>
              <w:rPr>
                <w:sz w:val="21"/>
                <w:szCs w:val="21"/>
                <w:color w:val="auto"/>
              </w:rPr>
            </w:pPr>
          </w:p>
        </w:tc>
        <w:tc>
          <w:tcPr>
            <w:tcW w:w="54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 cost – benefits earned during period</w:t>
            </w: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29</w:t>
            </w:r>
          </w:p>
        </w:tc>
        <w:tc>
          <w:tcPr>
            <w:tcW w:w="280" w:type="dxa"/>
            <w:vAlign w:val="bottom"/>
            <w:shd w:val="clear" w:color="auto" w:fill="CCEEFF"/>
          </w:tcPr>
          <w:p>
            <w:pPr>
              <w:spacing w:after="0"/>
              <w:rPr>
                <w:sz w:val="12"/>
                <w:szCs w:val="12"/>
                <w:color w:val="auto"/>
              </w:rPr>
            </w:pPr>
          </w:p>
        </w:tc>
        <w:tc>
          <w:tcPr>
            <w:tcW w:w="3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spacing w:after="0" w:line="149" w:lineRule="exact"/>
              <w:rPr>
                <w:sz w:val="20"/>
                <w:szCs w:val="20"/>
                <w:color w:val="auto"/>
              </w:rPr>
            </w:pPr>
            <w:r>
              <w:rPr>
                <w:rFonts w:ascii="Arial" w:cs="Arial" w:eastAsia="Arial" w:hAnsi="Arial"/>
                <w:sz w:val="14"/>
                <w:szCs w:val="14"/>
                <w:color w:val="auto"/>
              </w:rPr>
              <w:t>Interest cost on projected benefit obligation</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28</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56</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Expected return on plan assets</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(35)</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(28)</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w w:val="96"/>
              </w:rPr>
              <w:t>(65)</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spacing w:after="0" w:line="149" w:lineRule="exact"/>
              <w:rPr>
                <w:sz w:val="20"/>
                <w:szCs w:val="20"/>
                <w:color w:val="auto"/>
              </w:rPr>
            </w:pPr>
            <w:r>
              <w:rPr>
                <w:rFonts w:ascii="Arial" w:cs="Arial" w:eastAsia="Arial" w:hAnsi="Arial"/>
                <w:sz w:val="14"/>
                <w:szCs w:val="14"/>
                <w:color w:val="auto"/>
              </w:rPr>
              <w:t>Amortization of prior service cost</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unrecognized net loss</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pension cost</w:t>
            </w: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37</w:t>
            </w:r>
          </w:p>
        </w:tc>
        <w:tc>
          <w:tcPr>
            <w:tcW w:w="280" w:type="dxa"/>
            <w:vAlign w:val="bottom"/>
            <w:shd w:val="clear" w:color="auto" w:fill="CCEEFF"/>
          </w:tcPr>
          <w:p>
            <w:pPr>
              <w:spacing w:after="0"/>
              <w:rPr>
                <w:sz w:val="12"/>
                <w:szCs w:val="12"/>
                <w:color w:val="auto"/>
              </w:rPr>
            </w:pPr>
          </w:p>
        </w:tc>
        <w:tc>
          <w:tcPr>
            <w:tcW w:w="3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5448935</wp:posOffset>
            </wp:positionH>
            <wp:positionV relativeFrom="paragraph">
              <wp:posOffset>-29210</wp:posOffset>
            </wp:positionV>
            <wp:extent cx="26987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69875"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1270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2159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38735"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201295"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01295"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-29210</wp:posOffset>
            </wp:positionV>
            <wp:extent cx="201295"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0129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During the first quarter of 2006 Schlumberger made contributions of $200 million to its US pension plans.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pension cost in the United Kingdom plan included the following components: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6"/>
          </w:tcPr>
          <w:p>
            <w:pPr>
              <w:jc w:val="right"/>
              <w:ind w:right="660"/>
              <w:spacing w:after="0"/>
              <w:rPr>
                <w:sz w:val="20"/>
                <w:szCs w:val="20"/>
                <w:color w:val="auto"/>
              </w:rPr>
            </w:pPr>
            <w:r>
              <w:rPr>
                <w:rFonts w:ascii="Arial" w:cs="Arial" w:eastAsia="Arial" w:hAnsi="Arial"/>
                <w:sz w:val="14"/>
                <w:szCs w:val="14"/>
                <w:b w:val="1"/>
                <w:bCs w:val="1"/>
                <w:color w:val="auto"/>
                <w:w w:val="93"/>
              </w:rPr>
              <w:t>Second Quarter</w:t>
            </w:r>
          </w:p>
        </w:tc>
        <w:tc>
          <w:tcPr>
            <w:tcW w:w="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Six Months</w:t>
            </w:r>
          </w:p>
        </w:tc>
        <w:tc>
          <w:tcPr>
            <w:tcW w:w="1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Borders>
              <w:bottom w:val="single" w:sz="8" w:color="auto"/>
            </w:tcBorders>
            <w:gridSpan w:val="2"/>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gridSpan w:val="2"/>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2006</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9"/>
              </w:rPr>
              <w:t>2005</w:t>
            </w: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2006</w:t>
            </w:r>
          </w:p>
        </w:tc>
        <w:tc>
          <w:tcPr>
            <w:tcW w:w="280" w:type="dxa"/>
            <w:vAlign w:val="bottom"/>
          </w:tcPr>
          <w:p>
            <w:pPr>
              <w:spacing w:after="0"/>
              <w:rPr>
                <w:sz w:val="21"/>
                <w:szCs w:val="21"/>
                <w:color w:val="auto"/>
              </w:rPr>
            </w:pPr>
          </w:p>
        </w:tc>
        <w:tc>
          <w:tcPr>
            <w:tcW w:w="54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 cost – benefits earned during period</w:t>
            </w: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w:t>
            </w:r>
          </w:p>
        </w:tc>
        <w:tc>
          <w:tcPr>
            <w:tcW w:w="2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w:t>
            </w:r>
          </w:p>
        </w:tc>
        <w:tc>
          <w:tcPr>
            <w:tcW w:w="280" w:type="dxa"/>
            <w:vAlign w:val="bottom"/>
            <w:shd w:val="clear" w:color="auto" w:fill="CCEEFF"/>
          </w:tcPr>
          <w:p>
            <w:pPr>
              <w:spacing w:after="0"/>
              <w:rPr>
                <w:sz w:val="12"/>
                <w:szCs w:val="12"/>
                <w:color w:val="auto"/>
              </w:rPr>
            </w:pPr>
          </w:p>
        </w:tc>
        <w:tc>
          <w:tcPr>
            <w:tcW w:w="3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spacing w:after="0" w:line="149" w:lineRule="exact"/>
              <w:rPr>
                <w:sz w:val="20"/>
                <w:szCs w:val="20"/>
                <w:color w:val="auto"/>
              </w:rPr>
            </w:pPr>
            <w:r>
              <w:rPr>
                <w:rFonts w:ascii="Arial" w:cs="Arial" w:eastAsia="Arial" w:hAnsi="Arial"/>
                <w:sz w:val="14"/>
                <w:szCs w:val="14"/>
                <w:color w:val="auto"/>
              </w:rPr>
              <w:t>Interest cost on projected benefit obligation</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10</w:t>
            </w:r>
          </w:p>
        </w:tc>
        <w:tc>
          <w:tcPr>
            <w:tcW w:w="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Expected return on plan assets</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(12)</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(11)</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w w:val="96"/>
              </w:rPr>
              <w:t>(24)</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20" w:type="dxa"/>
            <w:vAlign w:val="bottom"/>
          </w:tcPr>
          <w:p>
            <w:pPr>
              <w:spacing w:after="0"/>
              <w:rPr>
                <w:sz w:val="20"/>
                <w:szCs w:val="20"/>
                <w:color w:val="auto"/>
              </w:rPr>
            </w:pPr>
            <w:r>
              <w:rPr>
                <w:rFonts w:ascii="Arial" w:cs="Arial" w:eastAsia="Arial" w:hAnsi="Arial"/>
                <w:sz w:val="14"/>
                <w:szCs w:val="14"/>
                <w:color w:val="auto"/>
              </w:rPr>
              <w:t>Amortization of unrecognized loss</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480"/>
              <w:spacing w:after="0"/>
              <w:rPr>
                <w:sz w:val="20"/>
                <w:szCs w:val="20"/>
                <w:color w:val="auto"/>
              </w:rPr>
            </w:pPr>
            <w:r>
              <w:rPr>
                <w:rFonts w:ascii="Arial" w:cs="Arial" w:eastAsia="Arial" w:hAnsi="Arial"/>
                <w:sz w:val="14"/>
                <w:szCs w:val="14"/>
                <w:color w:val="auto"/>
              </w:rPr>
              <w:t>4</w:t>
            </w:r>
          </w:p>
        </w:tc>
        <w:tc>
          <w:tcPr>
            <w:tcW w:w="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2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pension cost</w:t>
            </w: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w:t>
            </w:r>
          </w:p>
        </w:tc>
        <w:tc>
          <w:tcPr>
            <w:tcW w:w="2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w:t>
            </w:r>
          </w:p>
        </w:tc>
        <w:tc>
          <w:tcPr>
            <w:tcW w:w="280" w:type="dxa"/>
            <w:vAlign w:val="bottom"/>
            <w:shd w:val="clear" w:color="auto" w:fill="CCEEFF"/>
          </w:tcPr>
          <w:p>
            <w:pPr>
              <w:spacing w:after="0"/>
              <w:rPr>
                <w:sz w:val="12"/>
                <w:szCs w:val="12"/>
                <w:color w:val="auto"/>
              </w:rPr>
            </w:pPr>
          </w:p>
        </w:tc>
        <w:tc>
          <w:tcPr>
            <w:tcW w:w="3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5448935</wp:posOffset>
            </wp:positionH>
            <wp:positionV relativeFrom="paragraph">
              <wp:posOffset>-27305</wp:posOffset>
            </wp:positionV>
            <wp:extent cx="269875"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69875"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-27305</wp:posOffset>
            </wp:positionV>
            <wp:extent cx="278765"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78765"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-27305</wp:posOffset>
            </wp:positionV>
            <wp:extent cx="201295"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01295"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-27305</wp:posOffset>
            </wp:positionV>
            <wp:extent cx="201295"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01295" cy="29845"/>
                    </a:xfrm>
                    <a:prstGeom prst="rect">
                      <a:avLst/>
                    </a:prstGeom>
                    <a:noFill/>
                  </pic:spPr>
                </pic:pic>
              </a:graphicData>
            </a:graphic>
          </wp:anchor>
        </w:drawing>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postretirement benefit cost in the United States included the following components: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6"/>
          </w:tcPr>
          <w:p>
            <w:pPr>
              <w:jc w:val="right"/>
              <w:ind w:right="660"/>
              <w:spacing w:after="0"/>
              <w:rPr>
                <w:sz w:val="20"/>
                <w:szCs w:val="20"/>
                <w:color w:val="auto"/>
              </w:rPr>
            </w:pPr>
            <w:r>
              <w:rPr>
                <w:rFonts w:ascii="Arial" w:cs="Arial" w:eastAsia="Arial" w:hAnsi="Arial"/>
                <w:sz w:val="14"/>
                <w:szCs w:val="14"/>
                <w:b w:val="1"/>
                <w:bCs w:val="1"/>
                <w:color w:val="auto"/>
                <w:w w:val="93"/>
              </w:rPr>
              <w:t>Second Quarter</w:t>
            </w:r>
          </w:p>
        </w:tc>
        <w:tc>
          <w:tcPr>
            <w:tcW w:w="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w:t>
            </w:r>
          </w:p>
        </w:tc>
        <w:tc>
          <w:tcPr>
            <w:tcW w:w="1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Borders>
              <w:bottom w:val="single" w:sz="8" w:color="auto"/>
            </w:tcBorders>
            <w:gridSpan w:val="2"/>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6"/>
              </w:rPr>
              <w:t>2006</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96"/>
              </w:rPr>
              <w:t>2005</w:t>
            </w:r>
          </w:p>
        </w:tc>
        <w:tc>
          <w:tcPr>
            <w:tcW w:w="48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2006</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2005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 cost – benefits earned during period</w:t>
            </w: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6</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spacing w:after="0" w:line="149" w:lineRule="exact"/>
              <w:rPr>
                <w:sz w:val="20"/>
                <w:szCs w:val="20"/>
                <w:color w:val="auto"/>
              </w:rPr>
            </w:pPr>
            <w:r>
              <w:rPr>
                <w:rFonts w:ascii="Arial" w:cs="Arial" w:eastAsia="Arial" w:hAnsi="Arial"/>
                <w:sz w:val="14"/>
                <w:szCs w:val="14"/>
                <w:color w:val="auto"/>
              </w:rPr>
              <w:t>Interest cost on accumulated postretirement benefit obligation</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11</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22</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w w:val="89"/>
              </w:rPr>
              <w:t>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unrecognized net loss</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4</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20" w:type="dxa"/>
            <w:vAlign w:val="bottom"/>
          </w:tcPr>
          <w:p>
            <w:pPr>
              <w:spacing w:after="0"/>
              <w:rPr>
                <w:sz w:val="20"/>
                <w:szCs w:val="20"/>
                <w:color w:val="auto"/>
              </w:rPr>
            </w:pPr>
            <w:r>
              <w:rPr>
                <w:rFonts w:ascii="Arial" w:cs="Arial" w:eastAsia="Arial" w:hAnsi="Arial"/>
                <w:sz w:val="14"/>
                <w:szCs w:val="14"/>
                <w:color w:val="auto"/>
              </w:rPr>
              <w:t>Amortization of unrecognized prior service cost</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15"/>
                <w:szCs w:val="15"/>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5"/>
                <w:szCs w:val="15"/>
                <w:color w:val="auto"/>
              </w:rPr>
            </w:pPr>
          </w:p>
        </w:tc>
        <w:tc>
          <w:tcPr>
            <w:tcW w:w="7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6"/>
              </w:rPr>
              <w:t>(14)</w:t>
            </w:r>
          </w:p>
        </w:tc>
        <w:tc>
          <w:tcPr>
            <w:tcW w:w="10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2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postretirement benefit cost</w:t>
            </w: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14</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30</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5448935</wp:posOffset>
            </wp:positionH>
            <wp:positionV relativeFrom="paragraph">
              <wp:posOffset>-29210</wp:posOffset>
            </wp:positionV>
            <wp:extent cx="1270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-29210</wp:posOffset>
            </wp:positionV>
            <wp:extent cx="2159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38735"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1270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-29210</wp:posOffset>
            </wp:positionV>
            <wp:extent cx="2159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38735"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1270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-29210</wp:posOffset>
            </wp:positionV>
            <wp:extent cx="2159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38735"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-29210</wp:posOffset>
            </wp:positionV>
            <wp:extent cx="1270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-29210</wp:posOffset>
            </wp:positionV>
            <wp:extent cx="2159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5" w:lineRule="exact"/>
        <w:rPr>
          <w:sz w:val="20"/>
          <w:szCs w:val="20"/>
          <w:color w:val="auto"/>
        </w:rPr>
      </w:pPr>
    </w:p>
    <w:p>
      <w:pPr>
        <w:ind w:left="440" w:hanging="432"/>
        <w:spacing w:after="0"/>
        <w:tabs>
          <w:tab w:leader="none" w:pos="4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w:t>
      </w:r>
    </w:p>
    <w:p>
      <w:pPr>
        <w:spacing w:after="0" w:line="7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April 12, 2006, the stockholders of Schlumberger approved an amendment to the Schlumberger Articles of Incorporation to increase the authorized common share capital of Schlumberger (as defined in the Schlumberger Articles of Incorporation) from 1,500,000,000 shares to 3,000,000,000 shares. Schlumberger is now authorized to issue 3,000,000,000 shares of common stock, par value $0.01 per share, of which 1,184,036,644 and 1,177,604,218 shares were outstanding on June 30, 2006 and December 31, 2005, respectively. Schlumberger is also authorized to issue 200,000,000 shares of preferred stock, par value $0.01 per share, which may be issued in series with terms and conditions determined by the Board of Directors. No shares of preferred stock have been issued. Holders of common stock are entitled to one vote for each share of stock held.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2</w:t>
      </w:r>
    </w:p>
    <w:p>
      <w:pPr>
        <w:spacing w:after="0" w:line="19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REVIEW</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4340" w:type="dxa"/>
            <w:vAlign w:val="bottom"/>
            <w:tcBorders>
              <w:top w:val="single" w:sz="8" w:color="auto"/>
            </w:tcBorders>
          </w:tcPr>
          <w:p>
            <w:pPr>
              <w:spacing w:after="0"/>
              <w:rPr>
                <w:sz w:val="15"/>
                <w:szCs w:val="15"/>
                <w:color w:val="auto"/>
              </w:rPr>
            </w:pPr>
          </w:p>
        </w:tc>
        <w:tc>
          <w:tcPr>
            <w:tcW w:w="29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7"/>
              </w:rPr>
              <w:t>Second Quarter</w:t>
            </w:r>
          </w:p>
        </w:tc>
        <w:tc>
          <w:tcPr>
            <w:tcW w:w="4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w w:val="99"/>
              </w:rPr>
              <w:t>Six Months</w:t>
            </w:r>
          </w:p>
        </w:tc>
        <w:tc>
          <w:tcPr>
            <w:tcW w:w="4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r>
      <w:tr>
        <w:trPr>
          <w:trHeight w:val="76"/>
        </w:trPr>
        <w:tc>
          <w:tcPr>
            <w:tcW w:w="4340" w:type="dxa"/>
            <w:vAlign w:val="bottom"/>
          </w:tcPr>
          <w:p>
            <w:pPr>
              <w:spacing w:after="0"/>
              <w:rPr>
                <w:sz w:val="6"/>
                <w:szCs w:val="6"/>
                <w:color w:val="auto"/>
              </w:rPr>
            </w:pPr>
          </w:p>
        </w:tc>
        <w:tc>
          <w:tcPr>
            <w:tcW w:w="296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r>
      <w:tr>
        <w:trPr>
          <w:trHeight w:val="250"/>
        </w:trPr>
        <w:tc>
          <w:tcPr>
            <w:tcW w:w="434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2006</w:t>
            </w:r>
          </w:p>
        </w:tc>
        <w:tc>
          <w:tcPr>
            <w:tcW w:w="360" w:type="dxa"/>
            <w:vAlign w:val="bottom"/>
          </w:tcPr>
          <w:p>
            <w:pPr>
              <w:spacing w:after="0"/>
              <w:rPr>
                <w:sz w:val="21"/>
                <w:szCs w:val="21"/>
                <w:color w:val="auto"/>
              </w:rPr>
            </w:pPr>
          </w:p>
        </w:tc>
        <w:tc>
          <w:tcPr>
            <w:tcW w:w="620" w:type="dxa"/>
            <w:vAlign w:val="bottom"/>
          </w:tcPr>
          <w:p>
            <w:pPr>
              <w:jc w:val="right"/>
              <w:ind w:right="232"/>
              <w:spacing w:after="0"/>
              <w:rPr>
                <w:sz w:val="20"/>
                <w:szCs w:val="20"/>
                <w:color w:val="auto"/>
              </w:rPr>
            </w:pPr>
            <w:r>
              <w:rPr>
                <w:rFonts w:ascii="Arial" w:cs="Arial" w:eastAsia="Arial" w:hAnsi="Arial"/>
                <w:sz w:val="14"/>
                <w:szCs w:val="14"/>
                <w:b w:val="1"/>
                <w:bCs w:val="1"/>
                <w:color w:val="auto"/>
                <w:w w:val="96"/>
              </w:rPr>
              <w:t>2005</w:t>
            </w: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 chg</w:t>
            </w:r>
          </w:p>
        </w:tc>
        <w:tc>
          <w:tcPr>
            <w:tcW w:w="80" w:type="dxa"/>
            <w:vAlign w:val="bottom"/>
          </w:tcPr>
          <w:p>
            <w:pPr>
              <w:spacing w:after="0"/>
              <w:rPr>
                <w:sz w:val="21"/>
                <w:szCs w:val="21"/>
                <w:color w:val="auto"/>
              </w:rPr>
            </w:pPr>
          </w:p>
        </w:tc>
        <w:tc>
          <w:tcPr>
            <w:tcW w:w="420" w:type="dxa"/>
            <w:vAlign w:val="bottom"/>
          </w:tcPr>
          <w:p>
            <w:pPr>
              <w:jc w:val="right"/>
              <w:ind w:right="52"/>
              <w:spacing w:after="0"/>
              <w:rPr>
                <w:sz w:val="20"/>
                <w:szCs w:val="20"/>
                <w:color w:val="auto"/>
              </w:rPr>
            </w:pPr>
            <w:r>
              <w:rPr>
                <w:rFonts w:ascii="Arial" w:cs="Arial" w:eastAsia="Arial" w:hAnsi="Arial"/>
                <w:sz w:val="14"/>
                <w:szCs w:val="14"/>
                <w:b w:val="1"/>
                <w:bCs w:val="1"/>
                <w:color w:val="auto"/>
                <w:w w:val="89"/>
              </w:rPr>
              <w:t>2006</w:t>
            </w:r>
          </w:p>
        </w:tc>
        <w:tc>
          <w:tcPr>
            <w:tcW w:w="300" w:type="dxa"/>
            <w:vAlign w:val="bottom"/>
          </w:tcPr>
          <w:p>
            <w:pPr>
              <w:spacing w:after="0"/>
              <w:rPr>
                <w:sz w:val="21"/>
                <w:szCs w:val="21"/>
                <w:color w:val="auto"/>
              </w:rPr>
            </w:pPr>
          </w:p>
        </w:tc>
        <w:tc>
          <w:tcPr>
            <w:tcW w:w="560" w:type="dxa"/>
            <w:vAlign w:val="bottom"/>
          </w:tcPr>
          <w:p>
            <w:pPr>
              <w:jc w:val="right"/>
              <w:ind w:right="172"/>
              <w:spacing w:after="0"/>
              <w:rPr>
                <w:sz w:val="20"/>
                <w:szCs w:val="20"/>
                <w:color w:val="auto"/>
              </w:rPr>
            </w:pPr>
            <w:r>
              <w:rPr>
                <w:rFonts w:ascii="Arial" w:cs="Arial" w:eastAsia="Arial" w:hAnsi="Arial"/>
                <w:sz w:val="14"/>
                <w:szCs w:val="14"/>
                <w:b w:val="1"/>
                <w:bCs w:val="1"/>
                <w:color w:val="auto"/>
                <w:w w:val="96"/>
              </w:rPr>
              <w:t>2005</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 chg</w:t>
            </w:r>
          </w:p>
        </w:tc>
      </w:tr>
      <w:tr>
        <w:trPr>
          <w:trHeight w:val="149"/>
        </w:trPr>
        <w:tc>
          <w:tcPr>
            <w:tcW w:w="4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Oilfield Services</w:t>
            </w:r>
          </w:p>
        </w:tc>
        <w:tc>
          <w:tcPr>
            <w:tcW w:w="2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4340" w:type="dxa"/>
            <w:vAlign w:val="bottom"/>
          </w:tcPr>
          <w:p>
            <w:pPr>
              <w:spacing w:after="0" w:line="149" w:lineRule="exact"/>
              <w:rPr>
                <w:sz w:val="20"/>
                <w:szCs w:val="20"/>
                <w:color w:val="auto"/>
              </w:rPr>
            </w:pPr>
            <w:r>
              <w:rPr>
                <w:rFonts w:ascii="Arial" w:cs="Arial" w:eastAsia="Arial" w:hAnsi="Arial"/>
                <w:sz w:val="14"/>
                <w:szCs w:val="14"/>
                <w:color w:val="auto"/>
              </w:rPr>
              <w:t>Operating Revenue</w:t>
            </w:r>
          </w:p>
        </w:tc>
        <w:tc>
          <w:tcPr>
            <w:tcW w:w="30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9"/>
              </w:rPr>
              <w:t>4,127</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232"/>
              <w:spacing w:after="0" w:line="149" w:lineRule="exact"/>
              <w:rPr>
                <w:sz w:val="20"/>
                <w:szCs w:val="20"/>
                <w:color w:val="auto"/>
              </w:rPr>
            </w:pPr>
            <w:r>
              <w:rPr>
                <w:rFonts w:ascii="Arial" w:cs="Arial" w:eastAsia="Arial" w:hAnsi="Arial"/>
                <w:sz w:val="14"/>
                <w:szCs w:val="14"/>
                <w:color w:val="auto"/>
                <w:w w:val="85"/>
              </w:rPr>
              <w:t>3,044</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36%</w:t>
            </w:r>
          </w:p>
        </w:tc>
        <w:tc>
          <w:tcPr>
            <w:tcW w:w="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42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w w:val="79"/>
              </w:rPr>
              <w:t>7,838</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172"/>
              <w:spacing w:after="0" w:line="149" w:lineRule="exact"/>
              <w:rPr>
                <w:sz w:val="20"/>
                <w:szCs w:val="20"/>
                <w:color w:val="auto"/>
              </w:rPr>
            </w:pPr>
            <w:r>
              <w:rPr>
                <w:rFonts w:ascii="Arial" w:cs="Arial" w:eastAsia="Arial" w:hAnsi="Arial"/>
                <w:sz w:val="14"/>
                <w:szCs w:val="14"/>
                <w:color w:val="auto"/>
                <w:w w:val="85"/>
              </w:rPr>
              <w:t>5,822</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35%</w:t>
            </w:r>
          </w:p>
        </w:tc>
      </w:tr>
      <w:tr>
        <w:trPr>
          <w:trHeight w:val="176"/>
        </w:trPr>
        <w:tc>
          <w:tcPr>
            <w:tcW w:w="434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 xml:space="preserve">Pretax Segment Income </w:t>
            </w:r>
            <w:r>
              <w:rPr>
                <w:rFonts w:ascii="Arial" w:cs="Arial" w:eastAsia="Arial" w:hAnsi="Arial"/>
                <w:sz w:val="20"/>
                <w:szCs w:val="20"/>
                <w:color w:val="auto"/>
                <w:vertAlign w:val="superscript"/>
              </w:rPr>
              <w:t>1</w:t>
            </w:r>
          </w:p>
        </w:tc>
        <w:tc>
          <w:tcPr>
            <w:tcW w:w="30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9"/>
              </w:rPr>
              <w:t>1,124</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rPr>
              <w:t>674</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67%</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42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w w:val="79"/>
              </w:rPr>
              <w:t>2,072</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w w:val="85"/>
              </w:rPr>
              <w:t>1,231</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68%</w:t>
            </w:r>
          </w:p>
        </w:tc>
      </w:tr>
      <w:tr>
        <w:trPr>
          <w:trHeight w:val="257"/>
        </w:trPr>
        <w:tc>
          <w:tcPr>
            <w:tcW w:w="4340" w:type="dxa"/>
            <w:vAlign w:val="bottom"/>
          </w:tcPr>
          <w:p>
            <w:pPr>
              <w:spacing w:after="0"/>
              <w:rPr>
                <w:sz w:val="20"/>
                <w:szCs w:val="20"/>
                <w:color w:val="auto"/>
              </w:rPr>
            </w:pPr>
            <w:r>
              <w:rPr>
                <w:rFonts w:ascii="Arial" w:cs="Arial" w:eastAsia="Arial" w:hAnsi="Arial"/>
                <w:sz w:val="14"/>
                <w:szCs w:val="14"/>
                <w:b w:val="1"/>
                <w:bCs w:val="1"/>
                <w:color w:val="auto"/>
              </w:rPr>
              <w:t>WesternGeco</w:t>
            </w:r>
          </w:p>
        </w:tc>
        <w:tc>
          <w:tcPr>
            <w:tcW w:w="2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149"/>
        </w:trPr>
        <w:tc>
          <w:tcPr>
            <w:tcW w:w="4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Revenue</w:t>
            </w:r>
          </w:p>
        </w:tc>
        <w:tc>
          <w:tcPr>
            <w:tcW w:w="3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562</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383</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47%</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4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w w:val="79"/>
              </w:rPr>
              <w:t>1,092</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761</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43%</w:t>
            </w:r>
          </w:p>
        </w:tc>
      </w:tr>
      <w:tr>
        <w:trPr>
          <w:trHeight w:val="244"/>
        </w:trPr>
        <w:tc>
          <w:tcPr>
            <w:tcW w:w="4340" w:type="dxa"/>
            <w:vAlign w:val="bottom"/>
          </w:tcPr>
          <w:p>
            <w:pPr>
              <w:spacing w:after="0" w:line="244" w:lineRule="exact"/>
              <w:rPr>
                <w:sz w:val="20"/>
                <w:szCs w:val="20"/>
                <w:color w:val="auto"/>
              </w:rPr>
            </w:pPr>
            <w:r>
              <w:rPr>
                <w:rFonts w:ascii="Arial" w:cs="Arial" w:eastAsia="Arial" w:hAnsi="Arial"/>
                <w:sz w:val="14"/>
                <w:szCs w:val="14"/>
                <w:color w:val="auto"/>
              </w:rPr>
              <w:t xml:space="preserve">Pretax Segment Income </w:t>
            </w:r>
            <w:r>
              <w:rPr>
                <w:rFonts w:ascii="Arial" w:cs="Arial" w:eastAsia="Arial" w:hAnsi="Arial"/>
                <w:sz w:val="22"/>
                <w:szCs w:val="22"/>
                <w:color w:val="auto"/>
                <w:vertAlign w:val="superscript"/>
              </w:rPr>
              <w:t>1</w:t>
            </w:r>
          </w:p>
        </w:tc>
        <w:tc>
          <w:tcPr>
            <w:tcW w:w="30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180</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32"/>
              <w:spacing w:after="0"/>
              <w:rPr>
                <w:sz w:val="20"/>
                <w:szCs w:val="20"/>
                <w:color w:val="auto"/>
              </w:rPr>
            </w:pPr>
            <w:r>
              <w:rPr>
                <w:rFonts w:ascii="Arial" w:cs="Arial" w:eastAsia="Arial" w:hAnsi="Arial"/>
                <w:sz w:val="14"/>
                <w:szCs w:val="14"/>
                <w:color w:val="auto"/>
              </w:rPr>
              <w:t>58</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211%</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420" w:type="dxa"/>
            <w:vAlign w:val="bottom"/>
          </w:tcPr>
          <w:p>
            <w:pPr>
              <w:jc w:val="right"/>
              <w:ind w:right="52"/>
              <w:spacing w:after="0"/>
              <w:rPr>
                <w:sz w:val="20"/>
                <w:szCs w:val="20"/>
                <w:color w:val="auto"/>
              </w:rPr>
            </w:pPr>
            <w:r>
              <w:rPr>
                <w:rFonts w:ascii="Arial" w:cs="Arial" w:eastAsia="Arial" w:hAnsi="Arial"/>
                <w:sz w:val="14"/>
                <w:szCs w:val="14"/>
                <w:b w:val="1"/>
                <w:bCs w:val="1"/>
                <w:color w:val="auto"/>
              </w:rPr>
              <w:t>338</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172"/>
              <w:spacing w:after="0"/>
              <w:rPr>
                <w:sz w:val="20"/>
                <w:szCs w:val="20"/>
                <w:color w:val="auto"/>
              </w:rPr>
            </w:pPr>
            <w:r>
              <w:rPr>
                <w:rFonts w:ascii="Arial" w:cs="Arial" w:eastAsia="Arial" w:hAnsi="Arial"/>
                <w:sz w:val="14"/>
                <w:szCs w:val="14"/>
                <w:color w:val="auto"/>
              </w:rPr>
              <w:t>121</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179%</w:t>
            </w:r>
          </w:p>
        </w:tc>
      </w:tr>
    </w:tbl>
    <w:p>
      <w:pPr>
        <w:ind w:left="340" w:right="80" w:hanging="332"/>
        <w:spacing w:after="0" w:line="227"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Pretax segment income represents the business segment’s income before taxes and minority interest. Pretax segment income excludes corporate expenses, interest income, interest expense, amortization of certain intangibles, interest on post-retirement benefits, stock-based compensation costs and the </w:t>
      </w:r>
      <w:r>
        <w:rPr>
          <w:rFonts w:ascii="Arial" w:cs="Arial" w:eastAsia="Arial" w:hAnsi="Arial"/>
          <w:sz w:val="14"/>
          <w:szCs w:val="14"/>
          <w:i w:val="1"/>
          <w:iCs w:val="1"/>
          <w:color w:val="auto"/>
        </w:rPr>
        <w:t>Charges and Credits</w:t>
      </w:r>
      <w:r>
        <w:rPr>
          <w:rFonts w:ascii="Arial" w:cs="Arial" w:eastAsia="Arial" w:hAnsi="Arial"/>
          <w:sz w:val="14"/>
          <w:szCs w:val="14"/>
          <w:color w:val="auto"/>
        </w:rPr>
        <w:t xml:space="preserve"> described in detail in Note 2 to the </w:t>
      </w:r>
      <w:r>
        <w:rPr>
          <w:rFonts w:ascii="Arial" w:cs="Arial" w:eastAsia="Arial" w:hAnsi="Arial"/>
          <w:sz w:val="14"/>
          <w:szCs w:val="14"/>
          <w:i w:val="1"/>
          <w:iCs w:val="1"/>
          <w:color w:val="auto"/>
        </w:rPr>
        <w:t>Consolidated Financial Statements</w:t>
      </w:r>
      <w:r>
        <w:rPr>
          <w:rFonts w:ascii="Arial" w:cs="Arial" w:eastAsia="Arial" w:hAnsi="Arial"/>
          <w:sz w:val="14"/>
          <w:szCs w:val="14"/>
          <w:color w:val="auto"/>
        </w:rPr>
        <w:t>, as these items are not allocated to the segments.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2006 Compared to Second Quarter 2005</w:t>
      </w:r>
    </w:p>
    <w:p>
      <w:pPr>
        <w:spacing w:after="0" w:line="7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Operating revenue for the second quarter of 2006 was $4.69 billion versus $3.43 billion for the same period last year. Income from continuing operations before income taxes and minority interest was $1.14 billion in 2006 compared to $651 million in 2005. The 2006 results included pretax charges in the second quarter of 2006 of $46 million. These Charges and Credits are described in detail in Note 2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There were no Charges and Credits in the second quarter of 2005.</w:t>
      </w:r>
    </w:p>
    <w:p>
      <w:pPr>
        <w:spacing w:after="0" w:line="1" w:lineRule="exact"/>
        <w:rPr>
          <w:sz w:val="20"/>
          <w:szCs w:val="20"/>
          <w:color w:val="auto"/>
        </w:rPr>
      </w:pPr>
    </w:p>
    <w:p>
      <w:pPr>
        <w:ind w:right="360" w:firstLine="228"/>
        <w:spacing w:after="0" w:line="261" w:lineRule="auto"/>
        <w:rPr>
          <w:sz w:val="20"/>
          <w:szCs w:val="20"/>
          <w:color w:val="auto"/>
        </w:rPr>
      </w:pPr>
      <w:r>
        <w:rPr>
          <w:rFonts w:ascii="Arial" w:cs="Arial" w:eastAsia="Arial" w:hAnsi="Arial"/>
          <w:sz w:val="18"/>
          <w:szCs w:val="18"/>
          <w:color w:val="auto"/>
        </w:rPr>
        <w:t>Net income for the second quarter of 2006 was $857 million compared to $482 million in the same period of last year. Net income in 2005 includes a gain from discontinued operations of $9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OILFIELD SERVICES</w:t>
      </w:r>
    </w:p>
    <w:p>
      <w:pPr>
        <w:spacing w:after="0" w:line="72"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Second-quarter revenue of $4.13 billion increased 11% sequentially and 36% year-on-year. Sequential revenue increases were highest in the US Land, US Gulf Coast, Mexico, North Sea, West Africa, Arabian, Gulf, and Russia GeoMarkets. All Technologies contributed to the strong growth with Drilling &amp; Measurements, Well Testing, Integrated Project Management (IPM) and Completion Systems recording double-digit increases. Year-on-year growth was posted in all Areas with all Technologies recording strong double-digit increases.</w:t>
      </w:r>
    </w:p>
    <w:p>
      <w:pPr>
        <w:spacing w:after="0" w:line="1" w:lineRule="exact"/>
        <w:rPr>
          <w:sz w:val="20"/>
          <w:szCs w:val="20"/>
          <w:color w:val="auto"/>
        </w:rPr>
      </w:pPr>
    </w:p>
    <w:p>
      <w:pPr>
        <w:jc w:val="both"/>
        <w:ind w:right="200" w:firstLine="228"/>
        <w:spacing w:after="0" w:line="255" w:lineRule="auto"/>
        <w:rPr>
          <w:sz w:val="20"/>
          <w:szCs w:val="20"/>
          <w:color w:val="auto"/>
        </w:rPr>
      </w:pPr>
      <w:r>
        <w:rPr>
          <w:rFonts w:ascii="Arial" w:cs="Arial" w:eastAsia="Arial" w:hAnsi="Arial"/>
          <w:sz w:val="18"/>
          <w:szCs w:val="18"/>
          <w:color w:val="auto"/>
        </w:rPr>
        <w:t>Pretax operating income of $1.12 billion increased 18% sequentially and 67% year-on-year. These results were driven by higher activity, increased pricing, stronger demand for higher-margin technologies, and operating efficiency improvements. The combination of these factors resulted in sequential growth of 160 basis points (bps) in pretax operating margins to reach 27.2%.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7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Revenue of $1.27 billion increased 3% sequentially and 40% year-on-year. Pretax operating income of $376 million was flat sequentially but increased 61% year-on-year.</w:t>
      </w:r>
    </w:p>
    <w:p>
      <w:pPr>
        <w:ind w:right="80" w:firstLine="228"/>
        <w:spacing w:after="0" w:line="254" w:lineRule="auto"/>
        <w:rPr>
          <w:sz w:val="20"/>
          <w:szCs w:val="20"/>
          <w:color w:val="auto"/>
        </w:rPr>
      </w:pPr>
      <w:r>
        <w:rPr>
          <w:rFonts w:ascii="Arial" w:cs="Arial" w:eastAsia="Arial" w:hAnsi="Arial"/>
          <w:sz w:val="18"/>
          <w:szCs w:val="18"/>
          <w:color w:val="auto"/>
        </w:rPr>
        <w:t>Sequential revenue growth in the Area was driven primarily by strong demand for Wireline, Drilling &amp; Measurements and Well Testing technologies, coupled with an increase in Completion Systems technology product sales in the US Gulf Coast, and higher activity and continuing price increases in the US Land GeoMarket. This was partially offset by Canada where the longer-than-expected spring break-up and continual heavy rains during the second quarter caused the MI rig count to fall 55% sequentially. Year-on-year growth</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2</w:t>
      </w:r>
    </w:p>
    <w:p>
      <w:pPr>
        <w:spacing w:after="0" w:line="206"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was achieved as a result of strengthening activity in US Land with sustained high level of commodity prices and pricing momentum, increased ultra deep-water activity in the US Gulf Coast, and rising activity on East coast Canada which partially offset the spring break-up in the West.</w:t>
      </w:r>
    </w:p>
    <w:p>
      <w:pPr>
        <w:ind w:firstLine="228"/>
        <w:spacing w:after="0" w:line="254" w:lineRule="auto"/>
        <w:rPr>
          <w:sz w:val="20"/>
          <w:szCs w:val="20"/>
          <w:color w:val="auto"/>
        </w:rPr>
      </w:pPr>
      <w:r>
        <w:rPr>
          <w:rFonts w:ascii="Arial" w:cs="Arial" w:eastAsia="Arial" w:hAnsi="Arial"/>
          <w:sz w:val="18"/>
          <w:szCs w:val="18"/>
          <w:color w:val="auto"/>
        </w:rPr>
        <w:t>Sequential pretax operating income was driven by the favorable activity mix, price increases and accelerated adoption of new technology in the US Gulf Coast and US Land GeoMarkets. This was offset by Canada with the absence of high-margin winter projects, lower Arctic revenues, and the impact of the prolonged spring break-up in the West. Price increases across the region, and strong growth in Well Services and Wireline activity drove pretax operating income growth year-on-year.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7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Revenue of $666 million increased 12% sequentially and 20% year-on-year. Pretax operating income of $128 million increased 33% sequentially and 53% year-on-year.</w:t>
      </w:r>
    </w:p>
    <w:p>
      <w:pPr>
        <w:ind w:right="120" w:firstLine="228"/>
        <w:spacing w:after="0" w:line="250" w:lineRule="auto"/>
        <w:rPr>
          <w:sz w:val="20"/>
          <w:szCs w:val="20"/>
          <w:color w:val="auto"/>
        </w:rPr>
      </w:pPr>
      <w:r>
        <w:rPr>
          <w:rFonts w:ascii="Arial" w:cs="Arial" w:eastAsia="Arial" w:hAnsi="Arial"/>
          <w:sz w:val="18"/>
          <w:szCs w:val="18"/>
          <w:color w:val="auto"/>
        </w:rPr>
        <w:t>Sequential revenue growth in the Area was attributable primarily to the rising rig count and increased demand for PowerDrive* and Scope* Drilling &amp; Measurements technologies. Increased activity on integrated projects in Mexico, stronger Artificial Lift technology product sales in the Peru/Colombia/Ecuador GeoMarket, and rising demand for Completions technology equipment in the Venezuela/Trinidad &amp; Tobago GeoMarket also contributed to the growth. Year-on-year growth was driven by the rapid increase in demand for Drilling &amp; Measurements technologies across the region, combined with rising Well Services in Brazil, Argentina and Venezuela.</w:t>
      </w:r>
    </w:p>
    <w:p>
      <w:pPr>
        <w:spacing w:after="0" w:line="2" w:lineRule="exact"/>
        <w:rPr>
          <w:sz w:val="20"/>
          <w:szCs w:val="20"/>
          <w:color w:val="auto"/>
        </w:rPr>
      </w:pPr>
    </w:p>
    <w:p>
      <w:pPr>
        <w:jc w:val="both"/>
        <w:ind w:right="20" w:firstLine="228"/>
        <w:spacing w:after="0" w:line="250" w:lineRule="auto"/>
        <w:rPr>
          <w:sz w:val="20"/>
          <w:szCs w:val="20"/>
          <w:color w:val="auto"/>
        </w:rPr>
      </w:pPr>
      <w:r>
        <w:rPr>
          <w:rFonts w:ascii="Arial" w:cs="Arial" w:eastAsia="Arial" w:hAnsi="Arial"/>
          <w:sz w:val="18"/>
          <w:szCs w:val="18"/>
          <w:color w:val="auto"/>
        </w:rPr>
        <w:t>The strong sequential gain in pretax operating margins of 300 bps was mainly driven by higher Drilling &amp; Measurements and Well Services activity across the Area, combined with stronger pricing gains on product sales in the Latin America South GeoMarket and improved performance-related incentives on the Casabe integrated production management project in Colombia. Continued rising profitability in Drilling and Measurements and strong returns on increased Well Testing activity across the region accounted for year-on-year gains.</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Discussions regarding the settlement of certain outstanding receivables for the PRISA contract in Venezuela are ongoing.</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Europe/CIS/West Africa</w:t>
      </w:r>
    </w:p>
    <w:p>
      <w:pPr>
        <w:spacing w:after="0" w:line="7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Revenue of $1.18 billion increased 18% sequentially and 43% year-on-year. Pretax operating income of $294 million increased 40% sequentially and 91% year-on-year.</w:t>
      </w:r>
    </w:p>
    <w:p>
      <w:pPr>
        <w:ind w:right="20" w:firstLine="228"/>
        <w:spacing w:after="0" w:line="281" w:lineRule="auto"/>
        <w:rPr>
          <w:sz w:val="20"/>
          <w:szCs w:val="20"/>
          <w:color w:val="auto"/>
        </w:rPr>
      </w:pPr>
      <w:r>
        <w:rPr>
          <w:rFonts w:ascii="Arial" w:cs="Arial" w:eastAsia="Arial" w:hAnsi="Arial"/>
          <w:sz w:val="16"/>
          <w:szCs w:val="16"/>
          <w:color w:val="auto"/>
        </w:rPr>
        <w:t>Sequential revenue growth in the Area was mainly driven by higher activity across Russia following the end of the extreme winter weather conditions experienced in the previous quarter, and increased demand for IPM, Well Services and Drilling &amp; Measurements services. The North Sea GeoMarket achieved double-digit growth due primarily to higher exploration activity in Norway, accelerating demand for PURE* and Quicksilver Probe* Wireline technologies, and higher demand for Well Testing services. Double-digit growth was also recorded in the Continental Europe and Nigeria GeoMarkets due to increased activity, and in North Africa due to strong demand for Well Testing services. Year-on-year growth was boosted by the increased ownership of PetroAlliance, combined with strong double-digit growth in North Africa as a result of increased revenue from IPM. In addition, the shift of work to more complex environments coupled with increased pricing drove growth in the North Sea, while new technology deployment in Drilling &amp; Measurements generated growth in West &amp; South Africa.</w:t>
      </w:r>
    </w:p>
    <w:p>
      <w:pPr>
        <w:spacing w:after="0" w:line="5" w:lineRule="exact"/>
        <w:rPr>
          <w:sz w:val="20"/>
          <w:szCs w:val="20"/>
          <w:color w:val="auto"/>
        </w:rPr>
      </w:pPr>
    </w:p>
    <w:p>
      <w:pPr>
        <w:ind w:right="200" w:firstLine="228"/>
        <w:spacing w:after="0" w:line="254" w:lineRule="auto"/>
        <w:rPr>
          <w:sz w:val="20"/>
          <w:szCs w:val="20"/>
          <w:color w:val="auto"/>
        </w:rPr>
      </w:pPr>
      <w:r>
        <w:rPr>
          <w:rFonts w:ascii="Arial" w:cs="Arial" w:eastAsia="Arial" w:hAnsi="Arial"/>
          <w:sz w:val="18"/>
          <w:szCs w:val="18"/>
          <w:color w:val="auto"/>
        </w:rPr>
        <w:t>Robust sequential gains in pretax operating margins of 390 bps resulted from strengthening pricing, higher efficiency, increased demand for Wireline and Drilling &amp; Measurements new technologies, and the favorable activity mix in the developing exploration market. The year-on-year increase in pretax operating income was primarily driven by pricing gains, increased application of new technologies and high margin exploration activity. West and South Africa margins expanded with rising new technology deployments and pricing gains.</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7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Revenue of $975 million increased 13% sequentially and 33% year-on-year. Pretax operating income of $322 million increased 19% sequentially and 56% year-on-year.</w:t>
      </w:r>
    </w:p>
    <w:p>
      <w:pPr>
        <w:ind w:right="160" w:firstLine="228"/>
        <w:spacing w:after="0" w:line="250" w:lineRule="auto"/>
        <w:rPr>
          <w:sz w:val="20"/>
          <w:szCs w:val="20"/>
          <w:color w:val="auto"/>
        </w:rPr>
      </w:pPr>
      <w:r>
        <w:rPr>
          <w:rFonts w:ascii="Arial" w:cs="Arial" w:eastAsia="Arial" w:hAnsi="Arial"/>
          <w:sz w:val="18"/>
          <w:szCs w:val="18"/>
          <w:color w:val="auto"/>
        </w:rPr>
        <w:t>The strong sequential revenue growth resulted from new exploration activity and higher rig count levels, coupled with improved pricing across the Middle East; sustained demand for new technology and higher coiled-tubing drilling activity in the U.A.E.; increased activity in Australia and Vietnam; and higher activity and improved pricing in China. The continued rapid increase in rig count in the Arabian GeoMarket, combined with increased activity on the East coast and North West shelf in Australia, strong demand for Wireline technology in the Gulf and higher drilling activity in the East Mediterranean accounted for year-on-year growth.</w:t>
      </w:r>
    </w:p>
    <w:p>
      <w:pPr>
        <w:spacing w:after="0" w:line="2" w:lineRule="exact"/>
        <w:rPr>
          <w:sz w:val="20"/>
          <w:szCs w:val="20"/>
          <w:color w:val="auto"/>
        </w:rPr>
      </w:pPr>
    </w:p>
    <w:p>
      <w:pPr>
        <w:ind w:right="100" w:firstLine="228"/>
        <w:spacing w:after="0" w:line="292" w:lineRule="auto"/>
        <w:rPr>
          <w:sz w:val="20"/>
          <w:szCs w:val="20"/>
          <w:color w:val="auto"/>
        </w:rPr>
      </w:pPr>
      <w:r>
        <w:rPr>
          <w:rFonts w:ascii="Arial" w:cs="Arial" w:eastAsia="Arial" w:hAnsi="Arial"/>
          <w:sz w:val="16"/>
          <w:szCs w:val="16"/>
          <w:color w:val="auto"/>
        </w:rPr>
        <w:t>Area pretax operating margins grew 170 bps sequentially—primarily due to stronger activity in higher margin Drilling &amp; Measurements and Well Testing technologies, coupled with pricing gains in the Arabian GeoMarket and performance-related incentives on the Bokor integrated production management project. Pretax operating margins reached a new record level of 33% during the quarter. Year-on-year, the rising rig count and increased demand for new technologies generated strong overall margin growth in the Area, strong Drilling &amp; Measurement margins on rising rig count drove margin gains in the East Mediterranean, and increased incremental oil production contributed to higher returns on the Bokor project.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WESTERNGECO</w:t>
      </w:r>
    </w:p>
    <w:p>
      <w:pPr>
        <w:spacing w:after="0" w:line="72"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Second-quarter revenue of $562 million was 6% higher sequentially and 47% higher compared to the same period last year. Pretax operating income of $180 million improved 13% sequentially and 211% year-on-year.</w:t>
      </w:r>
    </w:p>
    <w:p>
      <w:pPr>
        <w:ind w:right="40" w:firstLine="228"/>
        <w:spacing w:after="0" w:line="281" w:lineRule="auto"/>
        <w:rPr>
          <w:sz w:val="20"/>
          <w:szCs w:val="20"/>
          <w:color w:val="auto"/>
        </w:rPr>
      </w:pPr>
      <w:r>
        <w:rPr>
          <w:rFonts w:ascii="Arial" w:cs="Arial" w:eastAsia="Arial" w:hAnsi="Arial"/>
          <w:sz w:val="16"/>
          <w:szCs w:val="16"/>
          <w:color w:val="auto"/>
        </w:rPr>
        <w:t xml:space="preserve">Sequentially, Marine revenue increased to record levels with the vessel fleet utilization at 89%. Q-vessel utilization remained substantially flat at 91%. WesternGeco commissioned its sixth Q-Marine* vessel during the quarter with the upgrade of the </w:t>
      </w:r>
      <w:r>
        <w:rPr>
          <w:rFonts w:ascii="Arial" w:cs="Arial" w:eastAsia="Arial" w:hAnsi="Arial"/>
          <w:sz w:val="16"/>
          <w:szCs w:val="16"/>
          <w:i w:val="1"/>
          <w:iCs w:val="1"/>
          <w:color w:val="auto"/>
        </w:rPr>
        <w:t>Western Monarch</w:t>
      </w:r>
      <w:r>
        <w:rPr>
          <w:rFonts w:ascii="Arial" w:cs="Arial" w:eastAsia="Arial" w:hAnsi="Arial"/>
          <w:sz w:val="16"/>
          <w:szCs w:val="16"/>
          <w:color w:val="auto"/>
        </w:rPr>
        <w:t xml:space="preserve"> to address increased industry demand for Q-Marine technology. The vessel has a backlog of contracts through May 2007. Land acquisition revenue increased with new crews added in the North Africa and the Middle East regions, coupled with improved efficiencies in operations in the South America region. Data Processing revenue increased with higher activity in both Asia and India linked to the recently opened Mumbai data processing and reservoir services center. Seasonal declines in Multiclient revenue, although less than expected due to a late surge in sales in the US, partially offset sequential gains in Marine, Land, and Data Processing.</w:t>
      </w:r>
    </w:p>
    <w:p>
      <w:pPr>
        <w:spacing w:after="0" w:line="4" w:lineRule="exact"/>
        <w:rPr>
          <w:sz w:val="20"/>
          <w:szCs w:val="20"/>
          <w:color w:val="auto"/>
        </w:rPr>
      </w:pPr>
    </w:p>
    <w:p>
      <w:pPr>
        <w:ind w:right="120" w:firstLine="228"/>
        <w:spacing w:after="0" w:line="281" w:lineRule="auto"/>
        <w:rPr>
          <w:sz w:val="20"/>
          <w:szCs w:val="20"/>
          <w:color w:val="auto"/>
        </w:rPr>
      </w:pPr>
      <w:r>
        <w:rPr>
          <w:rFonts w:ascii="Arial" w:cs="Arial" w:eastAsia="Arial" w:hAnsi="Arial"/>
          <w:sz w:val="16"/>
          <w:szCs w:val="16"/>
          <w:color w:val="auto"/>
        </w:rPr>
        <w:t>The increase in revenue compared to the same period last year was led by Marine activity as the vessel fleet utilization increased (89% in the current year versus 77% in the previous year) augmented by improved pricing and contractual terms. Multiclient increased primarily in North America while Land improved due to more active crews in the North Africa and Middle East regions assisted by the introduction of an additional Q-Land* crew in Algeria. Data Processing increased due to increased activity as a result of the recently opened Mumbai data processing and reservoir services center.</w:t>
      </w:r>
    </w:p>
    <w:p>
      <w:pPr>
        <w:spacing w:after="0" w:line="3" w:lineRule="exact"/>
        <w:rPr>
          <w:sz w:val="20"/>
          <w:szCs w:val="20"/>
          <w:color w:val="auto"/>
        </w:rPr>
      </w:pPr>
    </w:p>
    <w:p>
      <w:pPr>
        <w:ind w:firstLine="228"/>
        <w:spacing w:after="0" w:line="250" w:lineRule="auto"/>
        <w:rPr>
          <w:sz w:val="20"/>
          <w:szCs w:val="20"/>
          <w:color w:val="auto"/>
        </w:rPr>
      </w:pPr>
      <w:r>
        <w:rPr>
          <w:rFonts w:ascii="Arial" w:cs="Arial" w:eastAsia="Arial" w:hAnsi="Arial"/>
          <w:sz w:val="18"/>
          <w:szCs w:val="18"/>
          <w:color w:val="auto"/>
        </w:rPr>
        <w:t>Pretax operating margins improved sequentially by 200 bps to reach 32%. This was primarily driven by Marine due to higher utilization and improved pricing, coupled with Land activity increases in the South America, North Africa, and the Middle East regions, together with high-margin Q-data processing. These improvements were offset by the seasonal decline in Multiclient.</w:t>
      </w:r>
    </w:p>
    <w:p>
      <w:pPr>
        <w:spacing w:after="0" w:line="1" w:lineRule="exact"/>
        <w:rPr>
          <w:sz w:val="20"/>
          <w:szCs w:val="20"/>
          <w:color w:val="auto"/>
        </w:rPr>
      </w:pPr>
    </w:p>
    <w:p>
      <w:pPr>
        <w:ind w:right="400" w:firstLine="228"/>
        <w:spacing w:after="0" w:line="281" w:lineRule="auto"/>
        <w:rPr>
          <w:sz w:val="20"/>
          <w:szCs w:val="20"/>
          <w:color w:val="auto"/>
        </w:rPr>
      </w:pPr>
      <w:r>
        <w:rPr>
          <w:rFonts w:ascii="Arial" w:cs="Arial" w:eastAsia="Arial" w:hAnsi="Arial"/>
          <w:sz w:val="16"/>
          <w:szCs w:val="16"/>
          <w:color w:val="auto"/>
        </w:rPr>
        <w:t>The increase in pretax operating income year over year was primarily driven by Marine as a result of higher utilization, improved pricing and contractual terms. Land and Data Processing both improved on account of higher activity, while Multiclient increased due to higher sales in North America.</w:t>
      </w:r>
    </w:p>
    <w:p>
      <w:pPr>
        <w:spacing w:after="0" w:line="1" w:lineRule="exact"/>
        <w:rPr>
          <w:sz w:val="20"/>
          <w:szCs w:val="20"/>
          <w:color w:val="auto"/>
        </w:rPr>
      </w:pPr>
    </w:p>
    <w:p>
      <w:pPr>
        <w:ind w:right="440" w:firstLine="228"/>
        <w:spacing w:after="0" w:line="255" w:lineRule="auto"/>
        <w:rPr>
          <w:sz w:val="20"/>
          <w:szCs w:val="20"/>
          <w:color w:val="auto"/>
        </w:rPr>
      </w:pPr>
      <w:r>
        <w:rPr>
          <w:rFonts w:ascii="Arial" w:cs="Arial" w:eastAsia="Arial" w:hAnsi="Arial"/>
          <w:sz w:val="18"/>
          <w:szCs w:val="18"/>
          <w:color w:val="auto"/>
        </w:rPr>
        <w:t xml:space="preserve">During the second quarter of 2006, Schlumberger acquired the 30% minority interest in WesternGeco from Baker Hughes for $2.4 billion in cash. WesternGeco pretax operating income in the second quarter of 2006 increased by approximately $4 million as a direct result of the purchase accounting and related adjustments described in detail in Note 5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2</w:t>
      </w:r>
    </w:p>
    <w:p>
      <w:pPr>
        <w:spacing w:after="0" w:line="206" w:lineRule="exact"/>
        <w:rPr>
          <w:sz w:val="20"/>
          <w:szCs w:val="20"/>
          <w:color w:val="auto"/>
        </w:rPr>
      </w:pPr>
    </w:p>
    <w:p>
      <w:pPr>
        <w:ind w:right="420" w:firstLine="228"/>
        <w:spacing w:after="0" w:line="268" w:lineRule="auto"/>
        <w:rPr>
          <w:sz w:val="20"/>
          <w:szCs w:val="20"/>
          <w:color w:val="auto"/>
        </w:rPr>
      </w:pPr>
      <w:r>
        <w:rPr>
          <w:rFonts w:ascii="Arial" w:cs="Arial" w:eastAsia="Arial" w:hAnsi="Arial"/>
          <w:sz w:val="18"/>
          <w:szCs w:val="18"/>
          <w:color w:val="auto"/>
        </w:rPr>
        <w:t>The WesternGeco backlog at the end of the second quarter was at an all-time high of $1.2 billion, an increase of 35% over the previous quarter reflecting strong and sustained Marine, Land, Multiclient, and Data Processing market positions.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2006 Compared to Six Month 2005</w:t>
      </w:r>
    </w:p>
    <w:p>
      <w:pPr>
        <w:spacing w:after="0" w:line="7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 xml:space="preserve">Operating revenue for the six month period ended June 30, 2006 was $8.93 billion versus $6.59 billion for the same period last year. Income from continuing operations before income taxes and minority interest was $2.16 billion in 2006 compared to $1.33 billion in 2005. The 2006 results include pretax charges of $46 million, while the 2005 results include net pretax credits of $134 million. These Charges and Credits are described in detail in Note 2 to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1" w:lineRule="exact"/>
        <w:rPr>
          <w:sz w:val="20"/>
          <w:szCs w:val="20"/>
          <w:color w:val="auto"/>
        </w:rPr>
      </w:pPr>
    </w:p>
    <w:p>
      <w:pPr>
        <w:ind w:right="460" w:firstLine="228"/>
        <w:spacing w:after="0" w:line="261" w:lineRule="auto"/>
        <w:rPr>
          <w:sz w:val="20"/>
          <w:szCs w:val="20"/>
          <w:color w:val="auto"/>
        </w:rPr>
      </w:pPr>
      <w:r>
        <w:rPr>
          <w:rFonts w:ascii="Arial" w:cs="Arial" w:eastAsia="Arial" w:hAnsi="Arial"/>
          <w:sz w:val="18"/>
          <w:szCs w:val="18"/>
          <w:color w:val="auto"/>
        </w:rPr>
        <w:t>Net income for the six month period ended June 30, 2006 was $1.58 billion compared to $1.01 billion in 2005. Net income in 2005 includes a gain from discontinued operations of $8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OILFIELD SERVICES</w:t>
      </w:r>
    </w:p>
    <w:p>
      <w:pPr>
        <w:spacing w:after="0" w:line="72" w:lineRule="exact"/>
        <w:rPr>
          <w:sz w:val="20"/>
          <w:szCs w:val="20"/>
          <w:color w:val="auto"/>
        </w:rPr>
      </w:pPr>
    </w:p>
    <w:p>
      <w:pPr>
        <w:jc w:val="both"/>
        <w:ind w:right="380"/>
        <w:spacing w:after="0" w:line="306" w:lineRule="auto"/>
        <w:rPr>
          <w:sz w:val="20"/>
          <w:szCs w:val="20"/>
          <w:color w:val="auto"/>
        </w:rPr>
      </w:pPr>
      <w:r>
        <w:rPr>
          <w:rFonts w:ascii="Arial" w:cs="Arial" w:eastAsia="Arial" w:hAnsi="Arial"/>
          <w:sz w:val="16"/>
          <w:szCs w:val="16"/>
          <w:color w:val="auto"/>
        </w:rPr>
        <w:t>Six months revenue of $7.84 billion was 35% higher versus the same period last year. Pretax operating income of $2.07 billion increased 68% year-on-year. Revenue growth year-on-year was strongest in Saudi Arabia/Kuwait/Bahrain/Pakistan, Brunei/Malaysia/Philippines, Australasia, North Africa, and US Land GeoMarkets. Strong double-digit growth was achieved in all Technologies except Schlumberger Information Solutions.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7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Revenue of $2.49 billion increased 40% versus the same period last year. Pretax operating income of $751 million increased 72% year-on-year. Year-on-year growth was driven by rising activity levels in US Land and Canada as a result of the sustained high level of commodity prices coupled with pricing improvements (and higher activity in Eastern Canada that partially offset the seasonal impact of the spring break-up). Growth in the Gulf Coast came from the increase in ultra deep-water activity that was partly offset by the hangover from the hurricane season. All Technologies, except Schlumberger Information Solutions, benefited with year-on-year double-digit growth.</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7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Revenue of $1.26 billion was 23% higher year-on-year. Pretax operating income of $224 million increased 51% versus the same period last year. Year-on-year increases were highest in Venezuela/Trinidad &amp; Tobago from increased Drilling &amp; Measurements and Well Services activity with PDVSA, coupled with strong demand for completion products in Trinidad. Strong growth was also generated in Latin America South as a result of the introduction of the SCOPE family in Drilling &amp; Measurements combined with increased Well Testing in Brazil and Argentina, while Peru/Colombia/Ecuador growth was driven by ramp up in activity in Colombia, partially offset by several well construction projects coming to an end. In Mexico, increased activity on integrated projects in the North accounted for year-on-year growth. Technology growth was lead by Drilling &amp; Measurements, Data Consulting Services and Completion Systems.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Europe/CIS/West Africa</w:t>
      </w:r>
    </w:p>
    <w:p>
      <w:pPr>
        <w:spacing w:after="0" w:line="7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Revenue of $2.18 billion increased 38% year-on-year. Pretax operating income of $504 million increased 82% year-on-year. All GeoMarkets posted strong double-digit growth lead by Russia, with the inclusion of a full six months of PetroAlliance activity (20 days in the prior period) and ramp-up in drilling programs across the region, which more than offset the impact of the severe winter weather at the start of the year. North Africa experienced strong growth from commencement of a turnkey integrated project with Rosneft, and rising cementing, fracturing and Well Testing activity for Sonatrach. North Sea and West &amp; South Africa growth was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2</w:t>
      </w:r>
    </w:p>
    <w:p>
      <w:pPr>
        <w:spacing w:after="0" w:line="20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driven by strong take up of new technologies in Wireline and Drilling &amp; Measurements, coupled with further pricing gains. Year-on-year double-digit growth was achieved in all Technologies with the exception of Schlumberger Information Solutions.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7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Revenue of $1.84 billion was 31% higher year-on-year. Pretax operating income of $593 million was 56% higher versus the same period last year. Rapid increase in rig count in Saudi Arabia fueled exceptional growth in Saudi Arabia/Kuwait/Bahrain/Pakistan, while Brunei/Malaysia/Philippines saw increased activity on the BIMA and BOKOR integrated projects and strong sales of reservoir software. Australasia growth came from rising wireline logging and well testing, while the East Mediterranean growth came from increased drilling activity. This was partially offset by a flattening of activity in Iran and Indonesia, with the present political unrest impacting growth in Iran, and a reduction in offshore drilling rig services offsetting other technology growth in Indonesia. Double-digit growth was achieved in all Technologies across the region.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WESTERNGECO</w:t>
      </w:r>
    </w:p>
    <w:p>
      <w:pPr>
        <w:spacing w:after="0" w:line="72"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Six months revenue for WesternGeco of $1.09 billion was 43% higher compared to the same period last year with all product lines contributing to the strong growth.</w:t>
      </w:r>
    </w:p>
    <w:p>
      <w:pPr>
        <w:jc w:val="both"/>
        <w:ind w:right="120" w:firstLine="228"/>
        <w:spacing w:after="0" w:line="250" w:lineRule="auto"/>
        <w:rPr>
          <w:sz w:val="20"/>
          <w:szCs w:val="20"/>
          <w:color w:val="auto"/>
        </w:rPr>
      </w:pPr>
      <w:r>
        <w:rPr>
          <w:rFonts w:ascii="Arial" w:cs="Arial" w:eastAsia="Arial" w:hAnsi="Arial"/>
          <w:sz w:val="18"/>
          <w:szCs w:val="18"/>
          <w:color w:val="auto"/>
        </w:rPr>
        <w:t>The strong increase in Marine was mainly due to significantly higher vessel fleet utilization, continued strong demand for Q-Marine technology coupled with better pricing and terms and conditions on most contracts. Marine activity increased principally in Asia, India, North America, North Africa and the Middle East regions.</w:t>
      </w:r>
    </w:p>
    <w:p>
      <w:pPr>
        <w:spacing w:after="0" w:line="1" w:lineRule="exact"/>
        <w:rPr>
          <w:sz w:val="20"/>
          <w:szCs w:val="20"/>
          <w:color w:val="auto"/>
        </w:rPr>
      </w:pPr>
    </w:p>
    <w:p>
      <w:pPr>
        <w:ind w:right="60" w:firstLine="228"/>
        <w:spacing w:after="0" w:line="250" w:lineRule="auto"/>
        <w:rPr>
          <w:sz w:val="20"/>
          <w:szCs w:val="20"/>
          <w:color w:val="auto"/>
        </w:rPr>
      </w:pPr>
      <w:r>
        <w:rPr>
          <w:rFonts w:ascii="Arial" w:cs="Arial" w:eastAsia="Arial" w:hAnsi="Arial"/>
          <w:sz w:val="18"/>
          <w:szCs w:val="18"/>
          <w:color w:val="auto"/>
        </w:rPr>
        <w:t>Land acquisition revenue growth was mainly experienced in South America and North Africa with several new crews starting up in the current year to address higher demand. Multiclient sales increased mainly in Brazil, North America, Asia and the Caspian. Data Processing grew significantly with higher third party demand and increased activity with the establishment of a new Data Processing Center in Mumbai.</w:t>
      </w:r>
    </w:p>
    <w:p>
      <w:pPr>
        <w:spacing w:after="0" w:line="1" w:lineRule="exact"/>
        <w:rPr>
          <w:sz w:val="20"/>
          <w:szCs w:val="20"/>
          <w:color w:val="auto"/>
        </w:rPr>
      </w:pPr>
    </w:p>
    <w:p>
      <w:pPr>
        <w:ind w:right="200" w:firstLine="228"/>
        <w:spacing w:after="0" w:line="255" w:lineRule="auto"/>
        <w:rPr>
          <w:sz w:val="20"/>
          <w:szCs w:val="20"/>
          <w:color w:val="auto"/>
        </w:rPr>
      </w:pPr>
      <w:r>
        <w:rPr>
          <w:rFonts w:ascii="Arial" w:cs="Arial" w:eastAsia="Arial" w:hAnsi="Arial"/>
          <w:sz w:val="18"/>
          <w:szCs w:val="18"/>
          <w:color w:val="auto"/>
        </w:rPr>
        <w:t>Six months pretax operating income of $338 million improved by $217 million year-on-year. The income growth was mainly attributable to Marine with higher Q-activity, improved pricing and contractual terms. Also contributing to the income improvement were Land acquisition due to higher active crew count and Data Processing due to increased activity levels.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income consisted of the following:</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8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Second Quarter</w:t>
            </w:r>
          </w:p>
        </w:tc>
        <w:tc>
          <w:tcPr>
            <w:tcW w:w="5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4"/>
          </w:tcPr>
          <w:p>
            <w:pPr>
              <w:jc w:val="right"/>
              <w:ind w:right="112"/>
              <w:spacing w:after="0"/>
              <w:rPr>
                <w:sz w:val="20"/>
                <w:szCs w:val="20"/>
                <w:color w:val="auto"/>
              </w:rPr>
            </w:pPr>
            <w:r>
              <w:rPr>
                <w:rFonts w:ascii="Arial" w:cs="Arial" w:eastAsia="Arial" w:hAnsi="Arial"/>
                <w:sz w:val="14"/>
                <w:szCs w:val="14"/>
                <w:b w:val="1"/>
                <w:bCs w:val="1"/>
                <w:color w:val="auto"/>
              </w:rPr>
              <w:t>Six Months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Borders>
              <w:bottom w:val="single" w:sz="8" w:color="auto"/>
            </w:tcBorders>
            <w:gridSpan w:val="2"/>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gridSpan w:val="2"/>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2006</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96"/>
              </w:rPr>
              <w:t>2005</w:t>
            </w: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2006</w:t>
            </w:r>
          </w:p>
        </w:tc>
        <w:tc>
          <w:tcPr>
            <w:tcW w:w="480" w:type="dxa"/>
            <w:vAlign w:val="bottom"/>
          </w:tcPr>
          <w:p>
            <w:pPr>
              <w:spacing w:after="0"/>
              <w:rPr>
                <w:sz w:val="22"/>
                <w:szCs w:val="22"/>
                <w:color w:val="auto"/>
              </w:rPr>
            </w:pPr>
          </w:p>
        </w:tc>
        <w:tc>
          <w:tcPr>
            <w:tcW w:w="3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3"/>
              </w:rPr>
              <w:t>2005</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8020" w:type="dxa"/>
            <w:vAlign w:val="bottom"/>
            <w:gridSpan w:val="2"/>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29</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65</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gridSpan w:val="2"/>
          </w:tcPr>
          <w:p>
            <w:pPr>
              <w:spacing w:after="0" w:line="149" w:lineRule="exact"/>
              <w:rPr>
                <w:sz w:val="20"/>
                <w:szCs w:val="20"/>
                <w:color w:val="auto"/>
              </w:rPr>
            </w:pPr>
            <w:r>
              <w:rPr>
                <w:rFonts w:ascii="Arial" w:cs="Arial" w:eastAsia="Arial" w:hAnsi="Arial"/>
                <w:sz w:val="14"/>
                <w:szCs w:val="14"/>
                <w:color w:val="auto"/>
              </w:rPr>
              <w:t>Equity in net earnings of affiliated companies</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44</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73</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2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 xml:space="preserve">Loss on liquidation of investments to fund the WesternGeco transaction </w:t>
            </w:r>
            <w:r>
              <w:rPr>
                <w:rFonts w:ascii="Arial" w:cs="Arial" w:eastAsia="Arial" w:hAnsi="Arial"/>
                <w:sz w:val="20"/>
                <w:szCs w:val="20"/>
                <w:color w:val="auto"/>
                <w:vertAlign w:val="superscript"/>
              </w:rPr>
              <w:t>1</w:t>
            </w: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b w:val="1"/>
                <w:bCs w:val="1"/>
                <w:color w:val="auto"/>
              </w:rPr>
              <w:t>(9)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b w:val="1"/>
                <w:bCs w:val="1"/>
                <w:color w:val="auto"/>
              </w:rPr>
              <w:t>(9)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20" w:type="dxa"/>
            <w:vAlign w:val="bottom"/>
            <w:gridSpan w:val="2"/>
          </w:tcPr>
          <w:p>
            <w:pPr>
              <w:spacing w:after="0"/>
              <w:rPr>
                <w:sz w:val="20"/>
                <w:szCs w:val="20"/>
                <w:color w:val="auto"/>
              </w:rPr>
            </w:pPr>
            <w:r>
              <w:rPr>
                <w:rFonts w:ascii="Arial" w:cs="Arial" w:eastAsia="Arial" w:hAnsi="Arial"/>
                <w:sz w:val="14"/>
                <w:szCs w:val="14"/>
                <w:color w:val="auto"/>
              </w:rPr>
              <w:t>Gain on sale of Mountrouge facility</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w w:val="76"/>
              </w:rPr>
              <w:t>146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82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64</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129</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235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20" w:type="dxa"/>
            <w:vAlign w:val="bottom"/>
            <w:gridSpan w:val="2"/>
            <w:vMerge w:val="restart"/>
          </w:tcPr>
          <w:p>
            <w:pPr>
              <w:spacing w:after="0"/>
              <w:rPr>
                <w:sz w:val="20"/>
                <w:szCs w:val="20"/>
                <w:color w:val="auto"/>
              </w:rPr>
            </w:pPr>
            <w:r>
              <w:rPr>
                <w:rFonts w:ascii="Arial" w:cs="Arial" w:eastAsia="Arial" w:hAnsi="Arial"/>
                <w:sz w:val="14"/>
                <w:szCs w:val="14"/>
                <w:color w:val="auto"/>
              </w:rPr>
              <w:t>1.</w:t>
            </w:r>
          </w:p>
        </w:tc>
        <w:tc>
          <w:tcPr>
            <w:tcW w:w="7820" w:type="dxa"/>
            <w:vAlign w:val="bottom"/>
            <w:vMerge w:val="restart"/>
          </w:tcPr>
          <w:p>
            <w:pPr>
              <w:ind w:left="120"/>
              <w:spacing w:after="0"/>
              <w:rPr>
                <w:sz w:val="20"/>
                <w:szCs w:val="20"/>
                <w:color w:val="auto"/>
              </w:rPr>
            </w:pPr>
            <w:r>
              <w:rPr>
                <w:rFonts w:ascii="Arial" w:cs="Arial" w:eastAsia="Arial" w:hAnsi="Arial"/>
                <w:sz w:val="14"/>
                <w:szCs w:val="14"/>
                <w:color w:val="auto"/>
              </w:rPr>
              <w:t xml:space="preserve">See discussion of Charges and Credits in Note 2 to the </w:t>
            </w:r>
            <w:r>
              <w:rPr>
                <w:rFonts w:ascii="Arial" w:cs="Arial" w:eastAsia="Arial" w:hAnsi="Arial"/>
                <w:sz w:val="14"/>
                <w:szCs w:val="14"/>
                <w:i w:val="1"/>
                <w:iCs w:val="1"/>
                <w:color w:val="auto"/>
              </w:rPr>
              <w:t>Consolidated Financial Statements</w:t>
            </w:r>
            <w:r>
              <w:rPr>
                <w:rFonts w:ascii="Arial" w:cs="Arial" w:eastAsia="Arial" w:hAnsi="Arial"/>
                <w:sz w:val="14"/>
                <w:szCs w:val="14"/>
                <w:color w:val="auto"/>
              </w:rPr>
              <w:t>.</w:t>
            </w: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4"/>
        </w:trPr>
        <w:tc>
          <w:tcPr>
            <w:tcW w:w="220" w:type="dxa"/>
            <w:vAlign w:val="bottom"/>
            <w:gridSpan w:val="2"/>
            <w:vMerge w:val="continue"/>
          </w:tcPr>
          <w:p>
            <w:pPr>
              <w:spacing w:after="0"/>
              <w:rPr>
                <w:sz w:val="24"/>
                <w:szCs w:val="24"/>
                <w:color w:val="auto"/>
              </w:rPr>
            </w:pPr>
          </w:p>
        </w:tc>
        <w:tc>
          <w:tcPr>
            <w:tcW w:w="782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80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Interest Income</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5448935</wp:posOffset>
            </wp:positionH>
            <wp:positionV relativeFrom="paragraph">
              <wp:posOffset>-463550</wp:posOffset>
            </wp:positionV>
            <wp:extent cx="1270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-463550</wp:posOffset>
            </wp:positionV>
            <wp:extent cx="2159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-463550</wp:posOffset>
            </wp:positionV>
            <wp:extent cx="38735"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-463550</wp:posOffset>
            </wp:positionV>
            <wp:extent cx="1270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-463550</wp:posOffset>
            </wp:positionV>
            <wp:extent cx="1270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-463550</wp:posOffset>
            </wp:positionV>
            <wp:extent cx="2159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-463550</wp:posOffset>
            </wp:positionV>
            <wp:extent cx="201295"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01295"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-463550</wp:posOffset>
            </wp:positionV>
            <wp:extent cx="1270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-463550</wp:posOffset>
            </wp:positionV>
            <wp:extent cx="1270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7112635</wp:posOffset>
            </wp:positionH>
            <wp:positionV relativeFrom="paragraph">
              <wp:posOffset>-463550</wp:posOffset>
            </wp:positionV>
            <wp:extent cx="2159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average return on investment increased from 3.3% in the second quarter of 2005 to 4.8% in the second quarter of 2006 and the weighted average investment balance of $2.5 billion in 2006 decreased $425 million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2</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compared to 2005. The decrease in the weighted average investment balance is primarily attributable to the funding of the WesternGeco transaction.</w:t>
      </w:r>
    </w:p>
    <w:p>
      <w:pPr>
        <w:spacing w:after="0" w:line="38" w:lineRule="exact"/>
        <w:rPr>
          <w:sz w:val="20"/>
          <w:szCs w:val="20"/>
          <w:color w:val="auto"/>
        </w:rPr>
      </w:pPr>
    </w:p>
    <w:p>
      <w:pPr>
        <w:ind w:right="580" w:firstLine="228"/>
        <w:spacing w:after="0" w:line="261" w:lineRule="auto"/>
        <w:rPr>
          <w:sz w:val="20"/>
          <w:szCs w:val="20"/>
          <w:color w:val="auto"/>
        </w:rPr>
      </w:pPr>
      <w:r>
        <w:rPr>
          <w:rFonts w:ascii="Arial" w:cs="Arial" w:eastAsia="Arial" w:hAnsi="Arial"/>
          <w:sz w:val="18"/>
          <w:szCs w:val="18"/>
          <w:color w:val="auto"/>
        </w:rPr>
        <w:t>The average return on investment increased from 3.1% in the first six months of 2005 to 4.4% in the first six months of 2006 and the weighted average investment balance of $3.0 billion in 2006 increased $162 million compared to 2005.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Net Earnings of Affiliated Companies</w:t>
      </w:r>
    </w:p>
    <w:p>
      <w:pPr>
        <w:spacing w:after="0" w:line="7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increase in equity in net earnings of affiliated companies is primarily due to the results of the drilling fluids joint venture that Schlumberger operates with Smith International, Inc. combined with the positive impact from recent minority interest investments.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7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Interest expense of $61.4 million in the second quarter of 2006 increased by $11.0 million compared to the same period last year. The weighted average borrowing rates of 4.7% increased in the second quarter of 2006 from 4.5% in the same period last year. The weighted average debt balance of $5.3 billion in the second quarter of 2006 increased by $776 million compared to the same period last year. The increase in the weighted average debt balance is primarily attributable to the funding of the WesternGeco transaction.</w:t>
      </w:r>
    </w:p>
    <w:p>
      <w:pPr>
        <w:spacing w:after="0" w:line="1" w:lineRule="exact"/>
        <w:rPr>
          <w:sz w:val="20"/>
          <w:szCs w:val="20"/>
          <w:color w:val="auto"/>
        </w:rPr>
      </w:pPr>
    </w:p>
    <w:p>
      <w:pPr>
        <w:ind w:right="40" w:firstLine="228"/>
        <w:spacing w:after="0" w:line="302" w:lineRule="auto"/>
        <w:rPr>
          <w:sz w:val="20"/>
          <w:szCs w:val="20"/>
          <w:color w:val="auto"/>
        </w:rPr>
      </w:pPr>
      <w:r>
        <w:rPr>
          <w:rFonts w:ascii="Arial" w:cs="Arial" w:eastAsia="Arial" w:hAnsi="Arial"/>
          <w:sz w:val="16"/>
          <w:szCs w:val="16"/>
          <w:color w:val="auto"/>
        </w:rPr>
        <w:t>Interest expense of $109.3 million in the first six months of 2006 increased by $12.3 million compared to the same period last year. The weighted average borrowing rates of 4.5% increased in the first six months of 2006 from 4.3% in the same period last year. The weighted average debt balance of $4.9 billion in the first six months of 2006 increased by $347 million compared to the same period last year, primarily due to the funding of the WesternGeco transaction.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 and Other</w:t>
      </w:r>
    </w:p>
    <w:p>
      <w:pPr>
        <w:spacing w:after="0" w:line="72"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Gross margin was 30.5% and 25.7% in the second quarters at 2006 and 2005, and 30.0% and 24.8% in the six month periods end June 30, 2006 and 2005, respectively. The increase in gross margin is primarily due to higher activity, increased pricing, stronger demand for higher-margin technologies, and operating efficiency improvements.</w:t>
      </w:r>
    </w:p>
    <w:p>
      <w:pPr>
        <w:ind w:right="140" w:firstLine="228"/>
        <w:spacing w:after="0" w:line="261" w:lineRule="auto"/>
        <w:rPr>
          <w:sz w:val="20"/>
          <w:szCs w:val="20"/>
          <w:color w:val="auto"/>
        </w:rPr>
      </w:pPr>
      <w:r>
        <w:rPr>
          <w:rFonts w:ascii="Arial" w:cs="Arial" w:eastAsia="Arial" w:hAnsi="Arial"/>
          <w:sz w:val="18"/>
          <w:szCs w:val="18"/>
          <w:color w:val="auto"/>
        </w:rPr>
        <w:t>As a percentage of revenue, research &amp; engineering, marketing and general &amp; administrative expenses for the second quarter and six months ending June 30, 2006 and 2005 are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174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Second Quarter</w:t>
            </w:r>
          </w:p>
        </w:tc>
        <w:tc>
          <w:tcPr>
            <w:tcW w:w="260" w:type="dxa"/>
            <w:vAlign w:val="bottom"/>
          </w:tcPr>
          <w:p>
            <w:pPr>
              <w:spacing w:after="0"/>
              <w:rPr>
                <w:sz w:val="15"/>
                <w:szCs w:val="15"/>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Six Months</w:t>
            </w:r>
          </w:p>
        </w:tc>
      </w:tr>
      <w:tr>
        <w:trPr>
          <w:trHeight w:val="95"/>
        </w:trPr>
        <w:tc>
          <w:tcPr>
            <w:tcW w:w="81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250"/>
        </w:trPr>
        <w:tc>
          <w:tcPr>
            <w:tcW w:w="8120" w:type="dxa"/>
            <w:vAlign w:val="bottom"/>
          </w:tcPr>
          <w:p>
            <w:pPr>
              <w:spacing w:after="0"/>
              <w:rPr>
                <w:sz w:val="21"/>
                <w:szCs w:val="21"/>
                <w:color w:val="auto"/>
              </w:rPr>
            </w:pPr>
          </w:p>
        </w:tc>
        <w:tc>
          <w:tcPr>
            <w:tcW w:w="800" w:type="dxa"/>
            <w:vAlign w:val="bottom"/>
          </w:tcPr>
          <w:p>
            <w:pPr>
              <w:jc w:val="right"/>
              <w:ind w:right="392"/>
              <w:spacing w:after="0"/>
              <w:rPr>
                <w:sz w:val="20"/>
                <w:szCs w:val="20"/>
                <w:color w:val="auto"/>
              </w:rPr>
            </w:pPr>
            <w:r>
              <w:rPr>
                <w:rFonts w:ascii="Arial" w:cs="Arial" w:eastAsia="Arial" w:hAnsi="Arial"/>
                <w:sz w:val="14"/>
                <w:szCs w:val="14"/>
                <w:b w:val="1"/>
                <w:bCs w:val="1"/>
                <w:color w:val="auto"/>
              </w:rPr>
              <w:t>2006</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21"/>
                <w:szCs w:val="21"/>
                <w:color w:val="auto"/>
              </w:rPr>
            </w:pPr>
          </w:p>
        </w:tc>
        <w:tc>
          <w:tcPr>
            <w:tcW w:w="92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rPr>
              <w:t>2006</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1"/>
                <w:szCs w:val="21"/>
                <w:color w:val="auto"/>
              </w:rPr>
            </w:pPr>
          </w:p>
        </w:tc>
      </w:tr>
      <w:tr>
        <w:trPr>
          <w:trHeight w:val="149"/>
        </w:trPr>
        <w:tc>
          <w:tcPr>
            <w:tcW w:w="8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Research and engineering</w:t>
            </w:r>
          </w:p>
        </w:tc>
        <w:tc>
          <w:tcPr>
            <w:tcW w:w="8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rPr>
              <w:t>3.6%</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3.5%</w:t>
            </w:r>
          </w:p>
        </w:tc>
        <w:tc>
          <w:tcPr>
            <w:tcW w:w="92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3.4%</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r>
      <w:tr>
        <w:trPr>
          <w:trHeight w:val="149"/>
        </w:trPr>
        <w:tc>
          <w:tcPr>
            <w:tcW w:w="8120" w:type="dxa"/>
            <w:vAlign w:val="bottom"/>
          </w:tcPr>
          <w:p>
            <w:pPr>
              <w:spacing w:after="0" w:line="149" w:lineRule="exact"/>
              <w:rPr>
                <w:sz w:val="20"/>
                <w:szCs w:val="20"/>
                <w:color w:val="auto"/>
              </w:rPr>
            </w:pPr>
            <w:r>
              <w:rPr>
                <w:rFonts w:ascii="Arial" w:cs="Arial" w:eastAsia="Arial" w:hAnsi="Arial"/>
                <w:sz w:val="14"/>
                <w:szCs w:val="14"/>
                <w:color w:val="auto"/>
              </w:rPr>
              <w:t>Marketing</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rPr>
              <w:t>0.3%</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0.4%</w:t>
            </w:r>
          </w:p>
        </w:tc>
        <w:tc>
          <w:tcPr>
            <w:tcW w:w="920" w:type="dxa"/>
            <w:vAlign w:val="bottom"/>
            <w:gridSpan w:val="2"/>
          </w:tcPr>
          <w:p>
            <w:pPr>
              <w:jc w:val="right"/>
              <w:ind w:right="192"/>
              <w:spacing w:after="0" w:line="149" w:lineRule="exact"/>
              <w:rPr>
                <w:sz w:val="20"/>
                <w:szCs w:val="20"/>
                <w:color w:val="auto"/>
              </w:rPr>
            </w:pPr>
            <w:r>
              <w:rPr>
                <w:rFonts w:ascii="Arial" w:cs="Arial" w:eastAsia="Arial" w:hAnsi="Arial"/>
                <w:sz w:val="14"/>
                <w:szCs w:val="14"/>
                <w:b w:val="1"/>
                <w:bCs w:val="1"/>
                <w:color w:val="auto"/>
              </w:rPr>
              <w:t>0.3%</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0.3%</w:t>
            </w:r>
          </w:p>
        </w:tc>
      </w:tr>
      <w:tr>
        <w:trPr>
          <w:trHeight w:val="149"/>
        </w:trPr>
        <w:tc>
          <w:tcPr>
            <w:tcW w:w="8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General and administrative</w:t>
            </w:r>
          </w:p>
        </w:tc>
        <w:tc>
          <w:tcPr>
            <w:tcW w:w="8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rPr>
              <w:t>2.3%</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2.7%</w:t>
            </w:r>
          </w:p>
        </w:tc>
        <w:tc>
          <w:tcPr>
            <w:tcW w:w="92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2.3%</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r>
    </w:tbl>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Research and engineering expenditure, by segment was as follows: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5120" w:type="dxa"/>
            <w:vAlign w:val="bottom"/>
            <w:tcBorders>
              <w:top w:val="single" w:sz="8" w:color="auto"/>
            </w:tcBorders>
          </w:tcPr>
          <w:p>
            <w:pPr>
              <w:spacing w:after="0"/>
              <w:rPr>
                <w:sz w:val="15"/>
                <w:szCs w:val="15"/>
                <w:color w:val="auto"/>
              </w:rPr>
            </w:pPr>
          </w:p>
        </w:tc>
        <w:tc>
          <w:tcPr>
            <w:tcW w:w="3300" w:type="dxa"/>
            <w:vAlign w:val="bottom"/>
            <w:tcBorders>
              <w:top w:val="single" w:sz="8" w:color="auto"/>
            </w:tcBorders>
          </w:tcPr>
          <w:p>
            <w:pPr>
              <w:spacing w:after="0"/>
              <w:rPr>
                <w:sz w:val="15"/>
                <w:szCs w:val="15"/>
                <w:color w:val="auto"/>
              </w:rPr>
            </w:pPr>
          </w:p>
        </w:tc>
        <w:tc>
          <w:tcPr>
            <w:tcW w:w="90" w:type="dxa"/>
            <w:vAlign w:val="bottom"/>
            <w:tcBorders>
              <w:top w:val="single" w:sz="8" w:color="auto"/>
            </w:tcBorders>
          </w:tcPr>
          <w:p>
            <w:pPr>
              <w:spacing w:after="0"/>
              <w:rPr>
                <w:sz w:val="15"/>
                <w:szCs w:val="15"/>
                <w:color w:val="auto"/>
              </w:rPr>
            </w:pPr>
          </w:p>
        </w:tc>
        <w:tc>
          <w:tcPr>
            <w:tcW w:w="119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Second Quarter</w:t>
            </w:r>
          </w:p>
        </w:tc>
        <w:tc>
          <w:tcPr>
            <w:tcW w:w="4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3"/>
          </w:tcPr>
          <w:p>
            <w:pPr>
              <w:jc w:val="right"/>
              <w:ind w:right="92"/>
              <w:spacing w:after="0"/>
              <w:rPr>
                <w:sz w:val="20"/>
                <w:szCs w:val="20"/>
                <w:color w:val="auto"/>
              </w:rPr>
            </w:pPr>
            <w:r>
              <w:rPr>
                <w:rFonts w:ascii="Arial" w:cs="Arial" w:eastAsia="Arial" w:hAnsi="Arial"/>
                <w:sz w:val="14"/>
                <w:szCs w:val="14"/>
                <w:b w:val="1"/>
                <w:bCs w:val="1"/>
                <w:color w:val="auto"/>
              </w:rPr>
              <w:t>Six Months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120" w:type="dxa"/>
            <w:vAlign w:val="bottom"/>
          </w:tcPr>
          <w:p>
            <w:pPr>
              <w:spacing w:after="0"/>
              <w:rPr>
                <w:sz w:val="6"/>
                <w:szCs w:val="6"/>
                <w:color w:val="auto"/>
              </w:rPr>
            </w:pPr>
          </w:p>
        </w:tc>
        <w:tc>
          <w:tcPr>
            <w:tcW w:w="3300" w:type="dxa"/>
            <w:vAlign w:val="bottom"/>
          </w:tcPr>
          <w:p>
            <w:pPr>
              <w:spacing w:after="0"/>
              <w:rPr>
                <w:sz w:val="6"/>
                <w:szCs w:val="6"/>
                <w:color w:val="auto"/>
              </w:rPr>
            </w:pPr>
          </w:p>
        </w:tc>
        <w:tc>
          <w:tcPr>
            <w:tcW w:w="90" w:type="dxa"/>
            <w:vAlign w:val="bottom"/>
            <w:tcBorders>
              <w:bottom w:val="single" w:sz="8" w:color="auto"/>
            </w:tcBorders>
          </w:tcPr>
          <w:p>
            <w:pPr>
              <w:spacing w:after="0"/>
              <w:rPr>
                <w:sz w:val="6"/>
                <w:szCs w:val="6"/>
                <w:color w:val="auto"/>
              </w:rPr>
            </w:pPr>
          </w:p>
        </w:tc>
        <w:tc>
          <w:tcPr>
            <w:tcW w:w="33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12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90" w:type="dxa"/>
            <w:vAlign w:val="bottom"/>
          </w:tcPr>
          <w:p>
            <w:pPr>
              <w:spacing w:after="0"/>
              <w:rPr>
                <w:sz w:val="22"/>
                <w:szCs w:val="22"/>
                <w:color w:val="auto"/>
              </w:rPr>
            </w:pPr>
          </w:p>
        </w:tc>
        <w:tc>
          <w:tcPr>
            <w:tcW w:w="330" w:type="dxa"/>
            <w:vAlign w:val="bottom"/>
          </w:tcPr>
          <w:p>
            <w:pPr>
              <w:jc w:val="right"/>
              <w:spacing w:after="0"/>
              <w:rPr>
                <w:sz w:val="20"/>
                <w:szCs w:val="20"/>
                <w:color w:val="auto"/>
              </w:rPr>
            </w:pPr>
            <w:r>
              <w:rPr>
                <w:rFonts w:ascii="Arial" w:cs="Arial" w:eastAsia="Arial" w:hAnsi="Arial"/>
                <w:sz w:val="14"/>
                <w:szCs w:val="14"/>
                <w:b w:val="1"/>
                <w:bCs w:val="1"/>
                <w:color w:val="auto"/>
                <w:w w:val="96"/>
              </w:rPr>
              <w:t>2006</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96"/>
              </w:rPr>
              <w:t>2005</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7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420" w:type="dxa"/>
            <w:vAlign w:val="bottom"/>
            <w:gridSpan w:val="2"/>
          </w:tcPr>
          <w:p>
            <w:pPr>
              <w:spacing w:after="0"/>
              <w:rPr>
                <w:sz w:val="4"/>
                <w:szCs w:val="4"/>
                <w:color w:val="auto"/>
              </w:rPr>
            </w:pPr>
          </w:p>
        </w:tc>
        <w:tc>
          <w:tcPr>
            <w:tcW w:w="3300" w:type="dxa"/>
            <w:vAlign w:val="bottom"/>
          </w:tcPr>
          <w:p>
            <w:pPr>
              <w:spacing w:after="0"/>
              <w:rPr>
                <w:sz w:val="4"/>
                <w:szCs w:val="4"/>
                <w:color w:val="auto"/>
              </w:rPr>
            </w:pPr>
          </w:p>
        </w:tc>
        <w:tc>
          <w:tcPr>
            <w:tcW w:w="90" w:type="dxa"/>
            <w:vAlign w:val="bottom"/>
          </w:tcPr>
          <w:p>
            <w:pPr>
              <w:spacing w:after="0"/>
              <w:rPr>
                <w:sz w:val="4"/>
                <w:szCs w:val="4"/>
                <w:color w:val="auto"/>
              </w:rPr>
            </w:pPr>
          </w:p>
        </w:tc>
        <w:tc>
          <w:tcPr>
            <w:tcW w:w="33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Oilfield Services</w:t>
            </w:r>
          </w:p>
        </w:tc>
        <w:tc>
          <w:tcPr>
            <w:tcW w:w="3390" w:type="dxa"/>
            <w:vAlign w:val="bottom"/>
            <w:gridSpan w:val="2"/>
            <w:shd w:val="clear" w:color="auto" w:fill="CCEEFF"/>
          </w:tcPr>
          <w:p>
            <w:pPr>
              <w:jc w:val="right"/>
              <w:ind w:right="10"/>
              <w:spacing w:after="0" w:line="149" w:lineRule="exact"/>
              <w:rPr>
                <w:sz w:val="20"/>
                <w:szCs w:val="20"/>
                <w:color w:val="auto"/>
              </w:rPr>
            </w:pPr>
            <w:r>
              <w:rPr>
                <w:rFonts w:ascii="Arial" w:cs="Arial" w:eastAsia="Arial" w:hAnsi="Arial"/>
                <w:sz w:val="14"/>
                <w:szCs w:val="14"/>
                <w:b w:val="1"/>
                <w:bCs w:val="1"/>
                <w:color w:val="auto"/>
              </w:rPr>
              <w:t>$</w:t>
            </w:r>
          </w:p>
        </w:tc>
        <w:tc>
          <w:tcPr>
            <w:tcW w:w="3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128</w:t>
            </w: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$243</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2"/>
          </w:tcPr>
          <w:p>
            <w:pPr>
              <w:spacing w:after="0" w:line="149" w:lineRule="exact"/>
              <w:rPr>
                <w:sz w:val="20"/>
                <w:szCs w:val="20"/>
                <w:color w:val="auto"/>
              </w:rPr>
            </w:pPr>
            <w:r>
              <w:rPr>
                <w:rFonts w:ascii="Arial" w:cs="Arial" w:eastAsia="Arial" w:hAnsi="Arial"/>
                <w:sz w:val="14"/>
                <w:szCs w:val="14"/>
                <w:color w:val="auto"/>
              </w:rPr>
              <w:t>WesternGeco</w:t>
            </w:r>
          </w:p>
        </w:tc>
        <w:tc>
          <w:tcPr>
            <w:tcW w:w="330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33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15</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28</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2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 xml:space="preserve">In-process R&amp;D charges </w:t>
            </w:r>
            <w:r>
              <w:rPr>
                <w:rFonts w:ascii="Arial" w:cs="Arial" w:eastAsia="Arial" w:hAnsi="Arial"/>
                <w:sz w:val="20"/>
                <w:szCs w:val="20"/>
                <w:color w:val="auto"/>
                <w:vertAlign w:val="superscript"/>
              </w:rPr>
              <w:t>1</w:t>
            </w:r>
          </w:p>
        </w:tc>
        <w:tc>
          <w:tcPr>
            <w:tcW w:w="3300" w:type="dxa"/>
            <w:vAlign w:val="bottom"/>
            <w:shd w:val="clear" w:color="auto" w:fill="CCEEFF"/>
          </w:tcPr>
          <w:p>
            <w:pPr>
              <w:spacing w:after="0"/>
              <w:rPr>
                <w:sz w:val="15"/>
                <w:szCs w:val="15"/>
                <w:color w:val="auto"/>
              </w:rPr>
            </w:pPr>
          </w:p>
        </w:tc>
        <w:tc>
          <w:tcPr>
            <w:tcW w:w="90" w:type="dxa"/>
            <w:vAlign w:val="bottom"/>
            <w:shd w:val="clear" w:color="auto" w:fill="CCEEFF"/>
          </w:tcPr>
          <w:p>
            <w:pPr>
              <w:spacing w:after="0"/>
              <w:rPr>
                <w:sz w:val="15"/>
                <w:szCs w:val="15"/>
                <w:color w:val="auto"/>
              </w:rPr>
            </w:pPr>
          </w:p>
        </w:tc>
        <w:tc>
          <w:tcPr>
            <w:tcW w:w="33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w:t>
            </w: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27</w:t>
            </w:r>
          </w:p>
        </w:tc>
        <w:tc>
          <w:tcPr>
            <w:tcW w:w="42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0" w:type="dxa"/>
            <w:vAlign w:val="bottom"/>
          </w:tcPr>
          <w:p>
            <w:pPr>
              <w:spacing w:after="0"/>
              <w:rPr>
                <w:sz w:val="20"/>
                <w:szCs w:val="20"/>
                <w:color w:val="auto"/>
              </w:rPr>
            </w:pPr>
            <w:r>
              <w:rPr>
                <w:rFonts w:ascii="Arial" w:cs="Arial" w:eastAsia="Arial" w:hAnsi="Arial"/>
                <w:sz w:val="14"/>
                <w:szCs w:val="14"/>
                <w:color w:val="auto"/>
                <w:w w:val="79"/>
              </w:rPr>
              <w:t>Other</w:t>
            </w:r>
          </w:p>
        </w:tc>
        <w:tc>
          <w:tcPr>
            <w:tcW w:w="51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33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120" w:type="dxa"/>
            <w:vAlign w:val="bottom"/>
            <w:tcBorders>
              <w:bottom w:val="single" w:sz="8" w:color="auto"/>
            </w:tcBorders>
          </w:tcPr>
          <w:p>
            <w:pPr>
              <w:spacing w:after="0"/>
              <w:rPr>
                <w:sz w:val="7"/>
                <w:szCs w:val="7"/>
                <w:color w:val="auto"/>
              </w:rPr>
            </w:pPr>
          </w:p>
        </w:tc>
        <w:tc>
          <w:tcPr>
            <w:tcW w:w="3300" w:type="dxa"/>
            <w:vAlign w:val="bottom"/>
            <w:tcBorders>
              <w:bottom w:val="single" w:sz="8" w:color="auto"/>
            </w:tcBorders>
          </w:tcPr>
          <w:p>
            <w:pPr>
              <w:spacing w:after="0"/>
              <w:rPr>
                <w:sz w:val="7"/>
                <w:szCs w:val="7"/>
                <w:color w:val="auto"/>
              </w:rPr>
            </w:pPr>
          </w:p>
        </w:tc>
        <w:tc>
          <w:tcPr>
            <w:tcW w:w="90" w:type="dxa"/>
            <w:vAlign w:val="bottom"/>
            <w:tcBorders>
              <w:bottom w:val="single" w:sz="8" w:color="auto"/>
            </w:tcBorders>
          </w:tcPr>
          <w:p>
            <w:pPr>
              <w:spacing w:after="0"/>
              <w:rPr>
                <w:sz w:val="7"/>
                <w:szCs w:val="7"/>
                <w:color w:val="auto"/>
              </w:rPr>
            </w:pPr>
          </w:p>
        </w:tc>
        <w:tc>
          <w:tcPr>
            <w:tcW w:w="33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120" w:type="dxa"/>
            <w:vAlign w:val="bottom"/>
          </w:tcPr>
          <w:p>
            <w:pPr>
              <w:spacing w:after="0"/>
              <w:rPr>
                <w:sz w:val="8"/>
                <w:szCs w:val="8"/>
                <w:color w:val="auto"/>
              </w:rPr>
            </w:pPr>
          </w:p>
        </w:tc>
        <w:tc>
          <w:tcPr>
            <w:tcW w:w="3300" w:type="dxa"/>
            <w:vAlign w:val="bottom"/>
          </w:tcPr>
          <w:p>
            <w:pPr>
              <w:spacing w:after="0"/>
              <w:rPr>
                <w:sz w:val="8"/>
                <w:szCs w:val="8"/>
                <w:color w:val="auto"/>
              </w:rPr>
            </w:pPr>
          </w:p>
        </w:tc>
        <w:tc>
          <w:tcPr>
            <w:tcW w:w="90" w:type="dxa"/>
            <w:vAlign w:val="bottom"/>
          </w:tcPr>
          <w:p>
            <w:pPr>
              <w:spacing w:after="0"/>
              <w:rPr>
                <w:sz w:val="8"/>
                <w:szCs w:val="8"/>
                <w:color w:val="auto"/>
              </w:rPr>
            </w:pPr>
          </w:p>
        </w:tc>
        <w:tc>
          <w:tcPr>
            <w:tcW w:w="33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120" w:type="dxa"/>
            <w:vAlign w:val="bottom"/>
            <w:shd w:val="clear" w:color="auto" w:fill="CCEEFF"/>
          </w:tcPr>
          <w:p>
            <w:pPr>
              <w:spacing w:after="0"/>
              <w:rPr>
                <w:sz w:val="12"/>
                <w:szCs w:val="12"/>
                <w:color w:val="auto"/>
              </w:rPr>
            </w:pPr>
          </w:p>
        </w:tc>
        <w:tc>
          <w:tcPr>
            <w:tcW w:w="3390" w:type="dxa"/>
            <w:vAlign w:val="bottom"/>
            <w:gridSpan w:val="2"/>
            <w:shd w:val="clear" w:color="auto" w:fill="CCEEFF"/>
          </w:tcPr>
          <w:p>
            <w:pPr>
              <w:jc w:val="right"/>
              <w:ind w:right="10"/>
              <w:spacing w:after="0" w:line="149" w:lineRule="exact"/>
              <w:rPr>
                <w:sz w:val="20"/>
                <w:szCs w:val="20"/>
                <w:color w:val="auto"/>
              </w:rPr>
            </w:pPr>
            <w:r>
              <w:rPr>
                <w:rFonts w:ascii="Arial" w:cs="Arial" w:eastAsia="Arial" w:hAnsi="Arial"/>
                <w:sz w:val="14"/>
                <w:szCs w:val="14"/>
                <w:b w:val="1"/>
                <w:bCs w:val="1"/>
                <w:color w:val="auto"/>
              </w:rPr>
              <w:t>$</w:t>
            </w:r>
          </w:p>
        </w:tc>
        <w:tc>
          <w:tcPr>
            <w:tcW w:w="3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171</w:t>
            </w: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$300</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20" w:type="dxa"/>
            <w:vAlign w:val="bottom"/>
            <w:gridSpan w:val="2"/>
            <w:vMerge w:val="restart"/>
          </w:tcPr>
          <w:p>
            <w:pPr>
              <w:spacing w:after="0"/>
              <w:rPr>
                <w:sz w:val="20"/>
                <w:szCs w:val="20"/>
                <w:color w:val="auto"/>
              </w:rPr>
            </w:pPr>
            <w:r>
              <w:rPr>
                <w:rFonts w:ascii="Arial" w:cs="Arial" w:eastAsia="Arial" w:hAnsi="Arial"/>
                <w:sz w:val="14"/>
                <w:szCs w:val="14"/>
                <w:color w:val="auto"/>
              </w:rPr>
              <w:t>1.</w:t>
            </w:r>
          </w:p>
        </w:tc>
        <w:tc>
          <w:tcPr>
            <w:tcW w:w="5120" w:type="dxa"/>
            <w:vAlign w:val="bottom"/>
            <w:vMerge w:val="restart"/>
          </w:tcPr>
          <w:p>
            <w:pPr>
              <w:ind w:left="20"/>
              <w:spacing w:after="0"/>
              <w:rPr>
                <w:sz w:val="20"/>
                <w:szCs w:val="20"/>
                <w:color w:val="auto"/>
              </w:rPr>
            </w:pPr>
            <w:r>
              <w:rPr>
                <w:rFonts w:ascii="Arial" w:cs="Arial" w:eastAsia="Arial" w:hAnsi="Arial"/>
                <w:sz w:val="14"/>
                <w:szCs w:val="14"/>
                <w:color w:val="auto"/>
                <w:w w:val="89"/>
              </w:rPr>
              <w:t xml:space="preserve">See discussion of Charges and Credits in Note 2 to the </w:t>
            </w:r>
            <w:r>
              <w:rPr>
                <w:rFonts w:ascii="Arial" w:cs="Arial" w:eastAsia="Arial" w:hAnsi="Arial"/>
                <w:sz w:val="14"/>
                <w:szCs w:val="14"/>
                <w:i w:val="1"/>
                <w:iCs w:val="1"/>
                <w:color w:val="auto"/>
                <w:w w:val="89"/>
              </w:rPr>
              <w:t>Consolidated Financial Statements</w:t>
            </w:r>
            <w:r>
              <w:rPr>
                <w:rFonts w:ascii="Arial" w:cs="Arial" w:eastAsia="Arial" w:hAnsi="Arial"/>
                <w:sz w:val="14"/>
                <w:szCs w:val="14"/>
                <w:color w:val="auto"/>
                <w:w w:val="89"/>
              </w:rPr>
              <w:t>.</w:t>
            </w:r>
          </w:p>
        </w:tc>
        <w:tc>
          <w:tcPr>
            <w:tcW w:w="330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33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4"/>
        </w:trPr>
        <w:tc>
          <w:tcPr>
            <w:tcW w:w="320" w:type="dxa"/>
            <w:vAlign w:val="bottom"/>
            <w:gridSpan w:val="2"/>
            <w:vMerge w:val="continue"/>
          </w:tcPr>
          <w:p>
            <w:pPr>
              <w:spacing w:after="0"/>
              <w:rPr>
                <w:sz w:val="24"/>
                <w:szCs w:val="24"/>
                <w:color w:val="auto"/>
              </w:rPr>
            </w:pPr>
          </w:p>
        </w:tc>
        <w:tc>
          <w:tcPr>
            <w:tcW w:w="5120" w:type="dxa"/>
            <w:vAlign w:val="bottom"/>
            <w:vMerge w:val="continue"/>
          </w:tcPr>
          <w:p>
            <w:pPr>
              <w:spacing w:after="0"/>
              <w:rPr>
                <w:sz w:val="24"/>
                <w:szCs w:val="24"/>
                <w:color w:val="auto"/>
              </w:rPr>
            </w:pPr>
          </w:p>
        </w:tc>
        <w:tc>
          <w:tcPr>
            <w:tcW w:w="330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33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3300" w:type="dxa"/>
            <w:vAlign w:val="bottom"/>
          </w:tcPr>
          <w:p>
            <w:pPr>
              <w:jc w:val="right"/>
              <w:ind w:right="2892"/>
              <w:spacing w:after="0"/>
              <w:rPr>
                <w:sz w:val="20"/>
                <w:szCs w:val="20"/>
                <w:color w:val="auto"/>
              </w:rPr>
            </w:pPr>
            <w:r>
              <w:rPr>
                <w:rFonts w:ascii="Arial" w:cs="Arial" w:eastAsia="Arial" w:hAnsi="Arial"/>
                <w:sz w:val="14"/>
                <w:szCs w:val="14"/>
                <w:color w:val="auto"/>
              </w:rPr>
              <w:t>26</w:t>
            </w:r>
          </w:p>
        </w:tc>
        <w:tc>
          <w:tcPr>
            <w:tcW w:w="90" w:type="dxa"/>
            <w:vAlign w:val="bottom"/>
          </w:tcPr>
          <w:p>
            <w:pPr>
              <w:spacing w:after="0"/>
              <w:rPr>
                <w:sz w:val="24"/>
                <w:szCs w:val="24"/>
                <w:color w:val="auto"/>
              </w:rPr>
            </w:pPr>
          </w:p>
        </w:tc>
        <w:tc>
          <w:tcPr>
            <w:tcW w:w="33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5551805</wp:posOffset>
            </wp:positionH>
            <wp:positionV relativeFrom="paragraph">
              <wp:posOffset>-429895</wp:posOffset>
            </wp:positionV>
            <wp:extent cx="1270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-429895</wp:posOffset>
            </wp:positionV>
            <wp:extent cx="1270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-429895</wp:posOffset>
            </wp:positionV>
            <wp:extent cx="2159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-429895</wp:posOffset>
            </wp:positionV>
            <wp:extent cx="1270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-429895</wp:posOffset>
            </wp:positionV>
            <wp:extent cx="1270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-429895</wp:posOffset>
            </wp:positionV>
            <wp:extent cx="2159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-429895</wp:posOffset>
            </wp:positionV>
            <wp:extent cx="1270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-429895</wp:posOffset>
            </wp:positionV>
            <wp:extent cx="1270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-429895</wp:posOffset>
            </wp:positionV>
            <wp:extent cx="2159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-429895</wp:posOffset>
            </wp:positionV>
            <wp:extent cx="1270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-429895</wp:posOffset>
            </wp:positionV>
            <wp:extent cx="1270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7112635</wp:posOffset>
            </wp:positionH>
            <wp:positionV relativeFrom="paragraph">
              <wp:posOffset>-429895</wp:posOffset>
            </wp:positionV>
            <wp:extent cx="2159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Effective Tax Rate</w:t>
      </w:r>
    </w:p>
    <w:p>
      <w:pPr>
        <w:spacing w:after="0" w:line="7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effective tax rate in the second quarter of 2006 was 24.4% compared to 24.9% in the second quarter of last year. The majority of the $46 million of Charges and Credits recorded in the second quarter of 2006 were not tax deductible and served to increase the effective tax rate by approximately 1.0%. In addition, the country mix of profitability combined with positive developments in various tax issues in certain geographies favorably impacted the effective tax rate in the second quarter of 2006.</w:t>
      </w:r>
    </w:p>
    <w:p>
      <w:pPr>
        <w:spacing w:after="0" w:line="1" w:lineRule="exact"/>
        <w:rPr>
          <w:sz w:val="20"/>
          <w:szCs w:val="20"/>
          <w:color w:val="auto"/>
        </w:rPr>
      </w:pPr>
    </w:p>
    <w:p>
      <w:pPr>
        <w:ind w:firstLine="228"/>
        <w:spacing w:after="0" w:line="292" w:lineRule="auto"/>
        <w:rPr>
          <w:sz w:val="20"/>
          <w:szCs w:val="20"/>
          <w:color w:val="auto"/>
        </w:rPr>
      </w:pPr>
      <w:r>
        <w:rPr>
          <w:rFonts w:ascii="Arial" w:cs="Arial" w:eastAsia="Arial" w:hAnsi="Arial"/>
          <w:sz w:val="16"/>
          <w:szCs w:val="16"/>
          <w:color w:val="auto"/>
        </w:rPr>
        <w:t>The effective tax rate for the first six months of 2006 was 24.7% compared to 22.5% in the prior year. The rate in 2005 reflects the impact of the $146 million gain on the sale of the Montrouge facility. This transaction allowed for the utilization of a deferred tax asset that was previously offset by a valuation allowance and had the effect of lowering the effective tax rate during the prior year by 2.8%. The effective tax rate for the first six months of 2006 was impacted by the fact that the majority of the $46 million of Charges and Credits recorded in the second quarter of 2006 were not tax deductible offset by the country mix of profitability combined with the impact of positive developments in various tax issues in certain geographies in the second quarter of 2006.</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and Other</w:t>
      </w:r>
    </w:p>
    <w:p>
      <w:pPr>
        <w:spacing w:after="0" w:line="72"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 xml:space="preserve">As discussed in further detail in Note 13 to the Consolidated Financial Statements for the second quarter ended June 30, 2006, Schlumberger adopted the provisions of SFAS 123R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effective January 1, 2006. The adoption of this standard resulted in Schlumberger recording $6 million of additional stock-based compensation charges in the first quarter of 2006, $5 million in the second quarter of 2006 and it will result in an additional $5 million being recognized per quarter throughout the remainder of 2006.</w:t>
      </w:r>
    </w:p>
    <w:p>
      <w:pPr>
        <w:spacing w:after="0" w:line="1" w:lineRule="exact"/>
        <w:rPr>
          <w:sz w:val="20"/>
          <w:szCs w:val="20"/>
          <w:color w:val="auto"/>
        </w:rPr>
      </w:pPr>
    </w:p>
    <w:p>
      <w:pPr>
        <w:ind w:firstLine="228"/>
        <w:spacing w:after="0" w:line="250" w:lineRule="auto"/>
        <w:rPr>
          <w:sz w:val="20"/>
          <w:szCs w:val="20"/>
          <w:color w:val="auto"/>
        </w:rPr>
      </w:pPr>
      <w:r>
        <w:rPr>
          <w:rFonts w:ascii="Arial" w:cs="Arial" w:eastAsia="Arial" w:hAnsi="Arial"/>
          <w:sz w:val="18"/>
          <w:szCs w:val="18"/>
          <w:color w:val="auto"/>
        </w:rPr>
        <w:t>Stock-based compensation expense was $28 million in the second quarter of 2006 compared to $10 million in the first quarter of the prior year, and $54 million for the six months ended June 30, 2006 compared to $19 million for the six months ended June 30, 2005. Total stock-based compensation expense for all of fiscal 2005 was $40 million and it is currently estimated to be $112 million in 2006.</w:t>
      </w:r>
    </w:p>
    <w:p>
      <w:pPr>
        <w:spacing w:after="0" w:line="1" w:lineRule="exact"/>
        <w:rPr>
          <w:sz w:val="20"/>
          <w:szCs w:val="20"/>
          <w:color w:val="auto"/>
        </w:rPr>
      </w:pPr>
    </w:p>
    <w:p>
      <w:pPr>
        <w:ind w:right="180" w:firstLine="228"/>
        <w:spacing w:after="0" w:line="250" w:lineRule="auto"/>
        <w:rPr>
          <w:sz w:val="20"/>
          <w:szCs w:val="20"/>
          <w:color w:val="auto"/>
        </w:rPr>
      </w:pPr>
      <w:r>
        <w:rPr>
          <w:rFonts w:ascii="Arial" w:cs="Arial" w:eastAsia="Arial" w:hAnsi="Arial"/>
          <w:sz w:val="18"/>
          <w:szCs w:val="18"/>
          <w:color w:val="auto"/>
        </w:rPr>
        <w:t>This increase in stock-based compensation expense primarily reflects the full impact of the adoption of both SFAS 123 (adopted by Schlumberger effective January 1, 2003 on a prospective basis for grants after January 1, 2003- see Note 13) and SFAS 123R, as well as an increase in the fair value of stock-based awards due to the increase in Schlumberger stock price.</w:t>
      </w:r>
    </w:p>
    <w:p>
      <w:pPr>
        <w:spacing w:after="0" w:line="1" w:lineRule="exact"/>
        <w:rPr>
          <w:sz w:val="20"/>
          <w:szCs w:val="20"/>
          <w:color w:val="auto"/>
        </w:rPr>
      </w:pPr>
    </w:p>
    <w:p>
      <w:pPr>
        <w:ind w:right="20" w:firstLine="228"/>
        <w:spacing w:after="0" w:line="254" w:lineRule="auto"/>
        <w:rPr>
          <w:sz w:val="20"/>
          <w:szCs w:val="20"/>
          <w:color w:val="auto"/>
        </w:rPr>
      </w:pPr>
      <w:r>
        <w:rPr>
          <w:rFonts w:ascii="Arial" w:cs="Arial" w:eastAsia="Arial" w:hAnsi="Arial"/>
          <w:sz w:val="18"/>
          <w:szCs w:val="18"/>
          <w:color w:val="auto"/>
        </w:rPr>
        <w:t>As previously disclosed, during 2006 Schlumberger will relocate its United States corporate offices from New York to Texas. Schlumberger will also relocate its United States research center from Ridgefield to Boston in 2006. Schlumberger currently estimates that it will incur approximately $25 million to $30 million in incremental expenses in connection with these moves in 2006. To date, Schlumberger has incurred approximately $4 million in such costs ($2 million in the second quarter of 2006).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83"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On April 28, 2006, Schlumberger acquired the 30% minority interest in WesternGeco from Baker Hughes for $2.4 billion in cash. Approximately 50% of the purchase price was funded from Schlumberger’s cash and investments. The remaining 50% was financed through existing Schlumberger credit facilities.</w:t>
      </w:r>
    </w:p>
    <w:p>
      <w:pPr>
        <w:ind w:right="80" w:firstLine="228"/>
        <w:spacing w:after="0" w:line="250" w:lineRule="auto"/>
        <w:rPr>
          <w:sz w:val="20"/>
          <w:szCs w:val="20"/>
          <w:color w:val="auto"/>
        </w:rPr>
      </w:pPr>
      <w:r>
        <w:rPr>
          <w:rFonts w:ascii="Arial" w:cs="Arial" w:eastAsia="Arial" w:hAnsi="Arial"/>
          <w:sz w:val="18"/>
          <w:szCs w:val="18"/>
          <w:color w:val="auto"/>
        </w:rPr>
        <w:t>On April 20, 2006, the Board of Directors of Schlumberger approved a new share buy-back program of up to 40 million shares to be acquired in the open market before April 2010, subject to market conditions. During the second quarter of 2006, Schlumberger acquired 3.59 million shares on the open market at an average price of $59.16 per share.</w:t>
      </w:r>
    </w:p>
    <w:p>
      <w:pPr>
        <w:spacing w:after="0" w:line="1" w:lineRule="exact"/>
        <w:rPr>
          <w:sz w:val="20"/>
          <w:szCs w:val="20"/>
          <w:color w:val="auto"/>
        </w:rPr>
      </w:pPr>
    </w:p>
    <w:p>
      <w:pPr>
        <w:ind w:right="100" w:firstLine="228"/>
        <w:spacing w:after="0" w:line="302" w:lineRule="auto"/>
        <w:rPr>
          <w:sz w:val="20"/>
          <w:szCs w:val="20"/>
          <w:color w:val="auto"/>
        </w:rPr>
      </w:pPr>
      <w:r>
        <w:rPr>
          <w:rFonts w:ascii="Arial" w:cs="Arial" w:eastAsia="Arial" w:hAnsi="Arial"/>
          <w:sz w:val="16"/>
          <w:szCs w:val="16"/>
          <w:color w:val="auto"/>
        </w:rPr>
        <w:t>During the first six months of 2006, cash provided by operations was $1.80 billion as net income, depreciation/amortization and deferred income taxes were only partially offset by increases in customer receivables and a decrease in accounts payable and accrued liabilities, which included a US pension funding contribution of $200 million. Cash used by investing activities of $2.25 billion primarily was due to capital</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320"/>
          </w:cols>
          <w:pgMar w:left="240" w:top="45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2</w:t>
      </w:r>
    </w:p>
    <w:p>
      <w:pPr>
        <w:spacing w:after="0" w:line="206"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expenditures ($1.09 billion), the acquisition of 30% minority interest in WesternGeco ($2.40 billion) and the sales of investments ($1.67 billion). Cash provided by financing activities was $4.23 billion as the payment of dividends to shareholders ($271 million) and stock repurchase plan ($467 million) were only partially offset by the proceeds from employee stock plans ($305 million).</w:t>
      </w:r>
    </w:p>
    <w:p>
      <w:pPr>
        <w:jc w:val="both"/>
        <w:ind w:right="220" w:firstLine="228"/>
        <w:spacing w:after="0" w:line="302" w:lineRule="auto"/>
        <w:rPr>
          <w:sz w:val="20"/>
          <w:szCs w:val="20"/>
          <w:color w:val="auto"/>
        </w:rPr>
      </w:pPr>
      <w:r>
        <w:rPr>
          <w:rFonts w:ascii="Arial" w:cs="Arial" w:eastAsia="Arial" w:hAnsi="Arial"/>
          <w:sz w:val="16"/>
          <w:szCs w:val="16"/>
          <w:color w:val="auto"/>
        </w:rPr>
        <w:t>Net Debt is gross debt less cash, short-term investments and fixed income investments held to maturity. Management believes that Net Debt provides useful information regarding the level of Schlumberger indebtedness by reflecting cash and investments that could be used to repay debt, and that the level of net debt provides useful information as to the results of Schlumberger deleveraging efforts. Details of the Net Debt follows: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780" w:type="dxa"/>
            <w:vAlign w:val="bottom"/>
            <w:tcBorders>
              <w:top w:val="single" w:sz="8" w:color="auto"/>
            </w:tcBorders>
          </w:tcPr>
          <w:p>
            <w:pPr>
              <w:spacing w:after="0"/>
              <w:rPr>
                <w:sz w:val="11"/>
                <w:szCs w:val="11"/>
                <w:color w:val="auto"/>
              </w:rPr>
            </w:pPr>
          </w:p>
        </w:tc>
        <w:tc>
          <w:tcPr>
            <w:tcW w:w="30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6"/>
          </w:tcPr>
          <w:p>
            <w:pPr>
              <w:ind w:left="20"/>
              <w:spacing w:after="0" w:line="129" w:lineRule="exact"/>
              <w:rPr>
                <w:sz w:val="20"/>
                <w:szCs w:val="20"/>
                <w:color w:val="auto"/>
              </w:rPr>
            </w:pPr>
            <w:r>
              <w:rPr>
                <w:rFonts w:ascii="Arial" w:cs="Arial" w:eastAsia="Arial" w:hAnsi="Arial"/>
                <w:sz w:val="14"/>
                <w:szCs w:val="14"/>
                <w:b w:val="1"/>
                <w:bCs w:val="1"/>
                <w:color w:val="auto"/>
              </w:rPr>
              <w:t>June 30</w:t>
            </w:r>
          </w:p>
        </w:tc>
        <w:tc>
          <w:tcPr>
            <w:tcW w:w="520" w:type="dxa"/>
            <w:vAlign w:val="bottom"/>
            <w:tcBorders>
              <w:top w:val="single" w:sz="8" w:color="auto"/>
            </w:tcBorders>
            <w:gridSpan w:val="5"/>
          </w:tcPr>
          <w:p>
            <w:pPr>
              <w:jc w:val="right"/>
              <w:ind w:right="60"/>
              <w:spacing w:after="0" w:line="129" w:lineRule="exact"/>
              <w:rPr>
                <w:sz w:val="20"/>
                <w:szCs w:val="20"/>
                <w:color w:val="auto"/>
              </w:rPr>
            </w:pPr>
            <w:r>
              <w:rPr>
                <w:rFonts w:ascii="Arial" w:cs="Arial" w:eastAsia="Arial" w:hAnsi="Arial"/>
                <w:sz w:val="14"/>
                <w:szCs w:val="14"/>
                <w:b w:val="1"/>
                <w:bCs w:val="1"/>
                <w:color w:val="auto"/>
                <w:w w:val="84"/>
              </w:rPr>
              <w:t>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5960" w:type="dxa"/>
            <w:vAlign w:val="bottom"/>
            <w:gridSpan w:val="2"/>
          </w:tcPr>
          <w:p>
            <w:pPr>
              <w:spacing w:after="0"/>
              <w:rPr>
                <w:sz w:val="5"/>
                <w:szCs w:val="5"/>
                <w:color w:val="auto"/>
              </w:rPr>
            </w:pPr>
          </w:p>
        </w:tc>
        <w:tc>
          <w:tcPr>
            <w:tcW w:w="30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Debt, beginning of period</w:t>
            </w:r>
          </w:p>
        </w:tc>
        <w:tc>
          <w:tcPr>
            <w:tcW w:w="3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4"/>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(532)</w:t>
            </w:r>
          </w:p>
        </w:tc>
        <w:tc>
          <w:tcPr>
            <w:tcW w:w="52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 (1,459)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780" w:type="dxa"/>
            <w:vAlign w:val="bottom"/>
          </w:tcPr>
          <w:p>
            <w:pPr>
              <w:ind w:left="80"/>
              <w:spacing w:after="0" w:line="149" w:lineRule="exact"/>
              <w:rPr>
                <w:sz w:val="20"/>
                <w:szCs w:val="20"/>
                <w:color w:val="auto"/>
              </w:rPr>
            </w:pPr>
            <w:r>
              <w:rPr>
                <w:rFonts w:ascii="Arial" w:cs="Arial" w:eastAsia="Arial" w:hAnsi="Arial"/>
                <w:sz w:val="14"/>
                <w:szCs w:val="14"/>
                <w:color w:val="auto"/>
              </w:rPr>
              <w:t>Income from continuing operations</w:t>
            </w:r>
          </w:p>
        </w:tc>
        <w:tc>
          <w:tcPr>
            <w:tcW w:w="3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1,579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rPr>
              <w:t>998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7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Charges and credits, net of tax</w:t>
            </w:r>
          </w:p>
        </w:tc>
        <w:tc>
          <w:tcPr>
            <w:tcW w:w="3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43</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2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780" w:type="dxa"/>
            <w:vAlign w:val="bottom"/>
          </w:tcPr>
          <w:p>
            <w:pPr>
              <w:ind w:left="80"/>
              <w:spacing w:after="0" w:line="149" w:lineRule="exact"/>
              <w:rPr>
                <w:sz w:val="20"/>
                <w:szCs w:val="20"/>
                <w:color w:val="auto"/>
              </w:rPr>
            </w:pPr>
            <w:r>
              <w:rPr>
                <w:rFonts w:ascii="Arial" w:cs="Arial" w:eastAsia="Arial" w:hAnsi="Arial"/>
                <w:sz w:val="14"/>
                <w:szCs w:val="14"/>
                <w:color w:val="auto"/>
              </w:rPr>
              <w:t>Excess of equity income over dividends received</w:t>
            </w:r>
          </w:p>
        </w:tc>
        <w:tc>
          <w:tcPr>
            <w:tcW w:w="3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4"/>
          </w:tcPr>
          <w:p>
            <w:pPr>
              <w:jc w:val="right"/>
              <w:ind w:right="440"/>
              <w:spacing w:after="0" w:line="149" w:lineRule="exact"/>
              <w:rPr>
                <w:sz w:val="20"/>
                <w:szCs w:val="20"/>
                <w:color w:val="auto"/>
              </w:rPr>
            </w:pPr>
            <w:r>
              <w:rPr>
                <w:rFonts w:ascii="Arial" w:cs="Arial" w:eastAsia="Arial" w:hAnsi="Arial"/>
                <w:sz w:val="14"/>
                <w:szCs w:val="14"/>
                <w:b w:val="1"/>
                <w:bCs w:val="1"/>
                <w:color w:val="auto"/>
              </w:rPr>
              <w:t>(76)</w:t>
            </w:r>
          </w:p>
        </w:tc>
        <w:tc>
          <w:tcPr>
            <w:tcW w:w="52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780" w:type="dxa"/>
            <w:vAlign w:val="bottom"/>
            <w:shd w:val="clear" w:color="auto" w:fill="CCEEFF"/>
          </w:tcPr>
          <w:p>
            <w:pPr>
              <w:ind w:left="80"/>
              <w:spacing w:after="0" w:line="176" w:lineRule="exact"/>
              <w:rPr>
                <w:sz w:val="20"/>
                <w:szCs w:val="20"/>
                <w:color w:val="auto"/>
              </w:rPr>
            </w:pPr>
            <w:r>
              <w:rPr>
                <w:rFonts w:ascii="Arial" w:cs="Arial" w:eastAsia="Arial" w:hAnsi="Arial"/>
                <w:sz w:val="13"/>
                <w:szCs w:val="13"/>
                <w:color w:val="auto"/>
              </w:rPr>
              <w:t xml:space="preserve">Depreciation and amortization </w:t>
            </w:r>
            <w:r>
              <w:rPr>
                <w:rFonts w:ascii="Arial" w:cs="Arial" w:eastAsia="Arial" w:hAnsi="Arial"/>
                <w:sz w:val="20"/>
                <w:szCs w:val="20"/>
                <w:color w:val="auto"/>
                <w:vertAlign w:val="superscript"/>
              </w:rPr>
              <w:t>1</w:t>
            </w:r>
          </w:p>
        </w:tc>
        <w:tc>
          <w:tcPr>
            <w:tcW w:w="30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730</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2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655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780" w:type="dxa"/>
            <w:vAlign w:val="bottom"/>
          </w:tcPr>
          <w:p>
            <w:pPr>
              <w:ind w:left="80"/>
              <w:spacing w:after="0" w:line="149" w:lineRule="exact"/>
              <w:rPr>
                <w:sz w:val="20"/>
                <w:szCs w:val="20"/>
                <w:color w:val="auto"/>
              </w:rPr>
            </w:pPr>
            <w:r>
              <w:rPr>
                <w:rFonts w:ascii="Arial" w:cs="Arial" w:eastAsia="Arial" w:hAnsi="Arial"/>
                <w:sz w:val="14"/>
                <w:szCs w:val="14"/>
                <w:color w:val="auto"/>
              </w:rPr>
              <w:t>Increase in working capital requirements</w:t>
            </w:r>
          </w:p>
        </w:tc>
        <w:tc>
          <w:tcPr>
            <w:tcW w:w="3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4"/>
          </w:tcPr>
          <w:p>
            <w:pPr>
              <w:jc w:val="right"/>
              <w:ind w:right="440"/>
              <w:spacing w:after="0" w:line="149" w:lineRule="exact"/>
              <w:rPr>
                <w:sz w:val="20"/>
                <w:szCs w:val="20"/>
                <w:color w:val="auto"/>
              </w:rPr>
            </w:pPr>
            <w:r>
              <w:rPr>
                <w:rFonts w:ascii="Arial" w:cs="Arial" w:eastAsia="Arial" w:hAnsi="Arial"/>
                <w:sz w:val="14"/>
                <w:szCs w:val="14"/>
                <w:b w:val="1"/>
                <w:bCs w:val="1"/>
                <w:color w:val="auto"/>
              </w:rPr>
              <w:t>(443)</w:t>
            </w:r>
          </w:p>
        </w:tc>
        <w:tc>
          <w:tcPr>
            <w:tcW w:w="52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7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US pension plan contributions</w:t>
            </w:r>
          </w:p>
        </w:tc>
        <w:tc>
          <w:tcPr>
            <w:tcW w:w="3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(200)</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780" w:type="dxa"/>
            <w:vAlign w:val="bottom"/>
          </w:tcPr>
          <w:p>
            <w:pPr>
              <w:ind w:left="80"/>
              <w:spacing w:after="0" w:line="176" w:lineRule="exact"/>
              <w:rPr>
                <w:sz w:val="20"/>
                <w:szCs w:val="20"/>
                <w:color w:val="auto"/>
              </w:rPr>
            </w:pPr>
            <w:r>
              <w:rPr>
                <w:rFonts w:ascii="Arial" w:cs="Arial" w:eastAsia="Arial" w:hAnsi="Arial"/>
                <w:sz w:val="13"/>
                <w:szCs w:val="13"/>
                <w:color w:val="auto"/>
              </w:rPr>
              <w:t xml:space="preserve">Capital expenditures </w:t>
            </w:r>
            <w:r>
              <w:rPr>
                <w:rFonts w:ascii="Arial" w:cs="Arial" w:eastAsia="Arial" w:hAnsi="Arial"/>
                <w:sz w:val="20"/>
                <w:szCs w:val="20"/>
                <w:color w:val="auto"/>
                <w:vertAlign w:val="superscript"/>
              </w:rPr>
              <w:t>1</w:t>
            </w:r>
          </w:p>
        </w:tc>
        <w:tc>
          <w:tcPr>
            <w:tcW w:w="3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0"/>
              </w:rPr>
              <w:t>(1,088)</w:t>
            </w:r>
          </w:p>
        </w:tc>
        <w:tc>
          <w:tcPr>
            <w:tcW w:w="520" w:type="dxa"/>
            <w:vAlign w:val="bottom"/>
            <w:gridSpan w:val="5"/>
          </w:tcPr>
          <w:p>
            <w:pPr>
              <w:jc w:val="right"/>
              <w:spacing w:after="0"/>
              <w:rPr>
                <w:sz w:val="20"/>
                <w:szCs w:val="20"/>
                <w:color w:val="auto"/>
              </w:rPr>
            </w:pPr>
            <w:r>
              <w:rPr>
                <w:rFonts w:ascii="Arial" w:cs="Arial" w:eastAsia="Arial" w:hAnsi="Arial"/>
                <w:sz w:val="14"/>
                <w:szCs w:val="14"/>
                <w:color w:val="auto"/>
              </w:rPr>
              <w:t>(727)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7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Dividends paid</w:t>
            </w:r>
          </w:p>
        </w:tc>
        <w:tc>
          <w:tcPr>
            <w:tcW w:w="3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(271)</w:t>
            </w:r>
          </w:p>
        </w:tc>
        <w:tc>
          <w:tcPr>
            <w:tcW w:w="52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780" w:type="dxa"/>
            <w:vAlign w:val="bottom"/>
          </w:tcPr>
          <w:p>
            <w:pPr>
              <w:ind w:left="80"/>
              <w:spacing w:after="0" w:line="149" w:lineRule="exact"/>
              <w:rPr>
                <w:sz w:val="20"/>
                <w:szCs w:val="20"/>
                <w:color w:val="auto"/>
              </w:rPr>
            </w:pPr>
            <w:r>
              <w:rPr>
                <w:rFonts w:ascii="Arial" w:cs="Arial" w:eastAsia="Arial" w:hAnsi="Arial"/>
                <w:sz w:val="14"/>
                <w:szCs w:val="14"/>
                <w:color w:val="auto"/>
              </w:rPr>
              <w:t>Proceeds from employee stock plans</w:t>
            </w:r>
          </w:p>
        </w:tc>
        <w:tc>
          <w:tcPr>
            <w:tcW w:w="3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305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7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Stock repurchase program</w:t>
            </w:r>
          </w:p>
        </w:tc>
        <w:tc>
          <w:tcPr>
            <w:tcW w:w="3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(467)</w:t>
            </w:r>
          </w:p>
        </w:tc>
        <w:tc>
          <w:tcPr>
            <w:tcW w:w="52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780" w:type="dxa"/>
            <w:vAlign w:val="bottom"/>
          </w:tcPr>
          <w:p>
            <w:pPr>
              <w:ind w:left="80"/>
              <w:spacing w:after="0" w:line="149" w:lineRule="exact"/>
              <w:rPr>
                <w:sz w:val="20"/>
                <w:szCs w:val="20"/>
                <w:color w:val="auto"/>
              </w:rPr>
            </w:pPr>
            <w:r>
              <w:rPr>
                <w:rFonts w:ascii="Arial" w:cs="Arial" w:eastAsia="Arial" w:hAnsi="Arial"/>
                <w:sz w:val="14"/>
                <w:szCs w:val="14"/>
                <w:color w:val="auto"/>
              </w:rPr>
              <w:t>Acquisition of minority interest in WesternGeco</w:t>
            </w:r>
          </w:p>
        </w:tc>
        <w:tc>
          <w:tcPr>
            <w:tcW w:w="3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4"/>
          </w:tcPr>
          <w:p>
            <w:pPr>
              <w:jc w:val="right"/>
              <w:ind w:right="440"/>
              <w:spacing w:after="0" w:line="149" w:lineRule="exact"/>
              <w:rPr>
                <w:sz w:val="20"/>
                <w:szCs w:val="20"/>
                <w:color w:val="auto"/>
              </w:rPr>
            </w:pPr>
            <w:r>
              <w:rPr>
                <w:rFonts w:ascii="Arial" w:cs="Arial" w:eastAsia="Arial" w:hAnsi="Arial"/>
                <w:sz w:val="14"/>
                <w:szCs w:val="14"/>
                <w:b w:val="1"/>
                <w:bCs w:val="1"/>
                <w:color w:val="auto"/>
                <w:w w:val="90"/>
              </w:rPr>
              <w:t>(2,406)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7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Other business acquisitions and related payments</w:t>
            </w:r>
          </w:p>
        </w:tc>
        <w:tc>
          <w:tcPr>
            <w:tcW w:w="3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(320)</w:t>
            </w:r>
          </w:p>
        </w:tc>
        <w:tc>
          <w:tcPr>
            <w:tcW w:w="52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780" w:type="dxa"/>
            <w:vAlign w:val="bottom"/>
          </w:tcPr>
          <w:p>
            <w:pPr>
              <w:ind w:left="80"/>
              <w:spacing w:after="0" w:line="149" w:lineRule="exact"/>
              <w:rPr>
                <w:sz w:val="20"/>
                <w:szCs w:val="20"/>
                <w:color w:val="auto"/>
              </w:rPr>
            </w:pPr>
            <w:r>
              <w:rPr>
                <w:rFonts w:ascii="Arial" w:cs="Arial" w:eastAsia="Arial" w:hAnsi="Arial"/>
                <w:sz w:val="14"/>
                <w:szCs w:val="14"/>
                <w:color w:val="auto"/>
              </w:rPr>
              <w:t>Distribution to joint venture partner</w:t>
            </w:r>
          </w:p>
        </w:tc>
        <w:tc>
          <w:tcPr>
            <w:tcW w:w="3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4"/>
          </w:tcPr>
          <w:p>
            <w:pPr>
              <w:jc w:val="right"/>
              <w:ind w:right="440"/>
              <w:spacing w:after="0" w:line="149" w:lineRule="exact"/>
              <w:rPr>
                <w:sz w:val="20"/>
                <w:szCs w:val="20"/>
                <w:color w:val="auto"/>
              </w:rPr>
            </w:pPr>
            <w:r>
              <w:rPr>
                <w:rFonts w:ascii="Arial" w:cs="Arial" w:eastAsia="Arial" w:hAnsi="Arial"/>
                <w:sz w:val="14"/>
                <w:szCs w:val="14"/>
                <w:b w:val="1"/>
                <w:bCs w:val="1"/>
                <w:color w:val="auto"/>
              </w:rPr>
              <w:t>(60)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7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Net debt acquired</w:t>
            </w:r>
          </w:p>
        </w:tc>
        <w:tc>
          <w:tcPr>
            <w:tcW w:w="3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500"/>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780" w:type="dxa"/>
            <w:vAlign w:val="bottom"/>
          </w:tcPr>
          <w:p>
            <w:pPr>
              <w:ind w:left="80"/>
              <w:spacing w:after="0" w:line="149" w:lineRule="exact"/>
              <w:rPr>
                <w:sz w:val="20"/>
                <w:szCs w:val="20"/>
                <w:color w:val="auto"/>
              </w:rPr>
            </w:pPr>
            <w:r>
              <w:rPr>
                <w:rFonts w:ascii="Arial" w:cs="Arial" w:eastAsia="Arial" w:hAnsi="Arial"/>
                <w:sz w:val="14"/>
                <w:szCs w:val="14"/>
                <w:color w:val="auto"/>
              </w:rPr>
              <w:t>Proceeds from the sale of the Montrouge facility</w:t>
            </w:r>
          </w:p>
        </w:tc>
        <w:tc>
          <w:tcPr>
            <w:tcW w:w="3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4"/>
          </w:tcPr>
          <w:p>
            <w:pPr>
              <w:jc w:val="right"/>
              <w:ind w:right="500"/>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7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Proceeds from business divestitures</w:t>
            </w:r>
          </w:p>
        </w:tc>
        <w:tc>
          <w:tcPr>
            <w:tcW w:w="3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500"/>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gridSpan w:val="5"/>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780" w:type="dxa"/>
            <w:vAlign w:val="bottom"/>
          </w:tcPr>
          <w:p>
            <w:pPr>
              <w:ind w:left="80"/>
              <w:spacing w:after="0" w:line="149" w:lineRule="exact"/>
              <w:rPr>
                <w:sz w:val="20"/>
                <w:szCs w:val="20"/>
                <w:color w:val="auto"/>
              </w:rPr>
            </w:pPr>
            <w:r>
              <w:rPr>
                <w:rFonts w:ascii="Arial" w:cs="Arial" w:eastAsia="Arial" w:hAnsi="Arial"/>
                <w:sz w:val="14"/>
                <w:szCs w:val="14"/>
                <w:color w:val="auto"/>
              </w:rPr>
              <w:t>Other</w:t>
            </w:r>
          </w:p>
        </w:tc>
        <w:tc>
          <w:tcPr>
            <w:tcW w:w="3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7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Translation effect on net debt</w:t>
            </w:r>
          </w:p>
        </w:tc>
        <w:tc>
          <w:tcPr>
            <w:tcW w:w="3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(39)</w:t>
            </w:r>
          </w:p>
        </w:tc>
        <w:tc>
          <w:tcPr>
            <w:tcW w:w="520" w:type="dxa"/>
            <w:vAlign w:val="bottom"/>
            <w:gridSpan w:val="5"/>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60" w:type="dxa"/>
            <w:vAlign w:val="bottom"/>
            <w:tcBorders>
              <w:bottom w:val="single" w:sz="8" w:color="auto"/>
            </w:tcBorders>
            <w:gridSpan w:val="2"/>
          </w:tcPr>
          <w:p>
            <w:pPr>
              <w:spacing w:after="0"/>
              <w:rPr>
                <w:sz w:val="9"/>
                <w:szCs w:val="9"/>
                <w:color w:val="auto"/>
              </w:rPr>
            </w:pPr>
          </w:p>
        </w:tc>
        <w:tc>
          <w:tcPr>
            <w:tcW w:w="30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0" w:type="dxa"/>
            <w:vAlign w:val="bottom"/>
          </w:tcPr>
          <w:p>
            <w:pPr>
              <w:spacing w:after="0"/>
              <w:rPr>
                <w:sz w:val="8"/>
                <w:szCs w:val="8"/>
                <w:color w:val="auto"/>
              </w:rPr>
            </w:pPr>
          </w:p>
        </w:tc>
        <w:tc>
          <w:tcPr>
            <w:tcW w:w="5780" w:type="dxa"/>
            <w:vAlign w:val="bottom"/>
          </w:tcPr>
          <w:p>
            <w:pPr>
              <w:spacing w:after="0"/>
              <w:rPr>
                <w:sz w:val="8"/>
                <w:szCs w:val="8"/>
                <w:color w:val="auto"/>
              </w:rPr>
            </w:pPr>
          </w:p>
        </w:tc>
        <w:tc>
          <w:tcPr>
            <w:tcW w:w="30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Debt, end of period</w:t>
            </w:r>
          </w:p>
        </w:tc>
        <w:tc>
          <w:tcPr>
            <w:tcW w:w="3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60" w:type="dxa"/>
            <w:vAlign w:val="bottom"/>
            <w:gridSpan w:val="6"/>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w w:val="89"/>
              </w:rPr>
              <w:t>$ (3,168)</w:t>
            </w:r>
          </w:p>
        </w:tc>
        <w:tc>
          <w:tcPr>
            <w:tcW w:w="52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 (1,244)</w:t>
            </w:r>
          </w:p>
        </w:tc>
        <w:tc>
          <w:tcPr>
            <w:tcW w:w="0" w:type="dxa"/>
            <w:vAlign w:val="bottom"/>
          </w:tcPr>
          <w:p>
            <w:pPr>
              <w:spacing w:after="0"/>
              <w:rPr>
                <w:sz w:val="1"/>
                <w:szCs w:val="1"/>
                <w:color w:val="auto"/>
              </w:rPr>
            </w:pPr>
          </w:p>
        </w:tc>
      </w:tr>
      <w:tr>
        <w:trPr>
          <w:trHeight w:val="132"/>
        </w:trPr>
        <w:tc>
          <w:tcPr>
            <w:tcW w:w="200" w:type="dxa"/>
            <w:vAlign w:val="bottom"/>
            <w:gridSpan w:val="2"/>
            <w:vMerge w:val="restart"/>
          </w:tcPr>
          <w:p>
            <w:pPr>
              <w:spacing w:after="0"/>
              <w:rPr>
                <w:sz w:val="20"/>
                <w:szCs w:val="20"/>
                <w:color w:val="auto"/>
              </w:rPr>
            </w:pPr>
            <w:r>
              <w:rPr>
                <w:rFonts w:ascii="Arial" w:cs="Arial" w:eastAsia="Arial" w:hAnsi="Arial"/>
                <w:sz w:val="14"/>
                <w:szCs w:val="14"/>
                <w:color w:val="auto"/>
              </w:rPr>
              <w:t>1.</w:t>
            </w:r>
          </w:p>
        </w:tc>
        <w:tc>
          <w:tcPr>
            <w:tcW w:w="5780" w:type="dxa"/>
            <w:vAlign w:val="bottom"/>
            <w:vMerge w:val="restart"/>
          </w:tcPr>
          <w:p>
            <w:pPr>
              <w:ind w:left="140"/>
              <w:spacing w:after="0"/>
              <w:rPr>
                <w:sz w:val="20"/>
                <w:szCs w:val="20"/>
                <w:color w:val="auto"/>
              </w:rPr>
            </w:pPr>
            <w:r>
              <w:rPr>
                <w:rFonts w:ascii="Arial" w:cs="Arial" w:eastAsia="Arial" w:hAnsi="Arial"/>
                <w:sz w:val="14"/>
                <w:szCs w:val="14"/>
                <w:color w:val="auto"/>
              </w:rPr>
              <w:t>Includes Multiclient seismic data costs.</w:t>
            </w:r>
          </w:p>
        </w:tc>
        <w:tc>
          <w:tcPr>
            <w:tcW w:w="3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4"/>
        </w:trPr>
        <w:tc>
          <w:tcPr>
            <w:tcW w:w="200" w:type="dxa"/>
            <w:vAlign w:val="bottom"/>
            <w:gridSpan w:val="2"/>
            <w:vMerge w:val="continue"/>
          </w:tcPr>
          <w:p>
            <w:pPr>
              <w:spacing w:after="0"/>
              <w:rPr>
                <w:sz w:val="24"/>
                <w:szCs w:val="24"/>
                <w:color w:val="auto"/>
              </w:rPr>
            </w:pPr>
          </w:p>
        </w:tc>
        <w:tc>
          <w:tcPr>
            <w:tcW w:w="5780" w:type="dxa"/>
            <w:vAlign w:val="bottom"/>
            <w:vMerge w:val="continue"/>
          </w:tcPr>
          <w:p>
            <w:pPr>
              <w:spacing w:after="0"/>
              <w:rPr>
                <w:sz w:val="24"/>
                <w:szCs w:val="24"/>
                <w:color w:val="auto"/>
              </w:rPr>
            </w:pPr>
          </w:p>
        </w:tc>
        <w:tc>
          <w:tcPr>
            <w:tcW w:w="3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980" w:type="dxa"/>
            <w:vAlign w:val="bottom"/>
            <w:gridSpan w:val="3"/>
          </w:tcPr>
          <w:p>
            <w:pPr>
              <w:spacing w:after="0"/>
              <w:rPr>
                <w:sz w:val="20"/>
                <w:szCs w:val="20"/>
                <w:color w:val="auto"/>
              </w:rPr>
            </w:pPr>
            <w:r>
              <w:rPr>
                <w:rFonts w:ascii="Arial" w:cs="Arial" w:eastAsia="Arial" w:hAnsi="Arial"/>
                <w:sz w:val="14"/>
                <w:szCs w:val="14"/>
                <w:b w:val="1"/>
                <w:bCs w:val="1"/>
                <w:color w:val="auto"/>
              </w:rPr>
              <w:t>(Stated in millions)</w:t>
            </w:r>
          </w:p>
        </w:tc>
        <w:tc>
          <w:tcPr>
            <w:tcW w:w="3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780" w:type="dxa"/>
            <w:vAlign w:val="bottom"/>
            <w:tcBorders>
              <w:top w:val="single" w:sz="8" w:color="auto"/>
            </w:tcBorders>
          </w:tcPr>
          <w:p>
            <w:pPr>
              <w:spacing w:after="0"/>
              <w:rPr>
                <w:sz w:val="11"/>
                <w:szCs w:val="11"/>
                <w:color w:val="auto"/>
              </w:rPr>
            </w:pPr>
          </w:p>
        </w:tc>
        <w:tc>
          <w:tcPr>
            <w:tcW w:w="30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4"/>
          </w:tcPr>
          <w:p>
            <w:pPr>
              <w:spacing w:after="0" w:line="129" w:lineRule="exact"/>
              <w:rPr>
                <w:sz w:val="20"/>
                <w:szCs w:val="20"/>
                <w:color w:val="auto"/>
              </w:rPr>
            </w:pPr>
            <w:r>
              <w:rPr>
                <w:rFonts w:ascii="Arial" w:cs="Arial" w:eastAsia="Arial" w:hAnsi="Arial"/>
                <w:sz w:val="14"/>
                <w:szCs w:val="14"/>
                <w:b w:val="1"/>
                <w:bCs w:val="1"/>
                <w:color w:val="auto"/>
              </w:rPr>
              <w:t>June 30</w:t>
            </w:r>
          </w:p>
        </w:tc>
        <w:tc>
          <w:tcPr>
            <w:tcW w:w="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5"/>
          </w:tcPr>
          <w:p>
            <w:pPr>
              <w:jc w:val="right"/>
              <w:ind w:right="460"/>
              <w:spacing w:after="0" w:line="129" w:lineRule="exact"/>
              <w:rPr>
                <w:sz w:val="20"/>
                <w:szCs w:val="20"/>
                <w:color w:val="auto"/>
              </w:rPr>
            </w:pPr>
            <w:r>
              <w:rPr>
                <w:rFonts w:ascii="Arial" w:cs="Arial" w:eastAsia="Arial" w:hAnsi="Arial"/>
                <w:sz w:val="14"/>
                <w:szCs w:val="14"/>
                <w:b w:val="1"/>
                <w:bCs w:val="1"/>
                <w:color w:val="auto"/>
                <w:w w:val="84"/>
              </w:rPr>
              <w:t>June 30</w:t>
            </w:r>
          </w:p>
        </w:tc>
        <w:tc>
          <w:tcPr>
            <w:tcW w:w="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4"/>
          </w:tcPr>
          <w:p>
            <w:pPr>
              <w:jc w:val="right"/>
              <w:ind w:right="60"/>
              <w:spacing w:after="0" w:line="129" w:lineRule="exact"/>
              <w:rPr>
                <w:sz w:val="20"/>
                <w:szCs w:val="20"/>
                <w:color w:val="auto"/>
              </w:rPr>
            </w:pPr>
            <w:r>
              <w:rPr>
                <w:rFonts w:ascii="Arial" w:cs="Arial" w:eastAsia="Arial" w:hAnsi="Arial"/>
                <w:sz w:val="14"/>
                <w:szCs w:val="14"/>
                <w:b w:val="1"/>
                <w:bCs w:val="1"/>
                <w:color w:val="auto"/>
                <w:w w:val="81"/>
              </w:rPr>
              <w:t>Dec.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4"/>
                <w:szCs w:val="14"/>
                <w:color w:val="auto"/>
              </w:rPr>
            </w:pPr>
          </w:p>
        </w:tc>
        <w:tc>
          <w:tcPr>
            <w:tcW w:w="52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Components of Net Debt</w:t>
            </w:r>
          </w:p>
        </w:tc>
        <w:tc>
          <w:tcPr>
            <w:tcW w:w="3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gridSpan w:val="2"/>
          </w:tcPr>
          <w:p>
            <w:pPr>
              <w:spacing w:after="0" w:line="149" w:lineRule="exact"/>
              <w:rPr>
                <w:sz w:val="20"/>
                <w:szCs w:val="20"/>
                <w:color w:val="auto"/>
              </w:rPr>
            </w:pPr>
            <w:r>
              <w:rPr>
                <w:rFonts w:ascii="Arial" w:cs="Arial" w:eastAsia="Arial" w:hAnsi="Arial"/>
                <w:sz w:val="14"/>
                <w:szCs w:val="14"/>
                <w:color w:val="auto"/>
              </w:rPr>
              <w:t>Cash and short term investments</w:t>
            </w:r>
          </w:p>
        </w:tc>
        <w:tc>
          <w:tcPr>
            <w:tcW w:w="3120" w:type="dxa"/>
            <w:vAlign w:val="bottom"/>
            <w:gridSpan w:val="3"/>
          </w:tcPr>
          <w:p>
            <w:pPr>
              <w:ind w:left="3040"/>
              <w:spacing w:after="0" w:line="149" w:lineRule="exact"/>
              <w:rPr>
                <w:sz w:val="20"/>
                <w:szCs w:val="20"/>
                <w:color w:val="auto"/>
              </w:rPr>
            </w:pPr>
            <w:r>
              <w:rPr>
                <w:rFonts w:ascii="Arial" w:cs="Arial" w:eastAsia="Arial" w:hAnsi="Arial"/>
                <w:sz w:val="14"/>
                <w:szCs w:val="14"/>
                <w:b w:val="1"/>
                <w:bCs w:val="1"/>
                <w:color w:val="auto"/>
                <w:w w:val="76"/>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2,108</w:t>
            </w:r>
          </w:p>
        </w:tc>
        <w:tc>
          <w:tcPr>
            <w:tcW w:w="460" w:type="dxa"/>
            <w:vAlign w:val="bottom"/>
          </w:tcPr>
          <w:p>
            <w:pPr>
              <w:spacing w:after="0"/>
              <w:rPr>
                <w:sz w:val="12"/>
                <w:szCs w:val="12"/>
                <w:color w:val="auto"/>
              </w:rPr>
            </w:pPr>
          </w:p>
        </w:tc>
        <w:tc>
          <w:tcPr>
            <w:tcW w:w="100" w:type="dxa"/>
            <w:vAlign w:val="bottom"/>
            <w:gridSpan w:val="2"/>
          </w:tcPr>
          <w:p>
            <w:pPr>
              <w:ind w:left="40"/>
              <w:spacing w:after="0"/>
              <w:rPr>
                <w:sz w:val="20"/>
                <w:szCs w:val="20"/>
                <w:color w:val="auto"/>
              </w:rPr>
            </w:pPr>
            <w:r>
              <w:rPr>
                <w:rFonts w:ascii="Arial" w:cs="Arial" w:eastAsia="Arial" w:hAnsi="Arial"/>
                <w:sz w:val="10"/>
                <w:szCs w:val="10"/>
                <w:color w:val="auto"/>
                <w:w w:val="71"/>
              </w:rPr>
              <w:t>$</w:t>
            </w:r>
          </w:p>
        </w:tc>
        <w:tc>
          <w:tcPr>
            <w:tcW w:w="4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2,913</w:t>
            </w:r>
          </w:p>
        </w:tc>
        <w:tc>
          <w:tcPr>
            <w:tcW w:w="460" w:type="dxa"/>
            <w:vAlign w:val="bottom"/>
          </w:tcPr>
          <w:p>
            <w:pPr>
              <w:spacing w:after="0"/>
              <w:rPr>
                <w:sz w:val="12"/>
                <w:szCs w:val="12"/>
                <w:color w:val="auto"/>
              </w:rPr>
            </w:pPr>
          </w:p>
        </w:tc>
        <w:tc>
          <w:tcPr>
            <w:tcW w:w="52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w w:val="94"/>
              </w:rPr>
              <w:t>$ 3,496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Fixed income investments, held to maturity</w:t>
            </w:r>
          </w:p>
        </w:tc>
        <w:tc>
          <w:tcPr>
            <w:tcW w:w="3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74</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313</w:t>
            </w:r>
          </w:p>
        </w:tc>
        <w:tc>
          <w:tcPr>
            <w:tcW w:w="460" w:type="dxa"/>
            <w:vAlign w:val="bottom"/>
            <w:shd w:val="clear" w:color="auto" w:fill="CCEEFF"/>
          </w:tcPr>
          <w:p>
            <w:pPr>
              <w:spacing w:after="0"/>
              <w:rPr>
                <w:sz w:val="12"/>
                <w:szCs w:val="12"/>
                <w:color w:val="auto"/>
              </w:rPr>
            </w:pPr>
          </w:p>
        </w:tc>
        <w:tc>
          <w:tcPr>
            <w:tcW w:w="520" w:type="dxa"/>
            <w:vAlign w:val="bottom"/>
            <w:gridSpan w:val="5"/>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gridSpan w:val="2"/>
          </w:tcPr>
          <w:p>
            <w:pPr>
              <w:spacing w:after="0" w:line="149" w:lineRule="exact"/>
              <w:rPr>
                <w:sz w:val="20"/>
                <w:szCs w:val="20"/>
                <w:color w:val="auto"/>
              </w:rPr>
            </w:pPr>
            <w:r>
              <w:rPr>
                <w:rFonts w:ascii="Arial" w:cs="Arial" w:eastAsia="Arial" w:hAnsi="Arial"/>
                <w:sz w:val="14"/>
                <w:szCs w:val="14"/>
                <w:color w:val="auto"/>
              </w:rPr>
              <w:t>Bank loans and current portion of long-term debt</w:t>
            </w:r>
          </w:p>
        </w:tc>
        <w:tc>
          <w:tcPr>
            <w:tcW w:w="3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0"/>
              </w:rPr>
              <w:t>(1,213)</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4"/>
          </w:tcPr>
          <w:p>
            <w:pPr>
              <w:jc w:val="right"/>
              <w:ind w:right="420"/>
              <w:spacing w:after="0" w:line="149" w:lineRule="exact"/>
              <w:rPr>
                <w:sz w:val="20"/>
                <w:szCs w:val="20"/>
                <w:color w:val="auto"/>
              </w:rPr>
            </w:pPr>
            <w:r>
              <w:rPr>
                <w:rFonts w:ascii="Arial" w:cs="Arial" w:eastAsia="Arial" w:hAnsi="Arial"/>
                <w:sz w:val="14"/>
                <w:szCs w:val="14"/>
                <w:color w:val="auto"/>
              </w:rPr>
              <w:t>(691)</w:t>
            </w:r>
          </w:p>
        </w:tc>
        <w:tc>
          <w:tcPr>
            <w:tcW w:w="52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(797)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3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b w:val="1"/>
                <w:bCs w:val="1"/>
                <w:color w:val="auto"/>
                <w:w w:val="90"/>
              </w:rPr>
              <w:t>(4,137)</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4"/>
              </w:rPr>
              <w:t>(3,779)</w:t>
            </w:r>
          </w:p>
        </w:tc>
        <w:tc>
          <w:tcPr>
            <w:tcW w:w="52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(3,591)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7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gridSpan w:val="4"/>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4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5780" w:type="dxa"/>
            <w:vAlign w:val="bottom"/>
            <w:tcBorders>
              <w:top w:val="single" w:sz="8" w:color="auto"/>
            </w:tcBorders>
          </w:tcPr>
          <w:p>
            <w:pPr>
              <w:spacing w:after="0"/>
              <w:rPr>
                <w:sz w:val="8"/>
                <w:szCs w:val="8"/>
                <w:color w:val="auto"/>
              </w:rPr>
            </w:pPr>
          </w:p>
        </w:tc>
        <w:tc>
          <w:tcPr>
            <w:tcW w:w="30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7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3040"/>
              <w:spacing w:after="0" w:line="149" w:lineRule="exact"/>
              <w:rPr>
                <w:sz w:val="20"/>
                <w:szCs w:val="20"/>
                <w:color w:val="auto"/>
              </w:rPr>
            </w:pPr>
            <w:r>
              <w:rPr>
                <w:rFonts w:ascii="Arial" w:cs="Arial" w:eastAsia="Arial" w:hAnsi="Arial"/>
                <w:sz w:val="14"/>
                <w:szCs w:val="14"/>
                <w:b w:val="1"/>
                <w:bCs w:val="1"/>
                <w:color w:val="auto"/>
                <w:w w:val="76"/>
              </w:rPr>
              <w:t>$</w:t>
            </w:r>
          </w:p>
        </w:tc>
        <w:tc>
          <w:tcPr>
            <w:tcW w:w="8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b w:val="1"/>
                <w:bCs w:val="1"/>
                <w:color w:val="auto"/>
                <w:w w:val="90"/>
              </w:rPr>
              <w:t>(3,168)</w:t>
            </w:r>
          </w:p>
        </w:tc>
        <w:tc>
          <w:tcPr>
            <w:tcW w:w="960" w:type="dxa"/>
            <w:vAlign w:val="bottom"/>
            <w:gridSpan w:val="6"/>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2"/>
              </w:rPr>
              <w:t>$ (1,244)</w:t>
            </w:r>
          </w:p>
        </w:tc>
        <w:tc>
          <w:tcPr>
            <w:tcW w:w="52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  (532)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6315075</wp:posOffset>
            </wp:positionH>
            <wp:positionV relativeFrom="paragraph">
              <wp:posOffset>-1424940</wp:posOffset>
            </wp:positionV>
            <wp:extent cx="1270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-1424940</wp:posOffset>
            </wp:positionV>
            <wp:extent cx="2159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-1424940</wp:posOffset>
            </wp:positionV>
            <wp:extent cx="38735"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-1424940</wp:posOffset>
            </wp:positionV>
            <wp:extent cx="32131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-27305</wp:posOffset>
            </wp:positionV>
            <wp:extent cx="32131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-27305</wp:posOffset>
            </wp:positionV>
            <wp:extent cx="32131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-27305</wp:posOffset>
            </wp:positionV>
            <wp:extent cx="304165"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04165" cy="298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This report and other statements we make contain forward looking statements, which include any statements that are not historical facts, such as our expectations regarding business outlook; growth for Schlumberger as a whole and for each of Oilfield Services and WesternGeco; oil and natural gas demand and production growth; operating and capital expenditures by Schlumberger and the oil and gas industry; the business strategies of Schlumberger and its customers; the adoption of SFAS 123R and stock-based compensation expense; the effects of the WesternGeco transaction; the stock buy-back program; and future results of operations. These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2, 3, 4</w:t>
      </w:r>
    </w:p>
    <w:p>
      <w:pPr>
        <w:spacing w:after="0" w:line="20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statements involve risks and uncertainties, including, but not limited to, the global economy; changes in exploration and production spending by Schlumberger’s customers and changes in the level of oil and natural gas exploration and development; general economic and business conditions in key regions of the world; political and economic uncertainty and socio-political unrest; and other factors detailed in our most recent Form 10-K, this Form 10-Q and other filings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9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74"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For quantitative and qualitative disclosures about market risk affecting Schlumberger, see Item 7A, “Quantitative Disclosures About Market Risk,” of our Annual Report on Form 10-K for the year ended December 31, 2005. Schlumberger exposure to market risk has not changed materially since December 31, 2005.</w:t>
      </w:r>
    </w:p>
    <w:p>
      <w:pPr>
        <w:spacing w:after="0" w:line="6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7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of the end of the period covered by this Report, an evaluation was carried out under the supervision and with the participation of Schlumberger management, including the Chief Executive Officer (“CEO”) and Chief Financial Officer (“CFO”), of the effectiveness of the design and operation of Schlumberger’s disclosure controls and procedures pursuant to Rule 13a-15 of the Securities Exchange Act of 1934 (the “Exchange Act”). Based on that evaluation, the CEO and CFO have concluded that Schlumberger disclosure controls and procedures were effective as of June 30, 2006 to ensure that information required to be disclosed by Schlumberger in reports that it files or submits under the Exchange Act is recorded, processed, summarized and reported within the time periods specified in Securities and Exchange Commission rules and forms and that information required to be disclosed is accumulated and communicated to management, including the CEO and CFO, to allow timely decisions regarding required disclosure. There has been no change in Schlumberger’s internal controls over financial reporting that occurred during the quarter ended June 30, 2006 that has materially affected, or is reasonably likely to materially affect, Schlumberger’s internal controls over financial reporting.</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 Mark of Schlumberger</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1, 1A, 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w:t>
      </w:r>
    </w:p>
    <w:p>
      <w:pPr>
        <w:spacing w:after="0" w:line="6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74"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 xml:space="preserve">The information with respect to Item 1 is set forth under the heading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on page 13 of this Report, within the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w:t>
      </w:r>
    </w:p>
    <w:p>
      <w:pPr>
        <w:spacing w:after="0" w:line="10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7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 addition to the other information set forth in this Report, you should carefully consider the factors discussed in Part I—“Item 1A Risk Factors” in Schlumberger’s Annual Report on Form 10-K for the year ended December 31, 2006, which could materially affect Schlumberger’s business, financial condition, results of operations, cash flows or prospects. The risks described in Schlumberger’s Annual Report on Form 10-K are not the only risks facing Schlumberger. Additional risks and uncertainties not currently known to Schlumberger or that Schlumberger currently deems to be immaterial also may materially adversely affect Schlumberger’s business, financial condition, results of operations, cash flows or prospects.</w:t>
      </w:r>
    </w:p>
    <w:p>
      <w:pPr>
        <w:spacing w:after="0" w:line="92" w:lineRule="exact"/>
        <w:rPr>
          <w:sz w:val="20"/>
          <w:szCs w:val="20"/>
          <w:color w:val="auto"/>
        </w:rPr>
      </w:pPr>
    </w:p>
    <w:p>
      <w:pPr>
        <w:ind w:right="5580"/>
        <w:spacing w:after="0" w:line="319" w:lineRule="auto"/>
        <w:rPr>
          <w:sz w:val="20"/>
          <w:szCs w:val="20"/>
          <w:color w:val="auto"/>
        </w:rPr>
      </w:pPr>
      <w:r>
        <w:rPr>
          <w:rFonts w:ascii="Arial" w:cs="Arial" w:eastAsia="Arial" w:hAnsi="Arial"/>
          <w:sz w:val="18"/>
          <w:szCs w:val="18"/>
          <w:b w:val="1"/>
          <w:bCs w:val="1"/>
          <w:color w:val="auto"/>
        </w:rPr>
        <w:t>Item 2: Unregistered Sales of Equity Securities and Use of Proceeds Unregistered Sales of Equity Securities</w:t>
      </w:r>
    </w:p>
    <w:p>
      <w:pPr>
        <w:jc w:val="both"/>
        <w:ind w:right="80"/>
        <w:spacing w:after="0" w:line="259" w:lineRule="auto"/>
        <w:rPr>
          <w:sz w:val="20"/>
          <w:szCs w:val="20"/>
          <w:color w:val="auto"/>
        </w:rPr>
      </w:pPr>
      <w:r>
        <w:rPr>
          <w:rFonts w:ascii="Arial" w:cs="Arial" w:eastAsia="Arial" w:hAnsi="Arial"/>
          <w:sz w:val="18"/>
          <w:szCs w:val="18"/>
          <w:color w:val="auto"/>
        </w:rPr>
        <w:t>On May 16, 2006, Schlumberger delivered 4,730,960 shares of its common stock from treasury as partial consideration for the acquisition of the remaining 49% equity stake in PetroAlliance Services Company Limited that it did not own. Such shares were issued in transactions exempt from registration under Section 4(2) and Regulation S of the Securities Act of 1933, as amended.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74"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On April 20, 2006, the Board of Directors of Schlumberger approved a share buy-back program of up to 40 million shares to be acquired in the open market before April 2010, subject to market conditions.</w:t>
      </w:r>
    </w:p>
    <w:p>
      <w:pPr>
        <w:ind w:left="460"/>
        <w:spacing w:after="0"/>
        <w:rPr>
          <w:sz w:val="20"/>
          <w:szCs w:val="20"/>
          <w:color w:val="auto"/>
        </w:rPr>
      </w:pPr>
      <w:r>
        <w:rPr>
          <w:rFonts w:ascii="Arial" w:cs="Arial" w:eastAsia="Arial" w:hAnsi="Arial"/>
          <w:sz w:val="16"/>
          <w:szCs w:val="16"/>
          <w:color w:val="auto"/>
        </w:rPr>
        <w:t>The following table sets forth information on Schlumberger’s common stock repurchase program activity for the quarter ended June 30, 2006:</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thousands except per share amounts)</w:t>
      </w:r>
    </w:p>
    <w:tbl>
      <w:tblPr>
        <w:tblLayout w:type="fixed"/>
        <w:tblInd w:w="0" w:type="dxa"/>
        <w:tblCellMar>
          <w:top w:w="0" w:type="dxa"/>
          <w:left w:w="0" w:type="dxa"/>
          <w:bottom w:w="0" w:type="dxa"/>
          <w:right w:w="0" w:type="dxa"/>
        </w:tblCellMar>
      </w:tblPr>
      <w:tr>
        <w:trPr>
          <w:trHeight w:val="129"/>
        </w:trPr>
        <w:tc>
          <w:tcPr>
            <w:tcW w:w="64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Total</w:t>
            </w:r>
          </w:p>
        </w:tc>
        <w:tc>
          <w:tcPr>
            <w:tcW w:w="13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Maximum</w:t>
            </w:r>
          </w:p>
        </w:tc>
      </w:tr>
      <w:tr>
        <w:trPr>
          <w:trHeight w:val="149"/>
        </w:trPr>
        <w:tc>
          <w:tcPr>
            <w:tcW w:w="6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number of</w:t>
            </w:r>
          </w:p>
        </w:tc>
        <w:tc>
          <w:tcPr>
            <w:tcW w:w="1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number of</w:t>
            </w:r>
          </w:p>
        </w:tc>
      </w:tr>
      <w:tr>
        <w:trPr>
          <w:trHeight w:val="149"/>
        </w:trPr>
        <w:tc>
          <w:tcPr>
            <w:tcW w:w="6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shares</w:t>
            </w:r>
          </w:p>
        </w:tc>
        <w:tc>
          <w:tcPr>
            <w:tcW w:w="1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shares</w:t>
            </w:r>
          </w:p>
        </w:tc>
      </w:tr>
      <w:tr>
        <w:trPr>
          <w:trHeight w:val="149"/>
        </w:trPr>
        <w:tc>
          <w:tcPr>
            <w:tcW w:w="6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purchased</w:t>
            </w:r>
          </w:p>
        </w:tc>
        <w:tc>
          <w:tcPr>
            <w:tcW w:w="1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that may</w:t>
            </w:r>
          </w:p>
        </w:tc>
      </w:tr>
      <w:tr>
        <w:trPr>
          <w:trHeight w:val="149"/>
        </w:trPr>
        <w:tc>
          <w:tcPr>
            <w:tcW w:w="6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8"/>
              </w:rPr>
              <w:t>as part of</w:t>
            </w:r>
          </w:p>
        </w:tc>
        <w:tc>
          <w:tcPr>
            <w:tcW w:w="1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yet be</w:t>
            </w:r>
          </w:p>
        </w:tc>
      </w:tr>
      <w:tr>
        <w:trPr>
          <w:trHeight w:val="149"/>
        </w:trPr>
        <w:tc>
          <w:tcPr>
            <w:tcW w:w="64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Total number</w:t>
            </w:r>
          </w:p>
        </w:tc>
        <w:tc>
          <w:tcPr>
            <w:tcW w:w="720" w:type="dxa"/>
            <w:vAlign w:val="bottom"/>
          </w:tcPr>
          <w:p>
            <w:pPr>
              <w:spacing w:after="0"/>
              <w:rPr>
                <w:sz w:val="12"/>
                <w:szCs w:val="12"/>
                <w:color w:val="auto"/>
              </w:rPr>
            </w:pPr>
          </w:p>
        </w:tc>
        <w:tc>
          <w:tcPr>
            <w:tcW w:w="15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Average Price</w:t>
            </w: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publicly</w:t>
            </w:r>
          </w:p>
        </w:tc>
        <w:tc>
          <w:tcPr>
            <w:tcW w:w="1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purchased</w:t>
            </w:r>
          </w:p>
        </w:tc>
      </w:tr>
      <w:tr>
        <w:trPr>
          <w:trHeight w:val="149"/>
        </w:trPr>
        <w:tc>
          <w:tcPr>
            <w:tcW w:w="64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of shares</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paid per</w:t>
            </w: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announced</w:t>
            </w:r>
          </w:p>
        </w:tc>
        <w:tc>
          <w:tcPr>
            <w:tcW w:w="1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under the</w:t>
            </w:r>
          </w:p>
        </w:tc>
      </w:tr>
      <w:tr>
        <w:trPr>
          <w:trHeight w:val="161"/>
        </w:trPr>
        <w:tc>
          <w:tcPr>
            <w:tcW w:w="64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purchased</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share</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program</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program</w:t>
            </w:r>
          </w:p>
        </w:tc>
      </w:tr>
      <w:tr>
        <w:trPr>
          <w:trHeight w:val="149"/>
        </w:trPr>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April 1 through April 30, 2006</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w:t>
            </w:r>
          </w:p>
        </w:tc>
      </w:tr>
      <w:tr>
        <w:trPr>
          <w:trHeight w:val="149"/>
        </w:trPr>
        <w:tc>
          <w:tcPr>
            <w:tcW w:w="6420" w:type="dxa"/>
            <w:vAlign w:val="bottom"/>
          </w:tcPr>
          <w:p>
            <w:pPr>
              <w:spacing w:after="0" w:line="149" w:lineRule="exact"/>
              <w:rPr>
                <w:sz w:val="20"/>
                <w:szCs w:val="20"/>
                <w:color w:val="auto"/>
              </w:rPr>
            </w:pPr>
            <w:r>
              <w:rPr>
                <w:rFonts w:ascii="Arial" w:cs="Arial" w:eastAsia="Arial" w:hAnsi="Arial"/>
                <w:sz w:val="14"/>
                <w:szCs w:val="14"/>
                <w:color w:val="auto"/>
              </w:rPr>
              <w:t>May 1 through May 30, 2006</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375.0</w:t>
            </w:r>
          </w:p>
        </w:tc>
        <w:tc>
          <w:tcPr>
            <w:tcW w:w="86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64.62</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375.0</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39,625.0</w:t>
            </w:r>
          </w:p>
        </w:tc>
      </w:tr>
      <w:tr>
        <w:trPr>
          <w:trHeight w:val="149"/>
        </w:trPr>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June 1 through June 30, 2006</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3,219.7</w:t>
            </w:r>
          </w:p>
        </w:tc>
        <w:tc>
          <w:tcPr>
            <w:tcW w:w="86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58.53</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3,219.7</w:t>
            </w: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36,405.3</w:t>
            </w:r>
          </w:p>
        </w:tc>
      </w:tr>
      <w:tr>
        <w:trPr>
          <w:trHeight w:val="108"/>
        </w:trPr>
        <w:tc>
          <w:tcPr>
            <w:tcW w:w="64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320" w:type="dxa"/>
            <w:vAlign w:val="bottom"/>
          </w:tcPr>
          <w:p>
            <w:pPr>
              <w:spacing w:after="0"/>
              <w:rPr>
                <w:sz w:val="9"/>
                <w:szCs w:val="9"/>
                <w:color w:val="auto"/>
              </w:rPr>
            </w:pPr>
          </w:p>
        </w:tc>
      </w:tr>
      <w:tr>
        <w:trPr>
          <w:trHeight w:val="102"/>
        </w:trPr>
        <w:tc>
          <w:tcPr>
            <w:tcW w:w="6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20" w:type="dxa"/>
            <w:vAlign w:val="bottom"/>
          </w:tcPr>
          <w:p>
            <w:pPr>
              <w:spacing w:after="0"/>
              <w:rPr>
                <w:sz w:val="8"/>
                <w:szCs w:val="8"/>
                <w:color w:val="auto"/>
              </w:rPr>
            </w:pPr>
          </w:p>
        </w:tc>
      </w:tr>
      <w:tr>
        <w:trPr>
          <w:trHeight w:val="149"/>
        </w:trPr>
        <w:tc>
          <w:tcPr>
            <w:tcW w:w="64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3,594.7</w:t>
            </w:r>
          </w:p>
        </w:tc>
        <w:tc>
          <w:tcPr>
            <w:tcW w:w="86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59.16</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3,594.7</w:t>
            </w:r>
          </w:p>
        </w:tc>
        <w:tc>
          <w:tcPr>
            <w:tcW w:w="1320" w:type="dxa"/>
            <w:vAlign w:val="bottom"/>
            <w:shd w:val="clear" w:color="auto" w:fill="CCEEFF"/>
          </w:tcPr>
          <w:p>
            <w:pPr>
              <w:spacing w:after="0"/>
              <w:rPr>
                <w:sz w:val="12"/>
                <w:szCs w:val="12"/>
                <w:color w:val="auto"/>
              </w:rPr>
            </w:pPr>
          </w:p>
        </w:tc>
      </w:tr>
      <w:tr>
        <w:trPr>
          <w:trHeight w:val="132"/>
        </w:trPr>
        <w:tc>
          <w:tcPr>
            <w:tcW w:w="64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3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-29210</wp:posOffset>
            </wp:positionV>
            <wp:extent cx="1270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-29210</wp:posOffset>
            </wp:positionV>
            <wp:extent cx="1270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-29210</wp:posOffset>
            </wp:positionV>
            <wp:extent cx="518795"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18795"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-29210</wp:posOffset>
            </wp:positionV>
            <wp:extent cx="1270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12700"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In connection with the exercise of stock options under Schlumberger incentive compensation plans, Schlumberger routinely receives shares of its common stock from optionholders in consideration of the exercise price of the stock options. Schlumberger does not view these transactions as implicating the disclosure required under this Item. The number of shares of Schlumberger common stock received from optionholders is immaterial.</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3, 4, 5, 6</w:t>
      </w:r>
    </w:p>
    <w:p>
      <w:pPr>
        <w:spacing w:after="0" w:line="19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None.</w:t>
      </w:r>
    </w:p>
    <w:p>
      <w:pPr>
        <w:spacing w:after="0" w:line="14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None.</w:t>
      </w:r>
    </w:p>
    <w:p>
      <w:pPr>
        <w:spacing w:after="0" w:line="14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None.</w:t>
      </w:r>
    </w:p>
    <w:p>
      <w:pPr>
        <w:spacing w:after="0" w:line="14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74" w:lineRule="exact"/>
        <w:rPr>
          <w:sz w:val="20"/>
          <w:szCs w:val="20"/>
          <w:color w:val="auto"/>
        </w:rPr>
      </w:pPr>
    </w:p>
    <w:p>
      <w:pPr>
        <w:ind w:left="580"/>
        <w:spacing w:after="0" w:line="325" w:lineRule="auto"/>
        <w:rPr>
          <w:sz w:val="20"/>
          <w:szCs w:val="20"/>
          <w:color w:val="auto"/>
        </w:rPr>
      </w:pPr>
      <w:r>
        <w:rPr>
          <w:rFonts w:ascii="Arial" w:cs="Arial" w:eastAsia="Arial" w:hAnsi="Arial"/>
          <w:sz w:val="16"/>
          <w:szCs w:val="16"/>
          <w:color w:val="auto"/>
        </w:rPr>
        <w:t>Exhibit 3.1 Articles of Incorporation of Schlumberger Limited (Schlumberger N.V.) as last amended on April 12, 2006 (incorporated by reference to Exhibit 3.1 to Schlumberger’s Quarterly Report on Form 10-Q for the fiscal quarter ended March 31, 2006).</w:t>
      </w:r>
    </w:p>
    <w:p>
      <w:pPr>
        <w:spacing w:after="0" w:line="1" w:lineRule="exact"/>
        <w:rPr>
          <w:sz w:val="20"/>
          <w:szCs w:val="20"/>
          <w:color w:val="auto"/>
        </w:rPr>
      </w:pPr>
    </w:p>
    <w:p>
      <w:pPr>
        <w:ind w:left="580" w:right="800"/>
        <w:spacing w:after="0" w:line="268" w:lineRule="auto"/>
        <w:rPr>
          <w:sz w:val="20"/>
          <w:szCs w:val="20"/>
          <w:color w:val="auto"/>
        </w:rPr>
      </w:pPr>
      <w:r>
        <w:rPr>
          <w:rFonts w:ascii="Arial" w:cs="Arial" w:eastAsia="Arial" w:hAnsi="Arial"/>
          <w:sz w:val="18"/>
          <w:szCs w:val="18"/>
          <w:color w:val="auto"/>
        </w:rPr>
        <w:t>Exhibit 3.2 Amended and Restated Bylaws of Schlumberger Limited (Schlumberger N.V.) (incorporated by reference to Exhibit 3.1 to Schlumberger’s Current Report on Form 8-K filed on April 22, 2005).</w:t>
      </w:r>
    </w:p>
    <w:p>
      <w:pPr>
        <w:spacing w:after="0" w:line="37" w:lineRule="exact"/>
        <w:rPr>
          <w:sz w:val="20"/>
          <w:szCs w:val="20"/>
          <w:color w:val="auto"/>
        </w:rPr>
      </w:pPr>
    </w:p>
    <w:p>
      <w:pPr>
        <w:ind w:left="580" w:right="240"/>
        <w:spacing w:after="0" w:line="268" w:lineRule="auto"/>
        <w:rPr>
          <w:sz w:val="20"/>
          <w:szCs w:val="20"/>
          <w:color w:val="auto"/>
        </w:rPr>
      </w:pPr>
      <w:r>
        <w:rPr>
          <w:rFonts w:ascii="Arial" w:cs="Arial" w:eastAsia="Arial" w:hAnsi="Arial"/>
          <w:sz w:val="18"/>
          <w:szCs w:val="18"/>
          <w:color w:val="auto"/>
        </w:rPr>
        <w:t>Exhibit 31.1 Certification of Chief Executive Officer pursuant to Form of Rule 13a-14(a) as Adopted Pursuant to Section 302 of the Sarbanes-Oxley Act of 2002.</w:t>
      </w:r>
    </w:p>
    <w:p>
      <w:pPr>
        <w:spacing w:after="0" w:line="37" w:lineRule="exact"/>
        <w:rPr>
          <w:sz w:val="20"/>
          <w:szCs w:val="20"/>
          <w:color w:val="auto"/>
        </w:rPr>
      </w:pPr>
    </w:p>
    <w:p>
      <w:pPr>
        <w:ind w:left="580" w:right="280"/>
        <w:spacing w:after="0" w:line="268" w:lineRule="auto"/>
        <w:rPr>
          <w:sz w:val="20"/>
          <w:szCs w:val="20"/>
          <w:color w:val="auto"/>
        </w:rPr>
      </w:pPr>
      <w:r>
        <w:rPr>
          <w:rFonts w:ascii="Arial" w:cs="Arial" w:eastAsia="Arial" w:hAnsi="Arial"/>
          <w:sz w:val="18"/>
          <w:szCs w:val="18"/>
          <w:color w:val="auto"/>
        </w:rPr>
        <w:t>Exhibit 31.2 Certification of Chief Financial Officer pursuant to Form of Rule 13a-14(a) as Adopted Pursuant to Section 302 of the Sarbanes-Oxley Act of 2002.</w:t>
      </w:r>
    </w:p>
    <w:p>
      <w:pPr>
        <w:spacing w:after="0" w:line="37" w:lineRule="exact"/>
        <w:rPr>
          <w:sz w:val="20"/>
          <w:szCs w:val="20"/>
          <w:color w:val="auto"/>
        </w:rPr>
      </w:pPr>
    </w:p>
    <w:p>
      <w:pPr>
        <w:ind w:left="580" w:right="200"/>
        <w:spacing w:after="0" w:line="268" w:lineRule="auto"/>
        <w:rPr>
          <w:sz w:val="20"/>
          <w:szCs w:val="20"/>
          <w:color w:val="auto"/>
        </w:rPr>
      </w:pPr>
      <w:r>
        <w:rPr>
          <w:rFonts w:ascii="Arial" w:cs="Arial" w:eastAsia="Arial" w:hAnsi="Arial"/>
          <w:sz w:val="18"/>
          <w:szCs w:val="18"/>
          <w:color w:val="auto"/>
        </w:rPr>
        <w:t>Exhibit 32.1 Certification of Chief Executive Officer pursuant to 18 U.S.C. Section 1350, as Adopted Pursuant to Section 906 of the Sarbanes-Oxley Act of 2002.</w:t>
      </w:r>
    </w:p>
    <w:p>
      <w:pPr>
        <w:spacing w:after="0" w:line="37" w:lineRule="exact"/>
        <w:rPr>
          <w:sz w:val="20"/>
          <w:szCs w:val="20"/>
          <w:color w:val="auto"/>
        </w:rPr>
      </w:pPr>
    </w:p>
    <w:p>
      <w:pPr>
        <w:ind w:left="580" w:right="20"/>
        <w:spacing w:after="0" w:line="268" w:lineRule="auto"/>
        <w:rPr>
          <w:sz w:val="20"/>
          <w:szCs w:val="20"/>
          <w:color w:val="auto"/>
        </w:rPr>
      </w:pPr>
      <w:r>
        <w:rPr>
          <w:rFonts w:ascii="Arial" w:cs="Arial" w:eastAsia="Arial" w:hAnsi="Arial"/>
          <w:sz w:val="18"/>
          <w:szCs w:val="18"/>
          <w:color w:val="auto"/>
        </w:rPr>
        <w:t>Exhibit 32.2 Certification Chief Financial Officer pursuant to 18 U.S.C. Section 1350, as Adopted Pursuant to Section 906 of the Sarbanes-Oxley Act of 2002.</w:t>
      </w:r>
    </w:p>
    <w:p>
      <w:pPr>
        <w:spacing w:after="0" w:line="11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0820"/>
          </w:cols>
          <w:pgMar w:left="240" w:top="459" w:right="8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7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Date: July 26, 2006</w:t>
            </w:r>
          </w:p>
        </w:tc>
        <w:tc>
          <w:tcPr>
            <w:tcW w:w="7900" w:type="dxa"/>
            <w:vAlign w:val="bottom"/>
            <w:gridSpan w:val="2"/>
          </w:tcPr>
          <w:p>
            <w:pPr>
              <w:ind w:left="256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CHLUMBERGER</w:t>
            </w:r>
            <w:r>
              <w:rPr>
                <w:rFonts w:ascii="Arial" w:cs="Arial" w:eastAsia="Arial" w:hAnsi="Arial"/>
                <w:sz w:val="18"/>
                <w:szCs w:val="18"/>
                <w:color w:val="auto"/>
              </w:rPr>
              <w:t xml:space="preserve"> L</w:t>
            </w:r>
            <w:r>
              <w:rPr>
                <w:rFonts w:ascii="Arial" w:cs="Arial" w:eastAsia="Arial" w:hAnsi="Arial"/>
                <w:sz w:val="14"/>
                <w:szCs w:val="14"/>
                <w:color w:val="auto"/>
              </w:rPr>
              <w:t>IMITED</w:t>
            </w:r>
          </w:p>
        </w:tc>
      </w:tr>
      <w:tr>
        <w:trPr>
          <w:trHeight w:val="222"/>
        </w:trPr>
        <w:tc>
          <w:tcPr>
            <w:tcW w:w="3520" w:type="dxa"/>
            <w:vAlign w:val="bottom"/>
          </w:tcPr>
          <w:p>
            <w:pPr>
              <w:spacing w:after="0"/>
              <w:rPr>
                <w:sz w:val="19"/>
                <w:szCs w:val="19"/>
                <w:color w:val="auto"/>
              </w:rPr>
            </w:pPr>
          </w:p>
        </w:tc>
        <w:tc>
          <w:tcPr>
            <w:tcW w:w="7900" w:type="dxa"/>
            <w:vAlign w:val="bottom"/>
            <w:gridSpan w:val="2"/>
          </w:tcPr>
          <w:p>
            <w:pPr>
              <w:ind w:left="256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EGISTRANT</w:t>
            </w:r>
            <w:r>
              <w:rPr>
                <w:rFonts w:ascii="Arial" w:cs="Arial" w:eastAsia="Arial" w:hAnsi="Arial"/>
                <w:sz w:val="18"/>
                <w:szCs w:val="18"/>
                <w:color w:val="auto"/>
              </w:rPr>
              <w:t>)</w:t>
            </w:r>
          </w:p>
        </w:tc>
      </w:tr>
      <w:tr>
        <w:trPr>
          <w:trHeight w:val="446"/>
        </w:trPr>
        <w:tc>
          <w:tcPr>
            <w:tcW w:w="35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900" w:type="dxa"/>
            <w:vAlign w:val="bottom"/>
          </w:tcPr>
          <w:p>
            <w:pPr>
              <w:ind w:left="1580"/>
              <w:spacing w:after="0"/>
              <w:rPr>
                <w:sz w:val="20"/>
                <w:szCs w:val="20"/>
                <w:color w:val="auto"/>
              </w:rPr>
            </w:pPr>
            <w:r>
              <w:rPr>
                <w:rFonts w:ascii="Arial" w:cs="Arial" w:eastAsia="Arial" w:hAnsi="Arial"/>
                <w:sz w:val="18"/>
                <w:szCs w:val="18"/>
                <w:color w:val="auto"/>
              </w:rPr>
              <w:t>/s/  H</w:t>
            </w:r>
            <w:r>
              <w:rPr>
                <w:rFonts w:ascii="Arial" w:cs="Arial" w:eastAsia="Arial" w:hAnsi="Arial"/>
                <w:sz w:val="14"/>
                <w:szCs w:val="14"/>
                <w:color w:val="auto"/>
              </w:rPr>
              <w:t>OWARD</w:t>
            </w:r>
            <w:r>
              <w:rPr>
                <w:rFonts w:ascii="Arial" w:cs="Arial" w:eastAsia="Arial" w:hAnsi="Arial"/>
                <w:sz w:val="18"/>
                <w:szCs w:val="18"/>
                <w:color w:val="auto"/>
              </w:rPr>
              <w:t xml:space="preserve"> G</w:t>
            </w:r>
            <w:r>
              <w:rPr>
                <w:rFonts w:ascii="Arial" w:cs="Arial" w:eastAsia="Arial" w:hAnsi="Arial"/>
                <w:sz w:val="14"/>
                <w:szCs w:val="14"/>
                <w:color w:val="auto"/>
              </w:rPr>
              <w:t>UILD</w:t>
            </w:r>
          </w:p>
        </w:tc>
      </w:tr>
      <w:tr>
        <w:trPr>
          <w:trHeight w:val="110"/>
        </w:trPr>
        <w:tc>
          <w:tcPr>
            <w:tcW w:w="35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4900" w:type="dxa"/>
            <w:vAlign w:val="bottom"/>
            <w:tcBorders>
              <w:bottom w:val="single" w:sz="8" w:color="auto"/>
            </w:tcBorders>
          </w:tcPr>
          <w:p>
            <w:pPr>
              <w:spacing w:after="0"/>
              <w:rPr>
                <w:sz w:val="9"/>
                <w:szCs w:val="9"/>
                <w:color w:val="auto"/>
              </w:rPr>
            </w:pPr>
          </w:p>
        </w:tc>
      </w:tr>
      <w:tr>
        <w:trPr>
          <w:trHeight w:val="309"/>
        </w:trPr>
        <w:tc>
          <w:tcPr>
            <w:tcW w:w="35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Howard Guild</w:t>
            </w:r>
          </w:p>
        </w:tc>
      </w:tr>
      <w:tr>
        <w:trPr>
          <w:trHeight w:val="216"/>
        </w:trPr>
        <w:tc>
          <w:tcPr>
            <w:tcW w:w="35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Chief Accounting Officer and</w:t>
            </w:r>
          </w:p>
        </w:tc>
      </w:tr>
      <w:tr>
        <w:trPr>
          <w:trHeight w:val="222"/>
        </w:trPr>
        <w:tc>
          <w:tcPr>
            <w:tcW w:w="35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Duly Authorized Signatory</w:t>
            </w:r>
          </w:p>
        </w:tc>
      </w:tr>
      <w:tr>
        <w:trPr>
          <w:trHeight w:val="326"/>
        </w:trPr>
        <w:tc>
          <w:tcPr>
            <w:tcW w:w="3520" w:type="dxa"/>
            <w:vAlign w:val="bottom"/>
          </w:tcPr>
          <w:p>
            <w:pPr>
              <w:spacing w:after="0"/>
              <w:rPr>
                <w:sz w:val="24"/>
                <w:szCs w:val="24"/>
                <w:color w:val="auto"/>
              </w:rPr>
            </w:pPr>
          </w:p>
        </w:tc>
        <w:tc>
          <w:tcPr>
            <w:tcW w:w="3000" w:type="dxa"/>
            <w:vAlign w:val="bottom"/>
          </w:tcPr>
          <w:p>
            <w:pPr>
              <w:jc w:val="right"/>
              <w:ind w:right="659"/>
              <w:spacing w:after="0"/>
              <w:rPr>
                <w:sz w:val="20"/>
                <w:szCs w:val="20"/>
                <w:color w:val="auto"/>
              </w:rPr>
            </w:pPr>
            <w:r>
              <w:rPr>
                <w:rFonts w:ascii="Arial" w:cs="Arial" w:eastAsia="Arial" w:hAnsi="Arial"/>
                <w:sz w:val="14"/>
                <w:szCs w:val="14"/>
                <w:color w:val="auto"/>
              </w:rPr>
              <w:t>32</w:t>
            </w:r>
          </w:p>
        </w:tc>
        <w:tc>
          <w:tcPr>
            <w:tcW w:w="49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Andrew Gould, certify that:</w:t>
      </w:r>
    </w:p>
    <w:p>
      <w:pPr>
        <w:spacing w:after="0" w:line="77" w:lineRule="exact"/>
        <w:rPr>
          <w:sz w:val="20"/>
          <w:szCs w:val="20"/>
          <w:color w:val="auto"/>
        </w:rPr>
      </w:pPr>
    </w:p>
    <w:p>
      <w:pPr>
        <w:ind w:left="420" w:hanging="184"/>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57" w:lineRule="exact"/>
        <w:rPr>
          <w:rFonts w:ascii="Arial" w:cs="Arial" w:eastAsia="Arial" w:hAnsi="Arial"/>
          <w:sz w:val="18"/>
          <w:szCs w:val="18"/>
          <w:color w:val="auto"/>
        </w:rPr>
      </w:pPr>
    </w:p>
    <w:p>
      <w:pPr>
        <w:ind w:right="660" w:firstLine="236"/>
        <w:spacing w:after="0" w:line="370" w:lineRule="auto"/>
        <w:tabs>
          <w:tab w:leader="none" w:pos="404"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40" w:firstLine="236"/>
        <w:spacing w:after="0" w:line="268" w:lineRule="auto"/>
        <w:tabs>
          <w:tab w:leader="none" w:pos="404"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firstLine="236"/>
        <w:spacing w:after="0" w:line="259" w:lineRule="auto"/>
        <w:tabs>
          <w:tab w:leader="none" w:pos="40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right="40" w:hanging="446"/>
        <w:spacing w:after="0" w:line="325" w:lineRule="auto"/>
        <w:tabs>
          <w:tab w:leader="none" w:pos="9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8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680" w:firstLine="236"/>
        <w:spacing w:after="0" w:line="325" w:lineRule="auto"/>
        <w:tabs>
          <w:tab w:leader="none" w:pos="404"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tabs>
          <w:tab w:leader="none" w:pos="5800" w:val="left"/>
          <w:tab w:leader="none" w:pos="6140" w:val="left"/>
        </w:tabs>
        <w:rPr>
          <w:sz w:val="20"/>
          <w:szCs w:val="20"/>
          <w:color w:val="auto"/>
        </w:rPr>
      </w:pPr>
      <w:r>
        <w:rPr>
          <w:rFonts w:ascii="Arial" w:cs="Arial" w:eastAsia="Arial" w:hAnsi="Arial"/>
          <w:sz w:val="18"/>
          <w:szCs w:val="18"/>
          <w:color w:val="auto"/>
        </w:rPr>
        <w:t>Date: July 26, 2006</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228981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269"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 Jean-Marc Perraud, certify that:</w:t>
      </w:r>
    </w:p>
    <w:p>
      <w:pPr>
        <w:spacing w:after="0" w:line="77" w:lineRule="exact"/>
        <w:rPr>
          <w:sz w:val="20"/>
          <w:szCs w:val="20"/>
          <w:color w:val="auto"/>
        </w:rPr>
      </w:pPr>
    </w:p>
    <w:p>
      <w:pPr>
        <w:ind w:left="420" w:hanging="184"/>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57" w:lineRule="exact"/>
        <w:rPr>
          <w:rFonts w:ascii="Arial" w:cs="Arial" w:eastAsia="Arial" w:hAnsi="Arial"/>
          <w:sz w:val="18"/>
          <w:szCs w:val="18"/>
          <w:color w:val="auto"/>
        </w:rPr>
      </w:pPr>
    </w:p>
    <w:p>
      <w:pPr>
        <w:ind w:right="660" w:firstLine="236"/>
        <w:spacing w:after="0" w:line="370" w:lineRule="auto"/>
        <w:tabs>
          <w:tab w:leader="none" w:pos="404"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40" w:firstLine="236"/>
        <w:spacing w:after="0" w:line="268" w:lineRule="auto"/>
        <w:tabs>
          <w:tab w:leader="none" w:pos="404"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firstLine="236"/>
        <w:spacing w:after="0" w:line="259" w:lineRule="auto"/>
        <w:tabs>
          <w:tab w:leader="none" w:pos="40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right="40" w:hanging="446"/>
        <w:spacing w:after="0" w:line="325" w:lineRule="auto"/>
        <w:tabs>
          <w:tab w:leader="none" w:pos="9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8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680" w:firstLine="236"/>
        <w:spacing w:after="0" w:line="325" w:lineRule="auto"/>
        <w:tabs>
          <w:tab w:leader="none" w:pos="404"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tabs>
          <w:tab w:leader="none" w:pos="5800" w:val="left"/>
          <w:tab w:leader="none" w:pos="6160" w:val="left"/>
        </w:tabs>
        <w:rPr>
          <w:sz w:val="20"/>
          <w:szCs w:val="20"/>
          <w:color w:val="auto"/>
        </w:rPr>
      </w:pPr>
      <w:r>
        <w:rPr>
          <w:rFonts w:ascii="Arial" w:cs="Arial" w:eastAsia="Arial" w:hAnsi="Arial"/>
          <w:sz w:val="18"/>
          <w:szCs w:val="18"/>
          <w:color w:val="auto"/>
        </w:rPr>
        <w:t>Date: July 26, 2006</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Jean-Marc Perraud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23241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Jean-Marc Perraud</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269"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PURSUANT TO</w:t>
      </w:r>
    </w:p>
    <w:p>
      <w:pPr>
        <w:spacing w:after="0" w:line="234" w:lineRule="auto"/>
        <w:rPr>
          <w:sz w:val="20"/>
          <w:szCs w:val="20"/>
          <w:color w:val="auto"/>
        </w:rPr>
      </w:pPr>
      <w:r>
        <w:rPr>
          <w:rFonts w:ascii="Arial" w:cs="Arial" w:eastAsia="Arial" w:hAnsi="Arial"/>
          <w:sz w:val="18"/>
          <w:szCs w:val="18"/>
          <w:b w:val="1"/>
          <w:bCs w:val="1"/>
          <w:color w:val="auto"/>
        </w:rPr>
        <w:t>18 U.S.C. SECTION 1350</w:t>
      </w:r>
    </w:p>
    <w:p>
      <w:pPr>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3"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In connection with the Quarterly Report of Schlumberger N.V. (Schlumberger Limited) (the “Company”) on Form 10-Q for the quarterly period ended June 30, 2006 as filed with the Securities and Exchange Commission on the date hereof (the “Report”), I, Andrew Gould, Chairman and Chief Executive Officer of the Company, certify, pursuant to 18 U.S.C. § 1350, as adopted pursuant to § 906 of the Sarbanes-Oxley Act of 2002, that:</w:t>
      </w:r>
    </w:p>
    <w:p>
      <w:pPr>
        <w:spacing w:after="0" w:line="12" w:lineRule="exact"/>
        <w:rPr>
          <w:sz w:val="20"/>
          <w:szCs w:val="20"/>
          <w:color w:val="auto"/>
        </w:rPr>
      </w:pPr>
    </w:p>
    <w:p>
      <w:pPr>
        <w:ind w:left="820" w:hanging="241"/>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820" w:hanging="241"/>
        <w:spacing w:after="0"/>
        <w:tabs>
          <w:tab w:leader="none" w:pos="8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16" w:lineRule="exact"/>
        <w:rPr>
          <w:sz w:val="20"/>
          <w:szCs w:val="20"/>
          <w:color w:val="auto"/>
        </w:rPr>
      </w:pPr>
    </w:p>
    <w:p>
      <w:pPr>
        <w:spacing w:after="0"/>
        <w:tabs>
          <w:tab w:leader="none" w:pos="5800" w:val="left"/>
          <w:tab w:leader="none" w:pos="6140" w:val="left"/>
        </w:tabs>
        <w:rPr>
          <w:sz w:val="20"/>
          <w:szCs w:val="20"/>
          <w:color w:val="auto"/>
        </w:rPr>
      </w:pPr>
      <w:r>
        <w:rPr>
          <w:rFonts w:ascii="Arial" w:cs="Arial" w:eastAsia="Arial" w:hAnsi="Arial"/>
          <w:sz w:val="18"/>
          <w:szCs w:val="18"/>
          <w:color w:val="auto"/>
        </w:rPr>
        <w:t>Date: July 26, 2006</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243522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Chairman and Chief Executive Officer</w:t>
      </w:r>
    </w:p>
    <w:p>
      <w:pPr>
        <w:spacing w:after="0" w:line="151"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18" w:lineRule="exact"/>
        <w:rPr>
          <w:sz w:val="20"/>
          <w:szCs w:val="20"/>
          <w:color w:val="auto"/>
        </w:rPr>
      </w:pPr>
    </w:p>
    <w:p>
      <w:pPr>
        <w:ind w:right="540" w:firstLine="228"/>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 of 1934, as amended.</w:t>
      </w:r>
    </w:p>
    <w:p>
      <w:pPr>
        <w:sectPr>
          <w:pgSz w:w="11900" w:h="16838" w:orient="portrait"/>
          <w:cols w:equalWidth="0" w:num="1">
            <w:col w:w="11420"/>
          </w:cols>
          <w:pgMar w:left="240" w:top="269"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PURSUANT TO</w:t>
      </w:r>
    </w:p>
    <w:p>
      <w:pPr>
        <w:spacing w:after="0" w:line="234" w:lineRule="auto"/>
        <w:rPr>
          <w:sz w:val="20"/>
          <w:szCs w:val="20"/>
          <w:color w:val="auto"/>
        </w:rPr>
      </w:pPr>
      <w:r>
        <w:rPr>
          <w:rFonts w:ascii="Arial" w:cs="Arial" w:eastAsia="Arial" w:hAnsi="Arial"/>
          <w:sz w:val="18"/>
          <w:szCs w:val="18"/>
          <w:b w:val="1"/>
          <w:bCs w:val="1"/>
          <w:color w:val="auto"/>
        </w:rPr>
        <w:t>18 U.S.C. SECTION 1350</w:t>
      </w:r>
    </w:p>
    <w:p>
      <w:pPr>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3"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In connection with the Quarterly Report of Schlumberger N.V. (Schlumberger Limited) (the “Company”) on Form 10-Q for the quarterly period ended June 30, 2006 as filed with the Securities and Exchange Commission on the date hereof (the “Report”), I, Jean-Marc Perraud, Executive Vice President and Chief Financial Officer of the Company, certify, pursuant to 18 U.S.C. § 1350, as adopted pursuant to § 906 of the Sarbanes-Oxley Act of 2002, that:</w:t>
      </w:r>
    </w:p>
    <w:p>
      <w:pPr>
        <w:spacing w:after="0" w:line="12" w:lineRule="exact"/>
        <w:rPr>
          <w:sz w:val="20"/>
          <w:szCs w:val="20"/>
          <w:color w:val="auto"/>
        </w:rPr>
      </w:pPr>
    </w:p>
    <w:p>
      <w:pPr>
        <w:ind w:left="820" w:hanging="241"/>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820" w:hanging="241"/>
        <w:spacing w:after="0"/>
        <w:tabs>
          <w:tab w:leader="none" w:pos="8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tabs>
          <w:tab w:leader="none" w:pos="6380" w:val="left"/>
          <w:tab w:leader="none" w:pos="6740" w:val="left"/>
        </w:tabs>
        <w:rPr>
          <w:sz w:val="20"/>
          <w:szCs w:val="20"/>
          <w:color w:val="auto"/>
        </w:rPr>
      </w:pPr>
      <w:r>
        <w:rPr>
          <w:rFonts w:ascii="Arial" w:cs="Arial" w:eastAsia="Arial" w:hAnsi="Arial"/>
          <w:sz w:val="18"/>
          <w:szCs w:val="18"/>
          <w:color w:val="auto"/>
        </w:rPr>
        <w:t>Date: July 26, 2006</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Jean-Marc Perraud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80010</wp:posOffset>
            </wp:positionV>
            <wp:extent cx="234124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Jean-Marc Perraud</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Executive Vice President and Chief Financial Officer</w:t>
      </w:r>
    </w:p>
    <w:p>
      <w:pPr>
        <w:spacing w:after="0" w:line="151"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18" w:lineRule="exact"/>
        <w:rPr>
          <w:sz w:val="20"/>
          <w:szCs w:val="20"/>
          <w:color w:val="auto"/>
        </w:rPr>
      </w:pPr>
    </w:p>
    <w:p>
      <w:pPr>
        <w:ind w:right="540" w:firstLine="228"/>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 of 1934, as amended.</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1"/>
    </w:lvl>
  </w:abstractNum>
  <w:abstractNum w:abstractNumId="1">
    <w:nsid w:val="66EF438D"/>
    <w:multiLevelType w:val="hybridMultilevel"/>
    <w:lvl w:ilvl="0">
      <w:lvlJc w:val="left"/>
      <w:lvlText w:val="%1."/>
      <w:numFmt w:val="decimal"/>
      <w:start w:val="2"/>
    </w:lvl>
    <w:lvl w:ilvl="1">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3"/>
    </w:lvl>
  </w:abstractNum>
  <w:abstractNum w:abstractNumId="4">
    <w:nsid w:val="109CF92E"/>
    <w:multiLevelType w:val="hybridMultilevel"/>
    <w:lvl w:ilvl="0">
      <w:lvlJc w:val="left"/>
      <w:lvlText w:val="%1."/>
      <w:numFmt w:val="decimal"/>
      <w:start w:val="4"/>
    </w:lvl>
  </w:abstractNum>
  <w:abstractNum w:abstractNumId="5">
    <w:nsid w:val="DED7263"/>
    <w:multiLevelType w:val="hybridMultilevel"/>
    <w:lvl w:ilvl="0">
      <w:lvlJc w:val="left"/>
      <w:lvlText w:val="%1."/>
      <w:numFmt w:val="decimal"/>
      <w:start w:val="5"/>
    </w:lvl>
  </w:abstractNum>
  <w:abstractNum w:abstractNumId="6">
    <w:nsid w:val="7FDCC233"/>
    <w:multiLevelType w:val="hybridMultilevel"/>
    <w:lvl w:ilvl="0">
      <w:lvlJc w:val="left"/>
      <w:lvlText w:val="%1."/>
      <w:numFmt w:val="decimal"/>
      <w:start w:val="6"/>
    </w:lvl>
  </w:abstractNum>
  <w:abstractNum w:abstractNumId="7">
    <w:nsid w:val="1BEFD79F"/>
    <w:multiLevelType w:val="hybridMultilevel"/>
    <w:lvl w:ilvl="0">
      <w:lvlJc w:val="left"/>
      <w:lvlText w:val="%1."/>
      <w:numFmt w:val="decimal"/>
      <w:start w:val="7"/>
    </w:lvl>
  </w:abstractNum>
  <w:abstractNum w:abstractNumId="8">
    <w:nsid w:val="41A7C4C9"/>
    <w:multiLevelType w:val="hybridMultilevel"/>
    <w:lvl w:ilvl="0">
      <w:lvlJc w:val="left"/>
      <w:lvlText w:val="%1."/>
      <w:numFmt w:val="decimal"/>
      <w:start w:val="8"/>
    </w:lvl>
  </w:abstractNum>
  <w:abstractNum w:abstractNumId="9">
    <w:nsid w:val="6B68079A"/>
    <w:multiLevelType w:val="hybridMultilevel"/>
    <w:lvl w:ilvl="0">
      <w:lvlJc w:val="left"/>
      <w:lvlText w:val="%1."/>
      <w:numFmt w:val="decimal"/>
      <w:start w:val="9"/>
    </w:lvl>
  </w:abstractNum>
  <w:abstractNum w:abstractNumId="10">
    <w:nsid w:val="4E6AFB66"/>
    <w:multiLevelType w:val="hybridMultilevel"/>
    <w:lvl w:ilvl="0">
      <w:lvlJc w:val="left"/>
      <w:lvlText w:val="%1."/>
      <w:numFmt w:val="decimal"/>
      <w:start w:val="13"/>
    </w:lvl>
  </w:abstractNum>
  <w:abstractNum w:abstractNumId="11">
    <w:nsid w:val="25E45D32"/>
    <w:multiLevelType w:val="hybridMultilevel"/>
    <w:lvl w:ilvl="0">
      <w:lvlJc w:val="left"/>
      <w:lvlText w:val="%1."/>
      <w:numFmt w:val="decimal"/>
      <w:start w:val="14"/>
    </w:lvl>
  </w:abstractNum>
  <w:abstractNum w:abstractNumId="12">
    <w:nsid w:val="519B500D"/>
    <w:multiLevelType w:val="hybridMultilevel"/>
    <w:lvl w:ilvl="0">
      <w:lvlJc w:val="left"/>
      <w:lvlText w:val="%1."/>
      <w:numFmt w:val="decimal"/>
      <w:start w:val="15"/>
    </w:lvl>
  </w:abstractNum>
  <w:abstractNum w:abstractNumId="13">
    <w:nsid w:val="431BD7B7"/>
    <w:multiLevelType w:val="hybridMultilevel"/>
    <w:lvl w:ilvl="0">
      <w:lvlJc w:val="left"/>
      <w:lvlText w:val="%1."/>
      <w:numFmt w:val="decimal"/>
      <w:start w:val="16"/>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18"/>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2019-12-12T10:24:11Z</dcterms:created>
  <dcterms:modified xsi:type="dcterms:W3CDTF">2019-12-12T10:24:11Z</dcterms:modified>
</cp:coreProperties>
</file>