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Andrew Gould</w:t>
            </w:r>
          </w:p>
        </w:tc>
        <w:tc>
          <w:tcPr>
            <w:tcW w:w="19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continue"/>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gridSpan w:val="2"/>
            <w:vMerge w:val="continue"/>
          </w:tcPr>
          <w:p>
            <w:pPr>
              <w:spacing w:after="0"/>
              <w:rPr>
                <w:sz w:val="8"/>
                <w:szCs w:val="8"/>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gridSpan w:val="2"/>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40" w:type="dxa"/>
            <w:vAlign w:val="bottom"/>
            <w:tcBorders>
              <w:top w:val="single" w:sz="8" w:color="auto"/>
              <w:left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8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1"/>
              </w:rPr>
              <w:t>Title of the</w:t>
            </w:r>
          </w:p>
        </w:tc>
        <w:tc>
          <w:tcPr>
            <w:tcW w:w="246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w w:val="87"/>
              </w:rPr>
              <w:t>(b)</w:t>
            </w:r>
            <w:r>
              <w:rPr>
                <w:rFonts w:ascii="Arial" w:cs="Arial" w:eastAsia="Arial" w:hAnsi="Arial"/>
                <w:sz w:val="13"/>
                <w:szCs w:val="13"/>
                <w:b w:val="1"/>
                <w:bCs w:val="1"/>
                <w:color w:val="auto"/>
                <w:w w:val="87"/>
              </w:rPr>
              <w:t>Name and Address of Each Broker</w:t>
            </w:r>
          </w:p>
        </w:tc>
        <w:tc>
          <w:tcPr>
            <w:tcW w:w="1180" w:type="dxa"/>
            <w:vAlign w:val="bottom"/>
            <w:tcBorders>
              <w:top w:val="single" w:sz="8" w:color="auto"/>
              <w:right w:val="single" w:sz="8" w:color="auto"/>
            </w:tcBorders>
            <w:gridSpan w:val="2"/>
            <w:shd w:val="clear" w:color="auto" w:fill="BFBFBF"/>
          </w:tcPr>
          <w:p>
            <w:pPr>
              <w:jc w:val="center"/>
              <w:spacing w:after="0" w:line="131" w:lineRule="exact"/>
              <w:rPr>
                <w:sz w:val="20"/>
                <w:szCs w:val="20"/>
                <w:color w:val="auto"/>
              </w:rPr>
            </w:pPr>
            <w:r>
              <w:rPr>
                <w:rFonts w:ascii="Arial" w:cs="Arial" w:eastAsia="Arial" w:hAnsi="Arial"/>
                <w:sz w:val="13"/>
                <w:szCs w:val="13"/>
                <w:b w:val="1"/>
                <w:bCs w:val="1"/>
                <w:color w:val="auto"/>
                <w:w w:val="92"/>
              </w:rPr>
              <w:t>SEC USE ONLY</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(c)</w:t>
            </w:r>
          </w:p>
        </w:tc>
        <w:tc>
          <w:tcPr>
            <w:tcW w:w="10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28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(d)</w:t>
            </w:r>
          </w:p>
        </w:tc>
        <w:tc>
          <w:tcPr>
            <w:tcW w:w="9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22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w w:val="87"/>
              </w:rPr>
              <w:t>(e)</w:t>
            </w:r>
          </w:p>
        </w:tc>
        <w:tc>
          <w:tcPr>
            <w:tcW w:w="11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i w:val="1"/>
                <w:iCs w:val="1"/>
                <w:color w:val="auto"/>
              </w:rPr>
              <w:t>(f)</w:t>
            </w:r>
          </w:p>
        </w:tc>
        <w:tc>
          <w:tcPr>
            <w:tcW w:w="980" w:type="dxa"/>
            <w:vAlign w:val="bottom"/>
            <w:tcBorders>
              <w:top w:val="single" w:sz="8" w:color="auto"/>
              <w:right w:val="single" w:sz="8" w:color="auto"/>
            </w:tcBorders>
          </w:tcPr>
          <w:p>
            <w:pPr>
              <w:jc w:val="center"/>
              <w:ind w:right="36"/>
              <w:spacing w:after="0" w:line="131" w:lineRule="exact"/>
              <w:rPr>
                <w:sz w:val="20"/>
                <w:szCs w:val="20"/>
                <w:color w:val="auto"/>
              </w:rPr>
            </w:pPr>
            <w:r>
              <w:rPr>
                <w:rFonts w:ascii="Arial" w:cs="Arial" w:eastAsia="Arial" w:hAnsi="Arial"/>
                <w:sz w:val="13"/>
                <w:szCs w:val="13"/>
                <w:b w:val="1"/>
                <w:bCs w:val="1"/>
                <w:color w:val="auto"/>
                <w:w w:val="90"/>
              </w:rPr>
              <w:t>Approximate</w:t>
            </w:r>
          </w:p>
        </w:tc>
        <w:tc>
          <w:tcPr>
            <w:tcW w:w="3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(g)</w:t>
            </w:r>
          </w:p>
        </w:tc>
        <w:tc>
          <w:tcPr>
            <w:tcW w:w="980" w:type="dxa"/>
            <w:vAlign w:val="bottom"/>
            <w:tcBorders>
              <w:top w:val="single" w:sz="8" w:color="auto"/>
              <w:right w:val="single" w:sz="8" w:color="auto"/>
            </w:tcBorders>
          </w:tcPr>
          <w:p>
            <w:pPr>
              <w:jc w:val="center"/>
              <w:ind w:right="36"/>
              <w:spacing w:after="0" w:line="131"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99"/>
        </w:trPr>
        <w:tc>
          <w:tcPr>
            <w:tcW w:w="340" w:type="dxa"/>
            <w:vAlign w:val="bottom"/>
            <w:tcBorders>
              <w:left w:val="single" w:sz="8" w:color="auto"/>
            </w:tcBorders>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82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460" w:type="dxa"/>
            <w:vAlign w:val="bottom"/>
            <w:tcBorders>
              <w:right w:val="single" w:sz="8" w:color="auto"/>
            </w:tcBorders>
          </w:tcPr>
          <w:p>
            <w:pPr>
              <w:jc w:val="center"/>
              <w:ind w:left="198"/>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700" w:type="dxa"/>
            <w:vAlign w:val="bottom"/>
            <w:tcBorders>
              <w:bottom w:val="single" w:sz="8" w:color="auto"/>
            </w:tcBorders>
            <w:shd w:val="clear" w:color="auto" w:fill="BFBFBF"/>
          </w:tcPr>
          <w:p>
            <w:pPr>
              <w:spacing w:after="0"/>
              <w:rPr>
                <w:sz w:val="8"/>
                <w:szCs w:val="8"/>
                <w:color w:val="auto"/>
              </w:rPr>
            </w:pPr>
          </w:p>
        </w:tc>
        <w:tc>
          <w:tcPr>
            <w:tcW w:w="4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280" w:type="dxa"/>
            <w:vAlign w:val="bottom"/>
          </w:tcPr>
          <w:p>
            <w:pPr>
              <w:spacing w:after="0"/>
              <w:rPr>
                <w:sz w:val="8"/>
                <w:szCs w:val="8"/>
                <w:color w:val="auto"/>
              </w:rPr>
            </w:pPr>
          </w:p>
        </w:tc>
        <w:tc>
          <w:tcPr>
            <w:tcW w:w="96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22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Borders>
              <w:right w:val="single" w:sz="8" w:color="auto"/>
            </w:tcBorders>
          </w:tcPr>
          <w:p>
            <w:pPr>
              <w:jc w:val="center"/>
              <w:ind w:right="36"/>
              <w:spacing w:after="0" w:line="100" w:lineRule="exact"/>
              <w:rPr>
                <w:sz w:val="20"/>
                <w:szCs w:val="20"/>
                <w:color w:val="auto"/>
              </w:rPr>
            </w:pPr>
            <w:r>
              <w:rPr>
                <w:rFonts w:ascii="Arial" w:cs="Arial" w:eastAsia="Arial" w:hAnsi="Arial"/>
                <w:sz w:val="11"/>
                <w:szCs w:val="11"/>
                <w:b w:val="1"/>
                <w:bCs w:val="1"/>
                <w:color w:val="auto"/>
              </w:rPr>
              <w:t>Date of Sale</w:t>
            </w:r>
          </w:p>
        </w:tc>
        <w:tc>
          <w:tcPr>
            <w:tcW w:w="360" w:type="dxa"/>
            <w:vAlign w:val="bottom"/>
          </w:tcPr>
          <w:p>
            <w:pPr>
              <w:spacing w:after="0"/>
              <w:rPr>
                <w:sz w:val="8"/>
                <w:szCs w:val="8"/>
                <w:color w:val="auto"/>
              </w:rPr>
            </w:pPr>
          </w:p>
        </w:tc>
        <w:tc>
          <w:tcPr>
            <w:tcW w:w="980" w:type="dxa"/>
            <w:vAlign w:val="bottom"/>
            <w:tcBorders>
              <w:right w:val="single" w:sz="8" w:color="auto"/>
            </w:tcBorders>
          </w:tcPr>
          <w:p>
            <w:pPr>
              <w:jc w:val="center"/>
              <w:ind w:right="36"/>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340" w:type="dxa"/>
            <w:vAlign w:val="bottom"/>
            <w:tcBorders>
              <w:lef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tcPr>
          <w:p>
            <w:pPr>
              <w:jc w:val="center"/>
              <w:ind w:left="198"/>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1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ind w:right="36"/>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360" w:type="dxa"/>
            <w:vAlign w:val="bottom"/>
          </w:tcPr>
          <w:p>
            <w:pPr>
              <w:spacing w:after="0"/>
              <w:rPr>
                <w:sz w:val="12"/>
                <w:szCs w:val="12"/>
                <w:color w:val="auto"/>
              </w:rPr>
            </w:pPr>
          </w:p>
        </w:tc>
        <w:tc>
          <w:tcPr>
            <w:tcW w:w="980" w:type="dxa"/>
            <w:vAlign w:val="bottom"/>
            <w:tcBorders>
              <w:right w:val="single" w:sz="8" w:color="auto"/>
            </w:tcBorders>
          </w:tcPr>
          <w:p>
            <w:pPr>
              <w:jc w:val="center"/>
              <w:ind w:right="36"/>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340" w:type="dxa"/>
            <w:vAlign w:val="bottom"/>
            <w:tcBorders>
              <w:lef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tcPr>
          <w:p>
            <w:pPr>
              <w:jc w:val="center"/>
              <w:ind w:left="198"/>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180" w:type="dxa"/>
            <w:vAlign w:val="bottom"/>
            <w:tcBorders>
              <w:right w:val="single" w:sz="8" w:color="auto"/>
            </w:tcBorders>
            <w:gridSpan w:val="2"/>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ind w:right="36"/>
              <w:spacing w:after="0" w:line="148" w:lineRule="exact"/>
              <w:rPr>
                <w:sz w:val="20"/>
                <w:szCs w:val="20"/>
                <w:color w:val="auto"/>
              </w:rPr>
            </w:pPr>
            <w:r>
              <w:rPr>
                <w:rFonts w:ascii="Arial" w:cs="Arial" w:eastAsia="Arial" w:hAnsi="Arial"/>
                <w:sz w:val="13"/>
                <w:szCs w:val="13"/>
                <w:color w:val="auto"/>
                <w:w w:val="94"/>
              </w:rPr>
              <w:t>(MO. DAY YR.)</w:t>
            </w:r>
          </w:p>
        </w:tc>
        <w:tc>
          <w:tcPr>
            <w:tcW w:w="360" w:type="dxa"/>
            <w:vAlign w:val="bottom"/>
          </w:tcPr>
          <w:p>
            <w:pPr>
              <w:spacing w:after="0"/>
              <w:rPr>
                <w:sz w:val="12"/>
                <w:szCs w:val="12"/>
                <w:color w:val="auto"/>
              </w:rPr>
            </w:pPr>
          </w:p>
        </w:tc>
        <w:tc>
          <w:tcPr>
            <w:tcW w:w="980" w:type="dxa"/>
            <w:vAlign w:val="bottom"/>
            <w:tcBorders>
              <w:right w:val="single" w:sz="8" w:color="auto"/>
            </w:tcBorders>
          </w:tcPr>
          <w:p>
            <w:pPr>
              <w:jc w:val="center"/>
              <w:ind w:right="56"/>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shd w:val="clear" w:color="auto" w:fill="BFBFBF"/>
          </w:tcPr>
          <w:p>
            <w:pPr>
              <w:spacing w:after="0"/>
              <w:rPr>
                <w:sz w:val="12"/>
                <w:szCs w:val="12"/>
                <w:color w:val="auto"/>
              </w:rPr>
            </w:pPr>
          </w:p>
        </w:tc>
        <w:tc>
          <w:tcPr>
            <w:tcW w:w="480" w:type="dxa"/>
            <w:vAlign w:val="bottom"/>
            <w:tcBorders>
              <w:bottom w:val="single" w:sz="8" w:color="auto"/>
              <w:right w:val="single" w:sz="8" w:color="auto"/>
            </w:tcBorders>
            <w:shd w:val="clear" w:color="auto" w:fill="BFBFBF"/>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700" w:type="dxa"/>
            <w:vAlign w:val="bottom"/>
            <w:shd w:val="clear" w:color="auto" w:fill="BFBFBF"/>
          </w:tcPr>
          <w:p>
            <w:pPr>
              <w:spacing w:after="0"/>
              <w:rPr>
                <w:sz w:val="13"/>
                <w:szCs w:val="13"/>
                <w:color w:val="auto"/>
              </w:rPr>
            </w:pPr>
          </w:p>
        </w:tc>
        <w:tc>
          <w:tcPr>
            <w:tcW w:w="480" w:type="dxa"/>
            <w:vAlign w:val="bottom"/>
            <w:tcBorders>
              <w:right w:val="single" w:sz="8" w:color="auto"/>
            </w:tcBorders>
            <w:shd w:val="clear" w:color="auto" w:fill="BFBFBF"/>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24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700" w:type="dxa"/>
            <w:vAlign w:val="bottom"/>
            <w:shd w:val="clear" w:color="auto" w:fill="BFBFBF"/>
          </w:tcPr>
          <w:p>
            <w:pPr>
              <w:spacing w:after="0"/>
              <w:rPr>
                <w:sz w:val="12"/>
                <w:szCs w:val="12"/>
                <w:color w:val="auto"/>
              </w:rPr>
            </w:pPr>
          </w:p>
        </w:tc>
        <w:tc>
          <w:tcPr>
            <w:tcW w:w="480" w:type="dxa"/>
            <w:vAlign w:val="bottom"/>
            <w:tcBorders>
              <w:right w:val="single" w:sz="8" w:color="auto"/>
            </w:tcBorders>
            <w:shd w:val="clear" w:color="auto" w:fill="BFBFBF"/>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right w:val="single" w:sz="8" w:color="auto"/>
            </w:tcBorders>
          </w:tcPr>
          <w:p>
            <w:pPr>
              <w:jc w:val="right"/>
              <w:ind w:right="416"/>
              <w:spacing w:after="0" w:line="149" w:lineRule="exact"/>
              <w:rPr>
                <w:sz w:val="20"/>
                <w:szCs w:val="20"/>
                <w:color w:val="auto"/>
              </w:rPr>
            </w:pPr>
            <w:r>
              <w:rPr>
                <w:rFonts w:ascii="Arial" w:cs="Arial" w:eastAsia="Arial" w:hAnsi="Arial"/>
                <w:sz w:val="14"/>
                <w:szCs w:val="14"/>
                <w:color w:val="auto"/>
              </w:rPr>
              <w:t>411,880</w:t>
            </w:r>
          </w:p>
        </w:tc>
        <w:tc>
          <w:tcPr>
            <w:tcW w:w="124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$26,978,140.00</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right"/>
              <w:ind w:right="216"/>
              <w:spacing w:after="0" w:line="149" w:lineRule="exact"/>
              <w:rPr>
                <w:sz w:val="20"/>
                <w:szCs w:val="20"/>
                <w:color w:val="auto"/>
              </w:rPr>
            </w:pPr>
            <w:r>
              <w:rPr>
                <w:rFonts w:ascii="Arial" w:cs="Arial" w:eastAsia="Arial" w:hAnsi="Arial"/>
                <w:sz w:val="14"/>
                <w:szCs w:val="14"/>
                <w:color w:val="auto"/>
                <w:w w:val="93"/>
              </w:rPr>
              <w:t>1,177,893,459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tcPr>
          <w:p>
            <w:pPr>
              <w:jc w:val="right"/>
              <w:ind w:right="336"/>
              <w:spacing w:after="0" w:line="149" w:lineRule="exact"/>
              <w:rPr>
                <w:sz w:val="20"/>
                <w:szCs w:val="20"/>
                <w:color w:val="auto"/>
              </w:rPr>
            </w:pPr>
            <w:r>
              <w:rPr>
                <w:rFonts w:ascii="Arial" w:cs="Arial" w:eastAsia="Arial" w:hAnsi="Arial"/>
                <w:sz w:val="14"/>
                <w:szCs w:val="14"/>
                <w:color w:val="auto"/>
              </w:rPr>
              <w:t>02/06/07</w:t>
            </w:r>
          </w:p>
        </w:tc>
        <w:tc>
          <w:tcPr>
            <w:tcW w:w="360" w:type="dxa"/>
            <w:vAlign w:val="bottom"/>
          </w:tcPr>
          <w:p>
            <w:pPr>
              <w:spacing w:after="0"/>
              <w:rPr>
                <w:sz w:val="12"/>
                <w:szCs w:val="12"/>
                <w:color w:val="auto"/>
              </w:rPr>
            </w:pPr>
          </w:p>
        </w:tc>
        <w:tc>
          <w:tcPr>
            <w:tcW w:w="9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700" w:type="dxa"/>
            <w:vAlign w:val="bottom"/>
            <w:tcBorders>
              <w:bottom w:val="single" w:sz="8" w:color="auto"/>
            </w:tcBorders>
            <w:shd w:val="clear" w:color="auto" w:fill="BFBFBF"/>
          </w:tcPr>
          <w:p>
            <w:pPr>
              <w:spacing w:after="0"/>
              <w:rPr>
                <w:sz w:val="16"/>
                <w:szCs w:val="16"/>
                <w:color w:val="auto"/>
              </w:rPr>
            </w:pPr>
          </w:p>
        </w:tc>
        <w:tc>
          <w:tcPr>
            <w:tcW w:w="480" w:type="dxa"/>
            <w:vAlign w:val="bottom"/>
            <w:tcBorders>
              <w:bottom w:val="single" w:sz="8" w:color="auto"/>
              <w:right w:val="single" w:sz="8" w:color="auto"/>
            </w:tcBorders>
            <w:shd w:val="clear" w:color="auto" w:fill="BFBFBF"/>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UBS</w:t>
            </w:r>
          </w:p>
        </w:tc>
        <w:tc>
          <w:tcPr>
            <w:tcW w:w="700" w:type="dxa"/>
            <w:vAlign w:val="bottom"/>
            <w:shd w:val="clear" w:color="auto" w:fill="BFBFBF"/>
          </w:tcPr>
          <w:p>
            <w:pPr>
              <w:spacing w:after="0"/>
              <w:rPr>
                <w:sz w:val="13"/>
                <w:szCs w:val="13"/>
                <w:color w:val="auto"/>
              </w:rPr>
            </w:pPr>
          </w:p>
        </w:tc>
        <w:tc>
          <w:tcPr>
            <w:tcW w:w="480" w:type="dxa"/>
            <w:vAlign w:val="bottom"/>
            <w:tcBorders>
              <w:right w:val="single" w:sz="8" w:color="auto"/>
            </w:tcBorders>
            <w:shd w:val="clear" w:color="auto" w:fill="BFBFBF"/>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4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1 Finsbury Avenue</w:t>
            </w:r>
          </w:p>
        </w:tc>
        <w:tc>
          <w:tcPr>
            <w:tcW w:w="700" w:type="dxa"/>
            <w:vAlign w:val="bottom"/>
            <w:shd w:val="clear" w:color="auto" w:fill="BFBFBF"/>
          </w:tcPr>
          <w:p>
            <w:pPr>
              <w:spacing w:after="0"/>
              <w:rPr>
                <w:sz w:val="12"/>
                <w:szCs w:val="12"/>
                <w:color w:val="auto"/>
              </w:rPr>
            </w:pPr>
          </w:p>
        </w:tc>
        <w:tc>
          <w:tcPr>
            <w:tcW w:w="480" w:type="dxa"/>
            <w:vAlign w:val="bottom"/>
            <w:tcBorders>
              <w:right w:val="single" w:sz="8" w:color="auto"/>
            </w:tcBorders>
            <w:shd w:val="clear" w:color="auto" w:fill="BFBFBF"/>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416"/>
              <w:spacing w:after="0"/>
              <w:rPr>
                <w:sz w:val="20"/>
                <w:szCs w:val="20"/>
                <w:color w:val="auto"/>
              </w:rPr>
            </w:pPr>
            <w:r>
              <w:rPr>
                <w:rFonts w:ascii="Arial" w:cs="Arial" w:eastAsia="Arial" w:hAnsi="Arial"/>
                <w:sz w:val="14"/>
                <w:szCs w:val="14"/>
                <w:color w:val="auto"/>
              </w:rPr>
              <w:t>100,000</w:t>
            </w:r>
          </w:p>
        </w:tc>
        <w:tc>
          <w:tcPr>
            <w:tcW w:w="12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$6,550,000.00</w:t>
            </w:r>
          </w:p>
        </w:tc>
        <w:tc>
          <w:tcPr>
            <w:tcW w:w="220" w:type="dxa"/>
            <w:vAlign w:val="bottom"/>
          </w:tcPr>
          <w:p>
            <w:pPr>
              <w:spacing w:after="0"/>
              <w:rPr>
                <w:sz w:val="12"/>
                <w:szCs w:val="12"/>
                <w:color w:val="auto"/>
              </w:rPr>
            </w:pPr>
          </w:p>
        </w:tc>
        <w:tc>
          <w:tcPr>
            <w:tcW w:w="1140" w:type="dxa"/>
            <w:vAlign w:val="bottom"/>
            <w:tcBorders>
              <w:right w:val="single" w:sz="8" w:color="auto"/>
            </w:tcBorders>
            <w:vMerge w:val="restart"/>
          </w:tcPr>
          <w:p>
            <w:pPr>
              <w:jc w:val="right"/>
              <w:ind w:right="216"/>
              <w:spacing w:after="0"/>
              <w:rPr>
                <w:sz w:val="20"/>
                <w:szCs w:val="20"/>
                <w:color w:val="auto"/>
              </w:rPr>
            </w:pPr>
            <w:r>
              <w:rPr>
                <w:rFonts w:ascii="Arial" w:cs="Arial" w:eastAsia="Arial" w:hAnsi="Arial"/>
                <w:sz w:val="14"/>
                <w:szCs w:val="14"/>
                <w:color w:val="auto"/>
                <w:w w:val="93"/>
              </w:rPr>
              <w:t>1,177,893,459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336"/>
              <w:spacing w:after="0"/>
              <w:rPr>
                <w:sz w:val="20"/>
                <w:szCs w:val="20"/>
                <w:color w:val="auto"/>
              </w:rPr>
            </w:pPr>
            <w:r>
              <w:rPr>
                <w:rFonts w:ascii="Arial" w:cs="Arial" w:eastAsia="Arial" w:hAnsi="Arial"/>
                <w:sz w:val="14"/>
                <w:szCs w:val="14"/>
                <w:color w:val="auto"/>
              </w:rPr>
              <w:t>02/06/07</w:t>
            </w:r>
          </w:p>
        </w:tc>
        <w:tc>
          <w:tcPr>
            <w:tcW w:w="360" w:type="dxa"/>
            <w:vAlign w:val="bottom"/>
          </w:tcPr>
          <w:p>
            <w:pPr>
              <w:spacing w:after="0"/>
              <w:rPr>
                <w:sz w:val="12"/>
                <w:szCs w:val="12"/>
                <w:color w:val="auto"/>
              </w:rPr>
            </w:pPr>
          </w:p>
        </w:tc>
        <w:tc>
          <w:tcPr>
            <w:tcW w:w="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01"/>
        </w:trPr>
        <w:tc>
          <w:tcPr>
            <w:tcW w:w="1160" w:type="dxa"/>
            <w:vAlign w:val="bottom"/>
            <w:tcBorders>
              <w:left w:val="single" w:sz="8" w:color="auto"/>
              <w:right w:val="single" w:sz="8" w:color="auto"/>
            </w:tcBorders>
            <w:gridSpan w:val="2"/>
            <w:vMerge w:val="continue"/>
          </w:tcPr>
          <w:p>
            <w:pPr>
              <w:spacing w:after="0"/>
              <w:rPr>
                <w:sz w:val="8"/>
                <w:szCs w:val="8"/>
                <w:color w:val="auto"/>
              </w:rPr>
            </w:pPr>
          </w:p>
        </w:tc>
        <w:tc>
          <w:tcPr>
            <w:tcW w:w="24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London EC2M 2PP</w:t>
            </w:r>
          </w:p>
        </w:tc>
        <w:tc>
          <w:tcPr>
            <w:tcW w:w="700" w:type="dxa"/>
            <w:vAlign w:val="bottom"/>
            <w:shd w:val="clear" w:color="auto" w:fill="BFBFBF"/>
          </w:tcPr>
          <w:p>
            <w:pPr>
              <w:spacing w:after="0"/>
              <w:rPr>
                <w:sz w:val="8"/>
                <w:szCs w:val="8"/>
                <w:color w:val="auto"/>
              </w:rPr>
            </w:pPr>
          </w:p>
        </w:tc>
        <w:tc>
          <w:tcPr>
            <w:tcW w:w="480" w:type="dxa"/>
            <w:vAlign w:val="bottom"/>
            <w:tcBorders>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40" w:type="dxa"/>
            <w:vAlign w:val="bottom"/>
            <w:tcBorders>
              <w:lef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2460" w:type="dxa"/>
            <w:vAlign w:val="bottom"/>
            <w:tcBorders>
              <w:right w:val="single" w:sz="8" w:color="auto"/>
            </w:tcBorders>
            <w:vMerge w:val="continue"/>
          </w:tcPr>
          <w:p>
            <w:pPr>
              <w:spacing w:after="0"/>
              <w:rPr>
                <w:sz w:val="4"/>
                <w:szCs w:val="4"/>
                <w:color w:val="auto"/>
              </w:rPr>
            </w:pPr>
          </w:p>
        </w:tc>
        <w:tc>
          <w:tcPr>
            <w:tcW w:w="700" w:type="dxa"/>
            <w:vAlign w:val="bottom"/>
            <w:shd w:val="clear" w:color="auto" w:fill="BFBFBF"/>
          </w:tcPr>
          <w:p>
            <w:pPr>
              <w:spacing w:after="0"/>
              <w:rPr>
                <w:sz w:val="4"/>
                <w:szCs w:val="4"/>
                <w:color w:val="auto"/>
              </w:rPr>
            </w:pPr>
          </w:p>
        </w:tc>
        <w:tc>
          <w:tcPr>
            <w:tcW w:w="480" w:type="dxa"/>
            <w:vAlign w:val="bottom"/>
            <w:tcBorders>
              <w:right w:val="single" w:sz="8" w:color="auto"/>
            </w:tcBorders>
            <w:shd w:val="clear" w:color="auto" w:fill="BFBFBF"/>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Kingdom</w:t>
            </w:r>
          </w:p>
        </w:tc>
        <w:tc>
          <w:tcPr>
            <w:tcW w:w="700" w:type="dxa"/>
            <w:vAlign w:val="bottom"/>
            <w:tcBorders>
              <w:bottom w:val="single" w:sz="8" w:color="auto"/>
            </w:tcBorders>
            <w:shd w:val="clear" w:color="auto" w:fill="BFBFBF"/>
          </w:tcPr>
          <w:p>
            <w:pPr>
              <w:spacing w:after="0"/>
              <w:rPr>
                <w:sz w:val="16"/>
                <w:szCs w:val="16"/>
                <w:color w:val="auto"/>
              </w:rPr>
            </w:pPr>
          </w:p>
        </w:tc>
        <w:tc>
          <w:tcPr>
            <w:tcW w:w="480" w:type="dxa"/>
            <w:vAlign w:val="bottom"/>
            <w:tcBorders>
              <w:bottom w:val="single" w:sz="8" w:color="auto"/>
              <w:right w:val="single" w:sz="8" w:color="auto"/>
            </w:tcBorders>
            <w:shd w:val="clear" w:color="auto" w:fill="BFBFBF"/>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shd w:val="clear" w:color="auto" w:fill="BFBFBF"/>
          </w:tcPr>
          <w:p>
            <w:pPr>
              <w:spacing w:after="0"/>
              <w:rPr>
                <w:sz w:val="17"/>
                <w:szCs w:val="17"/>
                <w:color w:val="auto"/>
              </w:rPr>
            </w:pPr>
          </w:p>
        </w:tc>
        <w:tc>
          <w:tcPr>
            <w:tcW w:w="4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INSTRUCTIONS:</w:t>
            </w:r>
          </w:p>
        </w:tc>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tcPr>
          <w:p>
            <w:pPr>
              <w:jc w:val="right"/>
              <w:ind w:right="15"/>
              <w:spacing w:after="0"/>
              <w:rPr>
                <w:sz w:val="20"/>
                <w:szCs w:val="20"/>
                <w:color w:val="auto"/>
              </w:rPr>
            </w:pPr>
            <w:r>
              <w:rPr>
                <w:rFonts w:ascii="Arial" w:cs="Arial" w:eastAsia="Arial" w:hAnsi="Arial"/>
                <w:sz w:val="13"/>
                <w:szCs w:val="13"/>
                <w:color w:val="auto"/>
              </w:rPr>
              <w:t>1.</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(a)  Name of issuer</w:t>
            </w:r>
          </w:p>
        </w:tc>
        <w:tc>
          <w:tcPr>
            <w:tcW w:w="700" w:type="dxa"/>
            <w:vAlign w:val="bottom"/>
          </w:tcPr>
          <w:p>
            <w:pPr>
              <w:ind w:left="260"/>
              <w:spacing w:after="0"/>
              <w:rPr>
                <w:sz w:val="20"/>
                <w:szCs w:val="20"/>
                <w:color w:val="auto"/>
              </w:rPr>
            </w:pPr>
            <w:r>
              <w:rPr>
                <w:rFonts w:ascii="Arial" w:cs="Arial" w:eastAsia="Arial" w:hAnsi="Arial"/>
                <w:sz w:val="13"/>
                <w:szCs w:val="13"/>
                <w:color w:val="auto"/>
              </w:rPr>
              <w:t>3.  (a)</w:t>
            </w:r>
          </w:p>
        </w:tc>
        <w:tc>
          <w:tcPr>
            <w:tcW w:w="2140" w:type="dxa"/>
            <w:vAlign w:val="bottom"/>
            <w:gridSpan w:val="4"/>
          </w:tcPr>
          <w:p>
            <w:pPr>
              <w:ind w:left="60"/>
              <w:spacing w:after="0"/>
              <w:rPr>
                <w:sz w:val="20"/>
                <w:szCs w:val="20"/>
                <w:color w:val="auto"/>
              </w:rPr>
            </w:pPr>
            <w:r>
              <w:rPr>
                <w:rFonts w:ascii="Arial" w:cs="Arial" w:eastAsia="Arial" w:hAnsi="Arial"/>
                <w:sz w:val="13"/>
                <w:szCs w:val="13"/>
                <w:color w:val="auto"/>
                <w:w w:val="90"/>
              </w:rPr>
              <w:t>Title of the class of securities to be sold</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(b)</w:t>
            </w:r>
          </w:p>
        </w:tc>
        <w:tc>
          <w:tcPr>
            <w:tcW w:w="4520" w:type="dxa"/>
            <w:vAlign w:val="bottom"/>
            <w:gridSpan w:val="8"/>
          </w:tcPr>
          <w:p>
            <w:pPr>
              <w:ind w:left="6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(c)</w:t>
            </w:r>
          </w:p>
        </w:tc>
        <w:tc>
          <w:tcPr>
            <w:tcW w:w="4780" w:type="dxa"/>
            <w:vAlign w:val="bottom"/>
            <w:gridSpan w:val="9"/>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(d)</w:t>
            </w:r>
          </w:p>
        </w:tc>
        <w:tc>
          <w:tcPr>
            <w:tcW w:w="6120" w:type="dxa"/>
            <w:vAlign w:val="bottom"/>
            <w:gridSpan w:val="11"/>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2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12"/>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00" w:type="dxa"/>
            <w:vAlign w:val="bottom"/>
            <w:gridSpan w:val="5"/>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93"/>
              </w:rPr>
              <w:t>Approximate date on which the securities are to be sold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jc w:val="right"/>
              <w:ind w:right="15"/>
              <w:spacing w:after="0" w:line="135" w:lineRule="exact"/>
              <w:rPr>
                <w:sz w:val="20"/>
                <w:szCs w:val="20"/>
                <w:color w:val="auto"/>
              </w:rPr>
            </w:pPr>
            <w:r>
              <w:rPr>
                <w:rFonts w:ascii="Arial" w:cs="Arial" w:eastAsia="Arial" w:hAnsi="Arial"/>
                <w:sz w:val="13"/>
                <w:szCs w:val="13"/>
                <w:color w:val="auto"/>
              </w:rPr>
              <w:t>2.</w:t>
            </w:r>
          </w:p>
        </w:tc>
        <w:tc>
          <w:tcPr>
            <w:tcW w:w="32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8"/>
              </w:rPr>
              <w:t>(a)  Name of person for whose account the securities are to be</w:t>
            </w:r>
          </w:p>
        </w:tc>
        <w:tc>
          <w:tcPr>
            <w:tcW w:w="700" w:type="dxa"/>
            <w:vAlign w:val="bottom"/>
          </w:tcPr>
          <w:p>
            <w:pPr>
              <w:ind w:left="480"/>
              <w:spacing w:after="0" w:line="135" w:lineRule="exact"/>
              <w:rPr>
                <w:sz w:val="20"/>
                <w:szCs w:val="20"/>
                <w:color w:val="auto"/>
              </w:rPr>
            </w:pPr>
            <w:r>
              <w:rPr>
                <w:rFonts w:ascii="Arial" w:cs="Arial" w:eastAsia="Arial" w:hAnsi="Arial"/>
                <w:sz w:val="13"/>
                <w:szCs w:val="13"/>
                <w:color w:val="auto"/>
              </w:rPr>
              <w:t>(g)</w:t>
            </w:r>
          </w:p>
        </w:tc>
        <w:tc>
          <w:tcPr>
            <w:tcW w:w="4520" w:type="dxa"/>
            <w:vAlign w:val="bottom"/>
            <w:gridSpan w:val="8"/>
          </w:tcPr>
          <w:p>
            <w:pPr>
              <w:ind w:left="6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820" w:type="dxa"/>
            <w:vAlign w:val="bottom"/>
          </w:tcPr>
          <w:p>
            <w:pPr>
              <w:ind w:left="340"/>
              <w:spacing w:after="0" w:line="145" w:lineRule="exact"/>
              <w:rPr>
                <w:sz w:val="20"/>
                <w:szCs w:val="20"/>
                <w:color w:val="auto"/>
              </w:rPr>
            </w:pPr>
            <w:r>
              <w:rPr>
                <w:rFonts w:ascii="Arial" w:cs="Arial" w:eastAsia="Arial" w:hAnsi="Arial"/>
                <w:sz w:val="13"/>
                <w:szCs w:val="13"/>
                <w:color w:val="auto"/>
              </w:rPr>
              <w:t>sold</w:t>
            </w:r>
          </w:p>
        </w:tc>
        <w:tc>
          <w:tcPr>
            <w:tcW w:w="2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02/06/07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411,880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02/06/07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09/05/03</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68,120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09/05/03</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08/31/05</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31,880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08/31/05</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228" w:right="239" w:bottom="0" w:gutter="0" w:footer="0" w:header="0"/>
        </w:sectPr>
      </w:pPr>
    </w:p>
    <w:p>
      <w:pPr>
        <w:spacing w:after="0" w:line="25" w:lineRule="exact"/>
        <w:rPr>
          <w:sz w:val="24"/>
          <w:szCs w:val="24"/>
          <w:color w:val="auto"/>
        </w:rPr>
      </w:pPr>
    </w:p>
    <w:p>
      <w:pPr>
        <w:ind w:left="1420" w:hanging="1552"/>
        <w:spacing w:after="0" w:line="224" w:lineRule="auto"/>
        <w:tabs>
          <w:tab w:leader="none" w:pos="14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1.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92" w:right="180" w:hanging="192"/>
        <w:spacing w:after="0" w:line="226" w:lineRule="auto"/>
        <w:tabs>
          <w:tab w:leader="none" w:pos="196"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30" w:lineRule="exact"/>
        <w:rPr>
          <w:sz w:val="24"/>
          <w:szCs w:val="24"/>
          <w:color w:val="auto"/>
        </w:rPr>
      </w:pPr>
    </w:p>
    <w:p>
      <w:pPr>
        <w:sectPr>
          <w:pgSz w:w="11900" w:h="16838" w:orient="portrait"/>
          <w:cols w:equalWidth="0" w:num="2">
            <w:col w:w="6540" w:space="428"/>
            <w:col w:w="4452"/>
          </w:cols>
          <w:pgMar w:left="240" w:top="228" w:right="23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720"/>
        <w:spacing w:after="0"/>
        <w:rPr>
          <w:sz w:val="20"/>
          <w:szCs w:val="20"/>
          <w:color w:val="auto"/>
        </w:rPr>
      </w:pPr>
      <w:r>
        <w:rPr>
          <w:rFonts w:ascii="Arial" w:cs="Arial" w:eastAsia="Arial" w:hAnsi="Arial"/>
          <w:sz w:val="14"/>
          <w:szCs w:val="14"/>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jc w:val="both"/>
        <w:ind w:left="80"/>
        <w:spacing w:after="0" w:line="302"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302" w:lineRule="auto"/>
        <w:rPr>
          <w:sz w:val="20"/>
          <w:szCs w:val="20"/>
          <w:color w:val="auto"/>
        </w:rPr>
      </w:pPr>
      <w:r>
        <w:rPr>
          <w:rFonts w:ascii="Arial" w:cs="Arial" w:eastAsia="Arial" w:hAnsi="Arial"/>
          <w:sz w:val="16"/>
          <w:szCs w:val="16"/>
          <w:i w:val="1"/>
          <w:iCs w:val="1"/>
          <w:color w:val="auto"/>
        </w:rPr>
        <w:t>The person for whose account the securities to which this notice relates are to be sold hereby represents by signing this notice that he does not know any material adverse information in regard to the current and prospective</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p>
      <w:pPr>
        <w:jc w:val="both"/>
        <w:ind w:left="80"/>
        <w:spacing w:after="0" w:line="286" w:lineRule="auto"/>
        <w:rPr>
          <w:sz w:val="20"/>
          <w:szCs w:val="20"/>
          <w:color w:val="auto"/>
        </w:rPr>
      </w:pPr>
      <w:r>
        <w:rPr>
          <w:rFonts w:ascii="Arial" w:cs="Arial" w:eastAsia="Arial" w:hAnsi="Arial"/>
          <w:sz w:val="17"/>
          <w:szCs w:val="17"/>
          <w:color w:val="auto"/>
        </w:rPr>
        <w:t>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i w:val="1"/>
          <w:iCs w:val="1"/>
          <w:color w:val="auto"/>
        </w:rPr>
        <w:t>operations of the Issuer of the securities to be sold which has not been publicly disclosed.</w:t>
      </w:r>
    </w:p>
    <w:p>
      <w:pPr>
        <w:spacing w:after="0" w:line="382" w:lineRule="exact"/>
        <w:rPr>
          <w:sz w:val="20"/>
          <w:szCs w:val="20"/>
          <w:color w:val="auto"/>
        </w:rPr>
      </w:pPr>
    </w:p>
    <w:p>
      <w:pPr>
        <w:sectPr>
          <w:pgSz w:w="11900" w:h="16838" w:orient="portrait"/>
          <w:cols w:equalWidth="0" w:num="2">
            <w:col w:w="5360" w:space="54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2/6/2007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Andrew Gould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2019-12-13T06:36:49Z</dcterms:created>
  <dcterms:modified xsi:type="dcterms:W3CDTF">2019-12-13T06:36:49Z</dcterms:modified>
</cp:coreProperties>
</file>