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26977ds3asr.htm"/>
        <w:bookmarkStart w:id="1" w:name="ksd526977ds3asr"/>
        <w:bookmarkEnd w:id="0"/>
        <w:bookmarkEnd w:id="1"/>
        <w:r>
          <w:rPr>
            <w:rStyle w:val="InternetLink"/>
          </w:rPr>
          <w:t>Table of Contents</w:t>
        </w:r>
      </w:hyperlink>
    </w:p>
    <w:p>
      <w:pPr>
        <w:pStyle w:val="TextBody"/>
        <w:bidi w:val="0"/>
        <w:spacing w:before="0" w:after="0"/>
        <w:jc w:val="center"/>
        <w:rPr>
          <w:rFonts w:ascii="ARIAL" w:hAnsi="ARIAL"/>
          <w:b/>
          <w:sz w:val="16"/>
        </w:rPr>
      </w:pPr>
      <w:r>
        <w:rPr>
          <w:rFonts w:ascii="ARIAL" w:hAnsi="ARIAL"/>
          <w:b/>
          <w:sz w:val="16"/>
        </w:rPr>
        <w:t xml:space="preserve">As filed with the Securities and Exchange Commission on August 14, 2023 </w:t>
      </w:r>
    </w:p>
    <w:p>
      <w:pPr>
        <w:pStyle w:val="TextBody"/>
        <w:bidi w:val="0"/>
        <w:spacing w:before="40" w:after="0"/>
        <w:jc w:val="right"/>
        <w:rPr>
          <w:rFonts w:ascii="ARIAL" w:hAnsi="ARIAL"/>
          <w:b/>
          <w:sz w:val="16"/>
        </w:rPr>
      </w:pPr>
      <w:r>
        <w:rPr>
          <w:rFonts w:ascii="ARIAL" w:hAnsi="ARIAL"/>
          <w:b/>
          <w:sz w:val="16"/>
        </w:rPr>
        <w:t xml:space="preserve">Registration No. 333-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ARIAL" w:hAnsi="ARIAL"/>
          <w:b/>
          <w:sz w:val="28"/>
        </w:rPr>
      </w:pPr>
      <w:r>
        <w:rPr>
          <w:rFonts w:ascii="ARIAL" w:hAnsi="ARIAL"/>
          <w:b/>
          <w:sz w:val="28"/>
        </w:rPr>
        <w:t xml:space="preserve">UNITED STATES </w:t>
      </w:r>
    </w:p>
    <w:p>
      <w:pPr>
        <w:pStyle w:val="TextBody"/>
        <w:bidi w:val="0"/>
        <w:spacing w:before="0" w:after="0"/>
        <w:jc w:val="center"/>
        <w:rPr>
          <w:rFonts w:ascii="ARIAL" w:hAnsi="ARIAL"/>
          <w:b/>
          <w:sz w:val="28"/>
        </w:rPr>
      </w:pPr>
      <w:r>
        <w:rPr>
          <w:rFonts w:ascii="ARIAL" w:hAnsi="ARIAL"/>
          <w:b/>
          <w:sz w:val="28"/>
        </w:rPr>
        <w:t xml:space="preserve">SECURITIES AND EXCHANGE COMMISSION </w:t>
      </w:r>
    </w:p>
    <w:p>
      <w:pPr>
        <w:pStyle w:val="TextBody"/>
        <w:bidi w:val="0"/>
        <w:spacing w:before="0" w:after="0"/>
        <w:jc w:val="center"/>
        <w:rPr>
          <w:rFonts w:ascii="ARIAL" w:hAnsi="ARIAL"/>
          <w:b/>
          <w:sz w:val="20"/>
        </w:rPr>
      </w:pPr>
      <w:r>
        <w:rPr>
          <w:rFonts w:ascii="ARIAL" w:hAnsi="ARIAL"/>
          <w:b/>
          <w:sz w:val="20"/>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ARIAL" w:hAnsi="ARIAL"/>
          <w:b/>
          <w:sz w:val="28"/>
        </w:rPr>
      </w:pPr>
      <w:r>
        <w:rPr>
          <w:rFonts w:ascii="ARIAL" w:hAnsi="ARIAL"/>
          <w:b/>
          <w:sz w:val="28"/>
        </w:rPr>
        <w:t xml:space="preserve">Form S-3 </w:t>
      </w:r>
    </w:p>
    <w:p>
      <w:pPr>
        <w:pStyle w:val="TextBody"/>
        <w:bidi w:val="0"/>
        <w:spacing w:before="0" w:after="0"/>
        <w:jc w:val="center"/>
        <w:rPr>
          <w:rFonts w:ascii="ARIAL" w:hAnsi="ARIAL"/>
          <w:b/>
          <w:sz w:val="28"/>
        </w:rPr>
      </w:pPr>
      <w:r>
        <w:rPr>
          <w:rFonts w:ascii="ARIAL" w:hAnsi="ARIAL"/>
          <w:b/>
          <w:sz w:val="28"/>
        </w:rPr>
        <w:t xml:space="preserve">REGISTRATION STATEMENT </w:t>
      </w:r>
    </w:p>
    <w:p>
      <w:pPr>
        <w:pStyle w:val="TextBody"/>
        <w:bidi w:val="0"/>
        <w:spacing w:before="0" w:after="0"/>
        <w:jc w:val="center"/>
        <w:rPr>
          <w:rFonts w:ascii="ARIAL" w:hAnsi="ARIAL"/>
          <w:b/>
          <w:i/>
          <w:sz w:val="20"/>
        </w:rPr>
      </w:pPr>
      <w:r>
        <w:rPr>
          <w:rFonts w:ascii="ARIAL" w:hAnsi="ARIAL"/>
          <w:b/>
          <w:i/>
          <w:sz w:val="20"/>
        </w:rPr>
        <w:t xml:space="preserve">UNDER </w:t>
      </w:r>
    </w:p>
    <w:p>
      <w:pPr>
        <w:pStyle w:val="TextBody"/>
        <w:bidi w:val="0"/>
        <w:spacing w:before="0" w:after="0"/>
        <w:jc w:val="center"/>
        <w:rPr>
          <w:rFonts w:ascii="ARIAL" w:hAnsi="ARIAL"/>
          <w:b/>
          <w:i/>
          <w:sz w:val="20"/>
        </w:rPr>
      </w:pPr>
      <w:r>
        <w:rPr>
          <w:rFonts w:ascii="ARIAL" w:hAnsi="ARIAL"/>
          <w:b/>
          <w:i/>
          <w:sz w:val="20"/>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ARIAL" w:hAnsi="ARIAL"/>
          <w:b/>
          <w:sz w:val="36"/>
        </w:rPr>
      </w:pPr>
      <w:r>
        <w:rPr>
          <w:rFonts w:ascii="ARIAL" w:hAnsi="ARIAL"/>
          <w:b/>
          <w:sz w:val="36"/>
        </w:rPr>
        <w:t xml:space="preserve">SCHLUMBERGER N.V. </w:t>
      </w:r>
    </w:p>
    <w:p>
      <w:pPr>
        <w:pStyle w:val="TextBody"/>
        <w:bidi w:val="0"/>
        <w:spacing w:before="0" w:after="0"/>
        <w:jc w:val="center"/>
        <w:rPr>
          <w:rFonts w:ascii="ARIAL" w:hAnsi="ARIAL"/>
          <w:b/>
          <w:sz w:val="36"/>
        </w:rPr>
      </w:pPr>
      <w:r>
        <w:rPr>
          <w:rFonts w:ascii="ARIAL" w:hAnsi="ARIAL"/>
          <w:b/>
          <w:sz w:val="36"/>
        </w:rPr>
        <w:t xml:space="preserve">(SCHLUMBERGER LIMITED) </w:t>
      </w:r>
    </w:p>
    <w:p>
      <w:pPr>
        <w:pStyle w:val="TextBody"/>
        <w:bidi w:val="0"/>
        <w:spacing w:before="0" w:after="0"/>
        <w:jc w:val="center"/>
        <w:rPr>
          <w:rFonts w:ascii="ARIAL" w:hAnsi="ARIAL"/>
          <w:b/>
          <w:sz w:val="16"/>
        </w:rPr>
      </w:pPr>
      <w:r>
        <w:rPr>
          <w:rFonts w:ascii="ARIAL" w:hAnsi="ARIAL"/>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101"/>
        <w:gridCol w:w="3368"/>
        <w:gridCol w:w="101"/>
        <w:gridCol w:w="3267"/>
      </w:tblGrid>
      <w:tr>
        <w:trPr/>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center"/>
              <w:rPr>
                <w:b/>
              </w:rPr>
            </w:pPr>
            <w:r>
              <w:rPr>
                <w:b/>
              </w:rPr>
              <w:t>Curaçao</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b/>
              </w:rPr>
            </w:pPr>
            <w:r>
              <w:rPr>
                <w:b/>
              </w:rPr>
              <w:t>1389</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52-0684746</w:t>
            </w:r>
          </w:p>
        </w:tc>
      </w:tr>
      <w:tr>
        <w:trPr/>
        <w:tc>
          <w:tcPr>
            <w:tcW w:w="3368" w:type="dxa"/>
            <w:tcBorders/>
          </w:tcPr>
          <w:p>
            <w:pPr>
              <w:pStyle w:val="TableContents"/>
              <w:bidi w:val="0"/>
              <w:spacing w:before="0" w:after="0"/>
              <w:jc w:val="center"/>
              <w:rPr>
                <w:rFonts w:ascii="ARIAL" w:hAnsi="ARIAL"/>
                <w:b/>
                <w:sz w:val="16"/>
              </w:rPr>
            </w:pPr>
            <w:r>
              <w:rPr>
                <w:rFonts w:ascii="ARIAL" w:hAnsi="ARIAL"/>
                <w:b/>
                <w:sz w:val="16"/>
              </w:rPr>
              <w:t>(State or other jurisdiction of</w:t>
            </w:r>
          </w:p>
          <w:p>
            <w:pPr>
              <w:pStyle w:val="TableContents"/>
              <w:bidi w:val="0"/>
              <w:spacing w:before="0" w:after="20"/>
              <w:jc w:val="center"/>
              <w:rPr>
                <w:rFonts w:ascii="ARIAL" w:hAnsi="ARIAL"/>
                <w:b/>
                <w:sz w:val="16"/>
              </w:rPr>
            </w:pPr>
            <w:r>
              <w:rPr>
                <w:rFonts w:ascii="ARIAL" w:hAnsi="ARIAL"/>
                <w:b/>
                <w:sz w:val="16"/>
              </w:rPr>
              <w:t>incorporation or organization)</w:t>
            </w:r>
          </w:p>
        </w:tc>
        <w:tc>
          <w:tcPr>
            <w:tcW w:w="101"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0"/>
              <w:jc w:val="center"/>
              <w:rPr>
                <w:rFonts w:ascii="ARIAL" w:hAnsi="ARIAL"/>
                <w:b/>
                <w:sz w:val="16"/>
              </w:rPr>
            </w:pPr>
            <w:r>
              <w:rPr>
                <w:rFonts w:ascii="ARIAL" w:hAnsi="ARIAL"/>
                <w:b/>
                <w:sz w:val="16"/>
              </w:rPr>
              <w:t>(Primary Standard Industrial</w:t>
            </w:r>
          </w:p>
          <w:p>
            <w:pPr>
              <w:pStyle w:val="TableContents"/>
              <w:bidi w:val="0"/>
              <w:spacing w:before="0" w:after="20"/>
              <w:jc w:val="center"/>
              <w:rPr>
                <w:rFonts w:ascii="ARIAL" w:hAnsi="ARIAL"/>
                <w:b/>
                <w:sz w:val="16"/>
              </w:rPr>
            </w:pPr>
            <w:r>
              <w:rPr>
                <w:rFonts w:ascii="ARIAL" w:hAnsi="ARIAL"/>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bl>
    <w:p>
      <w:pPr>
        <w:pStyle w:val="TextBody"/>
        <w:bidi w:val="0"/>
        <w:spacing w:before="40" w:after="0"/>
        <w:jc w:val="center"/>
        <w:rPr>
          <w:rFonts w:ascii="ARIAL" w:hAnsi="ARIAL"/>
          <w:b/>
          <w:sz w:val="16"/>
        </w:rPr>
      </w:pPr>
      <w:r>
        <w:rPr>
          <w:rFonts w:ascii="ARIAL" w:hAnsi="ARIAL"/>
          <w:b/>
          <w:sz w:val="16"/>
        </w:rPr>
        <w:t xml:space="preserve">42 rue Saint-Dominique </w:t>
      </w:r>
    </w:p>
    <w:p>
      <w:pPr>
        <w:pStyle w:val="TextBody"/>
        <w:bidi w:val="0"/>
        <w:spacing w:before="0" w:after="0"/>
        <w:jc w:val="center"/>
        <w:rPr>
          <w:rFonts w:ascii="ARIAL" w:hAnsi="ARIAL"/>
          <w:b/>
          <w:sz w:val="16"/>
        </w:rPr>
      </w:pPr>
      <w:r>
        <w:rPr>
          <w:rFonts w:ascii="ARIAL" w:hAnsi="ARIAL"/>
          <w:b/>
          <w:sz w:val="16"/>
        </w:rPr>
        <w:t xml:space="preserve">Paris, France 75007 </w:t>
      </w:r>
    </w:p>
    <w:p>
      <w:pPr>
        <w:pStyle w:val="TextBody"/>
        <w:bidi w:val="0"/>
        <w:spacing w:before="0" w:after="0"/>
        <w:jc w:val="center"/>
        <w:rPr>
          <w:rFonts w:ascii="ARIAL" w:hAnsi="ARIAL"/>
          <w:b/>
          <w:sz w:val="16"/>
        </w:rPr>
      </w:pPr>
      <w:r>
        <w:rPr>
          <w:rFonts w:ascii="ARIAL" w:hAnsi="ARIAL"/>
          <w:b/>
          <w:sz w:val="16"/>
        </w:rPr>
        <w:t xml:space="preserve">+33 1-4062-1000 </w:t>
      </w:r>
    </w:p>
    <w:p>
      <w:pPr>
        <w:pStyle w:val="TextBody"/>
        <w:bidi w:val="0"/>
        <w:spacing w:before="40" w:after="0"/>
        <w:jc w:val="center"/>
        <w:rPr>
          <w:rFonts w:ascii="ARIAL" w:hAnsi="ARIAL"/>
          <w:b/>
          <w:sz w:val="16"/>
        </w:rPr>
      </w:pPr>
      <w:r>
        <w:rPr>
          <w:rFonts w:ascii="ARIAL" w:hAnsi="ARIAL"/>
          <w:b/>
          <w:sz w:val="16"/>
        </w:rPr>
        <w:t xml:space="preserve">5599 San Felipe </w:t>
      </w:r>
    </w:p>
    <w:p>
      <w:pPr>
        <w:pStyle w:val="TextBody"/>
        <w:bidi w:val="0"/>
        <w:spacing w:before="0" w:after="0"/>
        <w:jc w:val="center"/>
        <w:rPr>
          <w:rFonts w:ascii="ARIAL" w:hAnsi="ARIAL"/>
          <w:b/>
          <w:sz w:val="16"/>
        </w:rPr>
      </w:pPr>
      <w:r>
        <w:rPr>
          <w:rFonts w:ascii="ARIAL" w:hAnsi="ARIAL"/>
          <w:b/>
          <w:sz w:val="16"/>
        </w:rPr>
        <w:t xml:space="preserve">Houston, Texas, U.S.A. 77056 </w:t>
      </w:r>
    </w:p>
    <w:p>
      <w:pPr>
        <w:pStyle w:val="TextBody"/>
        <w:bidi w:val="0"/>
        <w:spacing w:before="0" w:after="0"/>
        <w:jc w:val="center"/>
        <w:rPr>
          <w:rFonts w:ascii="ARIAL" w:hAnsi="ARIAL"/>
          <w:b/>
          <w:sz w:val="16"/>
        </w:rPr>
      </w:pPr>
      <w:r>
        <w:rPr>
          <w:rFonts w:ascii="ARIAL" w:hAnsi="ARIAL"/>
          <w:b/>
          <w:sz w:val="16"/>
        </w:rPr>
        <w:t xml:space="preserve">(713) 513-2000 </w:t>
      </w:r>
    </w:p>
    <w:p>
      <w:pPr>
        <w:pStyle w:val="TextBody"/>
        <w:bidi w:val="0"/>
        <w:spacing w:before="40" w:after="0"/>
        <w:jc w:val="center"/>
        <w:rPr>
          <w:rFonts w:ascii="ARIAL" w:hAnsi="ARIAL"/>
          <w:b/>
          <w:sz w:val="16"/>
        </w:rPr>
      </w:pPr>
      <w:r>
        <w:rPr>
          <w:rFonts w:ascii="ARIAL" w:hAnsi="ARIAL"/>
          <w:b/>
          <w:sz w:val="16"/>
        </w:rPr>
        <w:t xml:space="preserve">62 Buckingham Gate </w:t>
      </w:r>
    </w:p>
    <w:p>
      <w:pPr>
        <w:pStyle w:val="TextBody"/>
        <w:bidi w:val="0"/>
        <w:spacing w:before="0" w:after="0"/>
        <w:jc w:val="center"/>
        <w:rPr>
          <w:rFonts w:ascii="ARIAL" w:hAnsi="ARIAL"/>
          <w:b/>
          <w:sz w:val="16"/>
        </w:rPr>
      </w:pPr>
      <w:r>
        <w:rPr>
          <w:rFonts w:ascii="ARIAL" w:hAnsi="ARIAL"/>
          <w:b/>
          <w:sz w:val="16"/>
        </w:rPr>
        <w:t xml:space="preserve">London, United Kingdom SW1E 6AJ </w:t>
      </w:r>
    </w:p>
    <w:p>
      <w:pPr>
        <w:pStyle w:val="TextBody"/>
        <w:bidi w:val="0"/>
        <w:spacing w:before="0" w:after="0"/>
        <w:jc w:val="center"/>
        <w:rPr>
          <w:rFonts w:ascii="ARIAL" w:hAnsi="ARIAL"/>
          <w:b/>
          <w:sz w:val="16"/>
        </w:rPr>
      </w:pPr>
      <w:r>
        <w:rPr>
          <w:rFonts w:ascii="ARIAL" w:hAnsi="ARIAL"/>
          <w:b/>
          <w:sz w:val="16"/>
        </w:rPr>
        <w:t xml:space="preserve">+44 20-3708-3000 </w:t>
      </w:r>
    </w:p>
    <w:p>
      <w:pPr>
        <w:pStyle w:val="TextBody"/>
        <w:bidi w:val="0"/>
        <w:spacing w:before="40" w:after="0"/>
        <w:jc w:val="center"/>
        <w:rPr>
          <w:rFonts w:ascii="ARIAL" w:hAnsi="ARIAL"/>
          <w:b/>
          <w:sz w:val="16"/>
        </w:rPr>
      </w:pPr>
      <w:r>
        <w:rPr>
          <w:rFonts w:ascii="ARIAL" w:hAnsi="ARIAL"/>
          <w:b/>
          <w:sz w:val="16"/>
        </w:rPr>
        <w:t xml:space="preserve">Parkstraat 83 </w:t>
      </w:r>
    </w:p>
    <w:p>
      <w:pPr>
        <w:pStyle w:val="TextBody"/>
        <w:bidi w:val="0"/>
        <w:spacing w:before="0" w:after="0"/>
        <w:jc w:val="center"/>
        <w:rPr>
          <w:rFonts w:ascii="ARIAL" w:hAnsi="ARIAL"/>
          <w:b/>
          <w:sz w:val="16"/>
        </w:rPr>
      </w:pPr>
      <w:r>
        <w:rPr>
          <w:rFonts w:ascii="ARIAL" w:hAnsi="ARIAL"/>
          <w:b/>
          <w:sz w:val="16"/>
        </w:rPr>
        <w:t xml:space="preserve">The Hague, The Netherlands 2514 JG </w:t>
      </w:r>
    </w:p>
    <w:p>
      <w:pPr>
        <w:pStyle w:val="TextBody"/>
        <w:bidi w:val="0"/>
        <w:spacing w:before="0" w:after="0"/>
        <w:jc w:val="center"/>
        <w:rPr>
          <w:rFonts w:ascii="ARIAL" w:hAnsi="ARIAL"/>
          <w:b/>
          <w:sz w:val="16"/>
        </w:rPr>
      </w:pPr>
      <w:r>
        <w:rPr>
          <w:rFonts w:ascii="ARIAL" w:hAnsi="ARIAL"/>
          <w:b/>
          <w:sz w:val="16"/>
        </w:rPr>
        <w:t xml:space="preserve">31-70-310-5400 </w:t>
      </w:r>
    </w:p>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ARIAL" w:hAnsi="ARIAL"/>
          <w:b/>
          <w:sz w:val="16"/>
        </w:rPr>
      </w:pPr>
      <w:r>
        <w:rPr>
          <w:rFonts w:ascii="ARIAL" w:hAnsi="ARIAL"/>
          <w:b/>
          <w:sz w:val="16"/>
        </w:rPr>
        <w:t xml:space="preserve">Dianne B. Ralston </w:t>
      </w:r>
    </w:p>
    <w:p>
      <w:pPr>
        <w:pStyle w:val="TextBody"/>
        <w:bidi w:val="0"/>
        <w:spacing w:before="0" w:after="0"/>
        <w:jc w:val="center"/>
        <w:rPr>
          <w:rFonts w:ascii="ARIAL" w:hAnsi="ARIAL"/>
          <w:b/>
          <w:sz w:val="16"/>
        </w:rPr>
      </w:pPr>
      <w:r>
        <w:rPr>
          <w:rFonts w:ascii="ARIAL" w:hAnsi="ARIAL"/>
          <w:b/>
          <w:sz w:val="16"/>
        </w:rPr>
        <w:t xml:space="preserve">Chief Legal Officer and Secretary </w:t>
      </w:r>
    </w:p>
    <w:p>
      <w:pPr>
        <w:pStyle w:val="TextBody"/>
        <w:bidi w:val="0"/>
        <w:spacing w:before="0" w:after="0"/>
        <w:jc w:val="center"/>
        <w:rPr>
          <w:rFonts w:ascii="ARIAL" w:hAnsi="ARIAL"/>
          <w:b/>
          <w:sz w:val="16"/>
        </w:rPr>
      </w:pPr>
      <w:r>
        <w:rPr>
          <w:rFonts w:ascii="ARIAL" w:hAnsi="ARIAL"/>
          <w:b/>
          <w:sz w:val="16"/>
        </w:rPr>
        <w:t xml:space="preserve">Schlumberger Limited </w:t>
      </w:r>
    </w:p>
    <w:p>
      <w:pPr>
        <w:pStyle w:val="TextBody"/>
        <w:bidi w:val="0"/>
        <w:spacing w:before="0" w:after="0"/>
        <w:jc w:val="center"/>
        <w:rPr>
          <w:rFonts w:ascii="ARIAL" w:hAnsi="ARIAL"/>
          <w:b/>
          <w:sz w:val="16"/>
        </w:rPr>
      </w:pPr>
      <w:r>
        <w:rPr>
          <w:rFonts w:ascii="ARIAL" w:hAnsi="ARIAL"/>
          <w:b/>
          <w:sz w:val="16"/>
        </w:rPr>
        <w:t xml:space="preserve">5599 San Felipe Houston, Texas, U.S.A. 77056 </w:t>
      </w:r>
    </w:p>
    <w:p>
      <w:pPr>
        <w:pStyle w:val="TextBody"/>
        <w:bidi w:val="0"/>
        <w:spacing w:before="0" w:after="0"/>
        <w:jc w:val="center"/>
        <w:rPr>
          <w:rFonts w:ascii="ARIAL" w:hAnsi="ARIAL"/>
          <w:b/>
          <w:sz w:val="16"/>
        </w:rPr>
      </w:pPr>
      <w:r>
        <w:rPr>
          <w:rFonts w:ascii="ARIAL" w:hAnsi="ARIAL"/>
          <w:b/>
          <w:sz w:val="16"/>
        </w:rPr>
        <w:t xml:space="preserve">(713) 513-2000 </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ARIAL" w:hAnsi="ARIAL"/>
          <w:b/>
          <w:i/>
          <w:sz w:val="16"/>
        </w:rPr>
      </w:pPr>
      <w:r>
        <w:rPr>
          <w:rFonts w:ascii="ARIAL" w:hAnsi="ARIAL"/>
          <w:b/>
          <w:i/>
          <w:sz w:val="16"/>
        </w:rPr>
        <w:t xml:space="preserve">Copy to: </w:t>
      </w:r>
    </w:p>
    <w:p>
      <w:pPr>
        <w:pStyle w:val="TextBody"/>
        <w:bidi w:val="0"/>
        <w:spacing w:before="40" w:after="0"/>
        <w:jc w:val="center"/>
        <w:rPr>
          <w:rFonts w:ascii="ARIAL" w:hAnsi="ARIAL"/>
          <w:b/>
          <w:sz w:val="16"/>
        </w:rPr>
      </w:pPr>
      <w:r>
        <w:rPr>
          <w:rFonts w:ascii="ARIAL" w:hAnsi="ARIAL"/>
          <w:b/>
          <w:sz w:val="16"/>
        </w:rPr>
        <w:t xml:space="preserve">Andrew L. Fabens </w:t>
      </w:r>
    </w:p>
    <w:p>
      <w:pPr>
        <w:pStyle w:val="TextBody"/>
        <w:bidi w:val="0"/>
        <w:spacing w:before="0" w:after="0"/>
        <w:jc w:val="center"/>
        <w:rPr>
          <w:rFonts w:ascii="ARIAL" w:hAnsi="ARIAL"/>
          <w:b/>
          <w:sz w:val="16"/>
        </w:rPr>
      </w:pPr>
      <w:r>
        <w:rPr>
          <w:rFonts w:ascii="ARIAL" w:hAnsi="ARIAL"/>
          <w:b/>
          <w:sz w:val="16"/>
        </w:rPr>
        <w:t xml:space="preserve">Gibson, Dunn &amp; Crutcher LLP </w:t>
      </w:r>
    </w:p>
    <w:p>
      <w:pPr>
        <w:pStyle w:val="TextBody"/>
        <w:bidi w:val="0"/>
        <w:spacing w:before="0" w:after="0"/>
        <w:jc w:val="center"/>
        <w:rPr>
          <w:rFonts w:ascii="ARIAL" w:hAnsi="ARIAL"/>
          <w:b/>
          <w:sz w:val="16"/>
        </w:rPr>
      </w:pPr>
      <w:r>
        <w:rPr>
          <w:rFonts w:ascii="ARIAL" w:hAnsi="ARIAL"/>
          <w:b/>
          <w:sz w:val="16"/>
        </w:rPr>
        <w:t xml:space="preserve">200 Park Avenue </w:t>
      </w:r>
    </w:p>
    <w:p>
      <w:pPr>
        <w:pStyle w:val="TextBody"/>
        <w:bidi w:val="0"/>
        <w:spacing w:before="0" w:after="0"/>
        <w:jc w:val="center"/>
        <w:rPr>
          <w:rFonts w:ascii="ARIAL" w:hAnsi="ARIAL"/>
          <w:b/>
          <w:sz w:val="16"/>
        </w:rPr>
      </w:pPr>
      <w:r>
        <w:rPr>
          <w:rFonts w:ascii="ARIAL" w:hAnsi="ARIAL"/>
          <w:b/>
          <w:sz w:val="16"/>
        </w:rPr>
        <w:t xml:space="preserve">New York, New York 10166-0193 </w:t>
      </w:r>
    </w:p>
    <w:p>
      <w:pPr>
        <w:pStyle w:val="TextBody"/>
        <w:bidi w:val="0"/>
        <w:spacing w:before="0" w:after="0"/>
        <w:jc w:val="center"/>
        <w:rPr>
          <w:rFonts w:ascii="ARIAL" w:hAnsi="ARIAL"/>
          <w:b/>
          <w:sz w:val="16"/>
        </w:rPr>
      </w:pPr>
      <w:r>
        <w:rPr>
          <w:rFonts w:ascii="ARIAL" w:hAnsi="ARIAL"/>
          <w:b/>
          <w:sz w:val="16"/>
        </w:rPr>
        <w:t xml:space="preserve">(212) 351-4000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ARIAL" w:hAnsi="ARIAL"/>
          <w:sz w:val="16"/>
        </w:rPr>
      </w:pPr>
      <w:r>
        <w:rPr>
          <w:rFonts w:ascii="ARIAL" w:hAnsi="ARIAL"/>
          <w:b/>
          <w:sz w:val="16"/>
        </w:rPr>
        <w:t xml:space="preserve">Approximate date of commencement of proposed sale to the public: </w:t>
      </w:r>
      <w:r>
        <w:rPr>
          <w:rFonts w:ascii="ARIAL" w:hAnsi="ARIAL"/>
          <w:sz w:val="16"/>
        </w:rPr>
        <w:t xml:space="preserve">From time to time after the effective date of this Registration Statement, as determined by the registrant. </w:t>
      </w:r>
    </w:p>
    <w:p>
      <w:pPr>
        <w:pStyle w:val="TextBody"/>
        <w:bidi w:val="0"/>
        <w:spacing w:before="40" w:after="0"/>
        <w:jc w:val="left"/>
        <w:rPr>
          <w:rFonts w:ascii="ARIAL" w:hAnsi="ARIAL"/>
          <w:sz w:val="16"/>
        </w:rPr>
      </w:pPr>
      <w:r>
        <w:rPr>
          <w:rFonts w:ascii="ARIAL" w:hAnsi="ARIAL"/>
          <w:sz w:val="16"/>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ARIAL" w:hAnsi="ARIAL"/>
          <w:sz w:val="16"/>
        </w:rPr>
      </w:pPr>
      <w:r>
        <w:rPr>
          <w:rFonts w:ascii="ARIAL" w:hAnsi="ARIAL"/>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40" w:after="0"/>
        <w:jc w:val="left"/>
        <w:rPr>
          <w:rFonts w:ascii="ARIAL" w:hAnsi="ARIAL"/>
          <w:sz w:val="16"/>
        </w:rPr>
      </w:pPr>
      <w:r>
        <w:rPr>
          <w:rFonts w:ascii="ARIAL" w:hAnsi="ARIAL"/>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ARIAL" w:hAnsi="ARIAL"/>
          <w:sz w:val="16"/>
        </w:rPr>
      </w:pPr>
      <w:r>
        <w:rPr>
          <w:rFonts w:ascii="ARIAL" w:hAnsi="ARIAL"/>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40" w:after="0"/>
        <w:jc w:val="left"/>
        <w:rPr>
          <w:rFonts w:ascii="ARIAL" w:hAnsi="ARIAL"/>
          <w:sz w:val="16"/>
        </w:rPr>
      </w:pPr>
      <w:r>
        <w:rPr>
          <w:rFonts w:ascii="ARIAL" w:hAnsi="ARIAL"/>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40" w:after="0"/>
        <w:jc w:val="left"/>
        <w:rPr>
          <w:rFonts w:ascii="ARIAL" w:hAnsi="ARIAL"/>
          <w:sz w:val="16"/>
        </w:rPr>
      </w:pPr>
      <w:r>
        <w:rPr>
          <w:rFonts w:ascii="ARIAL" w:hAnsi="ARIAL"/>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ARIAL" w:hAnsi="ARIAL"/>
          <w:sz w:val="16"/>
        </w:rPr>
      </w:pPr>
      <w:r>
        <w:rPr>
          <w:rFonts w:ascii="ARIAL" w:hAnsi="ARIAL"/>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5"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5"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40" w:after="0"/>
        <w:jc w:val="left"/>
        <w:rPr>
          <w:rFonts w:ascii="ARIAL" w:hAnsi="ARIAL"/>
          <w:sz w:val="16"/>
        </w:rPr>
      </w:pPr>
      <w:r>
        <w:rPr>
          <w:rFonts w:ascii="ARIAL" w:hAnsi="ARIAL"/>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335" cy="7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335" cy="76200"/>
                    </a:xfrm>
                    <a:prstGeom prst="rect">
                      <a:avLst/>
                    </a:prstGeom>
                  </pic:spPr>
                </pic:pic>
              </a:graphicData>
            </a:graphic>
          </wp:inline>
        </w:drawing>
      </w:r>
      <w:r>
        <w:rPr/>
        <w:t xml:space="preserve"> </w:t>
      </w:r>
    </w:p>
    <w:p>
      <w:pPr>
        <w:pStyle w:val="TextBody"/>
        <w:bidi w:val="0"/>
        <w:spacing w:before="360" w:after="0"/>
        <w:jc w:val="center"/>
        <w:rPr>
          <w:rFonts w:ascii="ARIAL" w:hAnsi="ARIAL"/>
          <w:b/>
          <w:sz w:val="48"/>
        </w:rPr>
      </w:pPr>
      <w:r>
        <w:rPr>
          <w:rFonts w:ascii="ARIAL" w:hAnsi="ARIAL"/>
          <w:b/>
          <w:sz w:val="48"/>
        </w:rPr>
        <w:t xml:space="preserve">Schlumberger N.V. </w:t>
      </w:r>
    </w:p>
    <w:p>
      <w:pPr>
        <w:pStyle w:val="TextBody"/>
        <w:bidi w:val="0"/>
        <w:spacing w:before="0" w:after="0"/>
        <w:jc w:val="center"/>
        <w:rPr>
          <w:rFonts w:ascii="ARIAL" w:hAnsi="ARIAL"/>
          <w:b/>
          <w:sz w:val="48"/>
        </w:rPr>
      </w:pPr>
      <w:r>
        <w:rPr>
          <w:rFonts w:ascii="ARIAL" w:hAnsi="ARIAL"/>
          <w:b/>
          <w:sz w:val="48"/>
        </w:rPr>
        <w:t xml:space="preserve">(Schlumberger Limited) </w:t>
      </w:r>
    </w:p>
    <w:p>
      <w:pPr>
        <w:pStyle w:val="TextBody"/>
        <w:bidi w:val="0"/>
        <w:spacing w:before="360" w:after="0"/>
        <w:jc w:val="center"/>
        <w:rPr>
          <w:rFonts w:ascii="ARIAL" w:hAnsi="ARIAL"/>
          <w:b/>
          <w:sz w:val="28"/>
        </w:rPr>
      </w:pPr>
      <w:r>
        <w:rPr>
          <w:rFonts w:ascii="ARIAL" w:hAnsi="ARIAL"/>
          <w:b/>
          <w:sz w:val="28"/>
        </w:rPr>
        <w:t xml:space="preserve">Debt Securities </w:t>
      </w:r>
    </w:p>
    <w:p>
      <w:pPr>
        <w:pStyle w:val="TextBody"/>
        <w:bidi w:val="0"/>
        <w:spacing w:before="0" w:after="0"/>
        <w:jc w:val="center"/>
        <w:rPr>
          <w:rFonts w:ascii="ARIAL" w:hAnsi="ARIAL"/>
          <w:b/>
          <w:sz w:val="28"/>
        </w:rPr>
      </w:pPr>
      <w:r>
        <w:rPr>
          <w:rFonts w:ascii="ARIAL" w:hAnsi="ARIAL"/>
          <w:b/>
          <w:sz w:val="28"/>
        </w:rPr>
        <w:t xml:space="preserve">Common Stock </w:t>
      </w:r>
    </w:p>
    <w:p>
      <w:pPr>
        <w:pStyle w:val="TextBody"/>
        <w:bidi w:val="0"/>
        <w:spacing w:before="0" w:after="0"/>
        <w:jc w:val="center"/>
        <w:rPr>
          <w:rFonts w:ascii="ARIAL" w:hAnsi="ARIAL"/>
          <w:b/>
          <w:sz w:val="28"/>
        </w:rPr>
      </w:pPr>
      <w:r>
        <w:rPr>
          <w:rFonts w:ascii="ARIAL" w:hAnsi="ARIAL"/>
          <w:b/>
          <w:sz w:val="28"/>
        </w:rPr>
        <w:t xml:space="preserve">Guarantees of Debt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ARIAL" w:hAnsi="ARIAL"/>
          <w:sz w:val="20"/>
        </w:rPr>
      </w:pPr>
      <w:r>
        <w:rPr>
          <w:rFonts w:ascii="ARIAL" w:hAnsi="ARIAL"/>
          <w:sz w:val="20"/>
        </w:rPr>
        <w:t xml:space="preserve">We or selling securityholders may, from time to time, offer to sell senior or subordinated debt securities, common stock or guarantees of debt securities. Each time we or a selling securityholder sells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 </w:t>
      </w:r>
    </w:p>
    <w:p>
      <w:pPr>
        <w:pStyle w:val="TextBody"/>
        <w:bidi w:val="0"/>
        <w:spacing w:before="360" w:after="0"/>
        <w:jc w:val="left"/>
        <w:rPr>
          <w:rFonts w:ascii="ARIAL" w:hAnsi="ARIAL"/>
          <w:sz w:val="20"/>
        </w:rPr>
      </w:pPr>
      <w:r>
        <w:rPr>
          <w:rFonts w:ascii="ARIAL" w:hAnsi="ARIAL"/>
          <w:sz w:val="20"/>
        </w:rPr>
        <w:t xml:space="preserve">Our common stock is listed on the New York Stock Exchange under the symbol SLB.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pPr>
      <w:r>
        <w:rPr>
          <w:rFonts w:ascii="ARIAL" w:hAnsi="ARIAL"/>
          <w:b/>
          <w:sz w:val="24"/>
        </w:rPr>
        <w:t>Investing in our securities involves risks. You should carefully consider the information in the </w:t>
      </w:r>
      <w:hyperlink w:anchor="toc526977_4">
        <w:r>
          <w:rPr>
            <w:rStyle w:val="InternetLink"/>
            <w:rFonts w:ascii="ARIAL" w:hAnsi="ARIAL"/>
            <w:b/>
            <w:sz w:val="24"/>
          </w:rPr>
          <w:t>Risk Factors</w:t>
        </w:r>
      </w:hyperlink>
      <w:r>
        <w:rPr>
          <w:rFonts w:ascii="ARIAL" w:hAnsi="ARIAL"/>
          <w:b/>
          <w:sz w:val="24"/>
        </w:rPr>
        <w:t xml:space="preserve"> section beginning on page 5 of this prospectus, including those risks incorporated by reference in this prospectus and in any prospectus supplement, before you decide whether to buy our securities.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ARIAL" w:hAnsi="ARIAL"/>
          <w:b/>
          <w:i/>
          <w:sz w:val="20"/>
        </w:rPr>
      </w:pPr>
      <w:r>
        <w:rPr>
          <w:rFonts w:ascii="ARIAL" w:hAnsi="ARIAL"/>
          <w:b/>
          <w:i/>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360" w:after="0"/>
        <w:jc w:val="left"/>
        <w:rPr>
          <w:rFonts w:ascii="ARIAL" w:hAnsi="ARIAL"/>
          <w:b/>
          <w:i/>
          <w:sz w:val="20"/>
        </w:rPr>
      </w:pPr>
      <w:r>
        <w:rPr>
          <w:rFonts w:ascii="ARIAL" w:hAnsi="ARIAL"/>
          <w:b/>
          <w:i/>
          <w:sz w:val="20"/>
        </w:rPr>
        <w:t xml:space="preserve">This prospectus may not be used to sell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ARIAL" w:hAnsi="ARIAL"/>
          <w:b/>
          <w:sz w:val="20"/>
        </w:rPr>
      </w:pPr>
      <w:r>
        <w:rPr>
          <w:rFonts w:ascii="ARIAL" w:hAnsi="ARIAL"/>
          <w:b/>
          <w:sz w:val="20"/>
        </w:rPr>
        <w:t xml:space="preserve">The date of this prospectus is August 14,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8"/>
        <w:gridCol w:w="259"/>
        <w:gridCol w:w="60"/>
        <w:gridCol w:w="265"/>
        <w:gridCol w:w="63"/>
      </w:tblGrid>
      <w:tr>
        <w:trPr/>
        <w:tc>
          <w:tcPr>
            <w:tcW w:w="9558" w:type="dxa"/>
            <w:tcBorders/>
            <w:vAlign w:val="center"/>
          </w:tcPr>
          <w:p>
            <w:pPr>
              <w:pStyle w:val="TableContents"/>
              <w:bidi w:val="0"/>
              <w:spacing w:before="0" w:after="283"/>
              <w:jc w:val="left"/>
              <w:rPr>
                <w:sz w:val="4"/>
                <w:szCs w:val="4"/>
              </w:rPr>
            </w:pPr>
            <w:r>
              <w:rPr>
                <w:sz w:val="4"/>
                <w:szCs w:val="4"/>
              </w:rPr>
            </w:r>
          </w:p>
        </w:tc>
        <w:tc>
          <w:tcPr>
            <w:tcW w:w="2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26977_1">
              <w:r>
                <w:rPr>
                  <w:rStyle w:val="InternetLink"/>
                  <w:rFonts w:ascii="ARIAL" w:hAnsi="ARIAL"/>
                  <w:sz w:val="20"/>
                </w:rPr>
                <w:t>About this Prospectus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2">
              <w:r>
                <w:rPr>
                  <w:rStyle w:val="InternetLink"/>
                  <w:rFonts w:ascii="ARIAL" w:hAnsi="ARIAL"/>
                  <w:sz w:val="20"/>
                </w:rPr>
                <w:t>About the Company</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3">
              <w:r>
                <w:rPr>
                  <w:rStyle w:val="InternetLink"/>
                  <w:rFonts w:ascii="ARIAL" w:hAnsi="ARIAL"/>
                  <w:sz w:val="20"/>
                </w:rPr>
                <w:t>Cautionary Statement Regarding Forward-Looking Statements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4">
              <w:r>
                <w:rPr>
                  <w:rStyle w:val="InternetLink"/>
                  <w:rFonts w:ascii="ARIAL" w:hAnsi="ARIAL"/>
                  <w:sz w:val="20"/>
                </w:rPr>
                <w:t>Risk Factors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5">
              <w:r>
                <w:rPr>
                  <w:rStyle w:val="InternetLink"/>
                  <w:rFonts w:ascii="ARIAL" w:hAnsi="ARIAL"/>
                  <w:sz w:val="20"/>
                </w:rPr>
                <w:t>Where You Can Find More Information</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6">
              <w:r>
                <w:rPr>
                  <w:rStyle w:val="InternetLink"/>
                  <w:rFonts w:ascii="ARIAL" w:hAnsi="ARIAL"/>
                  <w:sz w:val="20"/>
                </w:rPr>
                <w:t>Incorporation of Documents by Reference</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7">
              <w:r>
                <w:rPr>
                  <w:rStyle w:val="InternetLink"/>
                  <w:rFonts w:ascii="ARIAL" w:hAnsi="ARIAL"/>
                  <w:sz w:val="20"/>
                </w:rPr>
                <w:t>Use of Proceeds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vAlign w:val="bottom"/>
          </w:tcPr>
          <w:p>
            <w:pPr>
              <w:pStyle w:val="TableContents"/>
              <w:bidi w:val="0"/>
              <w:spacing w:before="0" w:after="0"/>
              <w:jc w:val="left"/>
              <w:rPr/>
            </w:pPr>
            <w:hyperlink w:anchor="toc526977_8">
              <w:r>
                <w:rPr>
                  <w:rStyle w:val="InternetLink"/>
                  <w:rFonts w:ascii="ARIAL" w:hAnsi="ARIAL"/>
                  <w:sz w:val="20"/>
                </w:rPr>
                <w:t>Description of Debt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26977_9">
              <w:r>
                <w:rPr>
                  <w:rStyle w:val="InternetLink"/>
                  <w:rFonts w:ascii="ARIAL" w:hAnsi="ARIAL"/>
                  <w:sz w:val="20"/>
                </w:rPr>
                <w:t>Description of Common Stock</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26977_10">
              <w:r>
                <w:rPr>
                  <w:rStyle w:val="InternetLink"/>
                  <w:rFonts w:ascii="ARIAL" w:hAnsi="ARIAL"/>
                  <w:sz w:val="20"/>
                </w:rPr>
                <w:t>Description of Guarantees of Debt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26977_11">
              <w:r>
                <w:rPr>
                  <w:rStyle w:val="InternetLink"/>
                  <w:rFonts w:ascii="ARIAL" w:hAnsi="ARIAL"/>
                  <w:sz w:val="20"/>
                </w:rPr>
                <w:t>Plan of Distribution</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26977_12">
              <w:r>
                <w:rPr>
                  <w:rStyle w:val="InternetLink"/>
                  <w:rFonts w:ascii="ARIAL" w:hAnsi="ARIAL"/>
                  <w:sz w:val="20"/>
                </w:rPr>
                <w:t>Validity of the Securities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558" w:type="dxa"/>
            <w:tcBorders/>
            <w:vAlign w:val="center"/>
          </w:tcPr>
          <w:p>
            <w:pPr>
              <w:pStyle w:val="TableContents"/>
              <w:bidi w:val="0"/>
              <w:spacing w:before="0" w:after="283"/>
              <w:jc w:val="left"/>
              <w:rPr>
                <w:sz w:val="4"/>
                <w:szCs w:val="4"/>
              </w:rPr>
            </w:pPr>
            <w:r>
              <w:rPr>
                <w:sz w:val="4"/>
                <w:szCs w:val="4"/>
              </w:rPr>
            </w:r>
          </w:p>
        </w:tc>
        <w:tc>
          <w:tcPr>
            <w:tcW w:w="647" w:type="dxa"/>
            <w:gridSpan w:val="4"/>
            <w:tcBorders/>
            <w:vAlign w:val="center"/>
          </w:tcPr>
          <w:p>
            <w:pPr>
              <w:pStyle w:val="TableContents"/>
              <w:bidi w:val="0"/>
              <w:spacing w:before="0" w:after="283"/>
              <w:jc w:val="left"/>
              <w:rPr>
                <w:sz w:val="4"/>
                <w:szCs w:val="4"/>
              </w:rPr>
            </w:pPr>
            <w:r>
              <w:rPr>
                <w:sz w:val="4"/>
                <w:szCs w:val="4"/>
              </w:rPr>
            </w:r>
          </w:p>
        </w:tc>
      </w:tr>
      <w:tr>
        <w:trPr/>
        <w:tc>
          <w:tcPr>
            <w:tcW w:w="9558" w:type="dxa"/>
            <w:tcBorders/>
          </w:tcPr>
          <w:p>
            <w:pPr>
              <w:pStyle w:val="TableContents"/>
              <w:bidi w:val="0"/>
              <w:spacing w:before="0" w:after="0"/>
              <w:jc w:val="left"/>
              <w:rPr/>
            </w:pPr>
            <w:hyperlink w:anchor="toc526977_13">
              <w:r>
                <w:rPr>
                  <w:rStyle w:val="InternetLink"/>
                  <w:rFonts w:ascii="ARIAL" w:hAnsi="ARIAL"/>
                  <w:sz w:val="20"/>
                </w:rPr>
                <w:t>Experts</w:t>
              </w:r>
            </w:hyperlink>
          </w:p>
        </w:tc>
        <w:tc>
          <w:tcPr>
            <w:tcW w:w="2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ARIAL" w:hAnsi="ARIAL"/>
          <w:b/>
          <w:sz w:val="20"/>
        </w:rPr>
      </w:pPr>
      <w:r>
        <w:rPr>
          <w:rFonts w:ascii="ARIAL" w:hAnsi="ARIAL"/>
          <w:b/>
          <w:sz w:val="20"/>
        </w:rPr>
        <w:t xml:space="preserve">Neither we nor any selling securityholders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Our business, properties, assets, results of operations, financial position or prospects may have changed since that date. Neither the delivery of this prospectus nor of any prospectus supplement, nor any sale made thereunder, will imply that the information herein is correct as of any date after the date on the cover of those documents. Neither we nor any selling securityholders are making an offer of these securities in any jurisdiction where the offer is not permitted.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3" w:name="toc526977_1"/>
      <w:bookmarkEnd w:id="3"/>
      <w:r>
        <w:rPr>
          <w:rFonts w:ascii="ARIAL" w:hAnsi="ARIAL"/>
          <w:b/>
          <w:sz w:val="20"/>
        </w:rPr>
        <w:t xml:space="preserve">About this Prospectus </w:t>
      </w:r>
    </w:p>
    <w:p>
      <w:pPr>
        <w:pStyle w:val="TextBody"/>
        <w:bidi w:val="0"/>
        <w:spacing w:before="240" w:after="0"/>
        <w:jc w:val="left"/>
        <w:rPr>
          <w:rFonts w:ascii="ARIAL" w:hAnsi="ARIAL"/>
          <w:sz w:val="20"/>
        </w:rPr>
      </w:pPr>
      <w:r>
        <w:rPr>
          <w:rFonts w:ascii="ARIAL" w:hAnsi="ARIAL"/>
          <w:sz w:val="20"/>
        </w:rPr>
        <w:t xml:space="preserve">This prospectus is part of an automatic shelf registration statement that we have filed with the Securities and Exchange Commission (the SEC) as a well-known seasoned issuer as defined in Rule 405 under the Securities Act of 1933, as amended (the Securities Act). </w:t>
      </w:r>
    </w:p>
    <w:p>
      <w:pPr>
        <w:pStyle w:val="TextBody"/>
        <w:bidi w:val="0"/>
        <w:spacing w:before="240" w:after="0"/>
        <w:jc w:val="left"/>
        <w:rPr>
          <w:rFonts w:ascii="ARIAL" w:hAnsi="ARIAL"/>
          <w:sz w:val="20"/>
        </w:rPr>
      </w:pPr>
      <w:r>
        <w:rPr>
          <w:rFonts w:ascii="ARIAL" w:hAnsi="ARIAL"/>
          <w:sz w:val="20"/>
        </w:rPr>
        <w:t xml:space="preserve">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before="240" w:after="0"/>
        <w:jc w:val="left"/>
        <w:rPr>
          <w:rFonts w:ascii="ARIAL" w:hAnsi="ARIAL"/>
          <w:sz w:val="20"/>
        </w:rPr>
      </w:pPr>
      <w:r>
        <w:rPr>
          <w:rFonts w:ascii="ARIAL" w:hAnsi="ARIAL"/>
          <w:sz w:val="20"/>
        </w:rPr>
        <w:t xml:space="preserve">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 </w:t>
      </w:r>
    </w:p>
    <w:p>
      <w:pPr>
        <w:pStyle w:val="TextBody"/>
        <w:bidi w:val="0"/>
        <w:spacing w:before="240" w:after="0"/>
        <w:jc w:val="left"/>
        <w:rPr>
          <w:rFonts w:ascii="ARIAL" w:hAnsi="ARIAL"/>
          <w:sz w:val="20"/>
        </w:rPr>
      </w:pPr>
      <w:r>
        <w:rPr>
          <w:rFonts w:ascii="ARIAL" w:hAnsi="ARIAL"/>
          <w:sz w:val="20"/>
        </w:rPr>
        <w:t xml:space="preserve">To understand the terms of our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us and our financial statements. You can read the registration statement and exhibits on the SECs website as described under Where You Can Find More Information. </w:t>
      </w:r>
    </w:p>
    <w:p>
      <w:pPr>
        <w:pStyle w:val="TextBody"/>
        <w:bidi w:val="0"/>
        <w:spacing w:before="240" w:after="0"/>
        <w:jc w:val="left"/>
        <w:rPr>
          <w:rFonts w:ascii="ARIAL" w:hAnsi="ARIAL"/>
          <w:sz w:val="20"/>
        </w:rPr>
      </w:pPr>
      <w:r>
        <w:rPr>
          <w:rFonts w:ascii="ARIAL" w:hAnsi="ARIAL"/>
          <w:sz w:val="20"/>
        </w:rPr>
        <w:t xml:space="preserve">Unless otherwise indicated or the context otherwise requires, references in this prospectus to the Company, SLB, we or our are to Schlumberger Limited and its consolidated subsidiaries.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4" w:name="toc526977_2"/>
      <w:bookmarkEnd w:id="4"/>
      <w:r>
        <w:rPr>
          <w:rFonts w:ascii="ARIAL" w:hAnsi="ARIAL"/>
          <w:b/>
          <w:sz w:val="20"/>
        </w:rPr>
        <w:t xml:space="preserve">About the Company </w:t>
      </w:r>
    </w:p>
    <w:p>
      <w:pPr>
        <w:pStyle w:val="TextBody"/>
        <w:bidi w:val="0"/>
        <w:spacing w:before="240" w:after="0"/>
        <w:jc w:val="left"/>
        <w:rPr>
          <w:rFonts w:ascii="ARIAL" w:hAnsi="ARIAL"/>
          <w:sz w:val="20"/>
        </w:rPr>
      </w:pPr>
      <w:r>
        <w:rPr>
          <w:rFonts w:ascii="ARIAL" w:hAnsi="ARIAL"/>
          <w:sz w:val="20"/>
        </w:rPr>
        <w:t xml:space="preserve">We are a global technology company focused on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w:t>
      </w:r>
    </w:p>
    <w:p>
      <w:pPr>
        <w:pStyle w:val="TextBody"/>
        <w:bidi w:val="0"/>
        <w:spacing w:before="240" w:after="0"/>
        <w:jc w:val="left"/>
        <w:rPr>
          <w:rFonts w:ascii="ARIAL" w:hAnsi="ARIAL"/>
          <w:sz w:val="20"/>
        </w:rPr>
      </w:pPr>
      <w:r>
        <w:rPr>
          <w:rFonts w:ascii="ARIAL" w:hAnsi="ARIAL"/>
          <w:sz w:val="20"/>
        </w:rPr>
        <w:t xml:space="preserve">SLB was founded in 1926 and is incorporated under the laws of Curaçao, with principal executive offices in Paris, Houston, London and The Hague. Our executive offices in the United States are at 5599 San Felipe, Houston, Texas 77056, and our telephone number is (713) 513-2000.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5" w:name="toc526977_3"/>
      <w:bookmarkEnd w:id="5"/>
      <w:r>
        <w:rPr>
          <w:rFonts w:ascii="ARIAL" w:hAnsi="ARIAL"/>
          <w:b/>
          <w:sz w:val="20"/>
        </w:rPr>
        <w:t xml:space="preserve">Cautionary Statement Regarding Forward-Looking Statements </w:t>
      </w:r>
    </w:p>
    <w:p>
      <w:pPr>
        <w:pStyle w:val="TextBody"/>
        <w:bidi w:val="0"/>
        <w:spacing w:before="240" w:after="0"/>
        <w:jc w:val="left"/>
        <w:rPr>
          <w:rFonts w:ascii="ARIAL" w:hAnsi="ARIAL"/>
          <w:sz w:val="20"/>
        </w:rPr>
      </w:pPr>
      <w:r>
        <w:rPr>
          <w:rFonts w:ascii="ARIAL" w:hAnsi="ARIAL"/>
          <w:sz w:val="20"/>
        </w:rPr>
        <w:t xml:space="preserve">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 </w:t>
      </w:r>
    </w:p>
    <w:p>
      <w:pPr>
        <w:pStyle w:val="TextBody"/>
        <w:bidi w:val="0"/>
        <w:spacing w:before="240" w:after="0"/>
        <w:jc w:val="left"/>
        <w:rPr>
          <w:rFonts w:ascii="ARIAL" w:hAnsi="ARIAL"/>
          <w:sz w:val="20"/>
        </w:rPr>
      </w:pPr>
      <w:r>
        <w:rPr>
          <w:rFonts w:ascii="ARIAL" w:hAnsi="ARIAL"/>
          <w:sz w:val="20"/>
        </w:rPr>
        <w:t xml:space="preserve">Statements that are predictive in nature, that depend upon or refer to future events or conditions, or that include words such as would, should, plans, likely, expects, anticipates, intends, believes, estimates, thinks, may and similar expressions, are forward-looking statements. The following important factors, in addition to those discussed under Risk Factors in this prospectus and in the documents incorporated by reference herein, could affect the future results of the energy industry in general, and SLB in particular, and could cause those results to differ materially from those expressed in or implied by such forward-looking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financial and performance targets and other forecasts or expectations regarding, or dependent on, our business outlook;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growth for SLB as a whole and for each of our Divisions (and for specified business lines, geographic areas or technologies within each Division);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oil and natural gas demand and production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oil and natural gas prices;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forecasts or expectations regarding energy transition and global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improvements in operating procedures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capital expenditures by SLB and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business strategies of SLB, including digital and fit for basin, as well as the strategies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Asset Performance Solutions projects, joint ventures, and other alliances;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our response to the COVID-19 pandemic and our preparedness for other widespread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impact of the ongoing conflict in Ukraine on global energy supply;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access to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future global economic and geopolitical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future liquidity, including free cash flow;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future results of operations, such as margin levels. </w:t>
            </w:r>
          </w:p>
        </w:tc>
      </w:tr>
    </w:tbl>
    <w:p>
      <w:pPr>
        <w:pStyle w:val="TextBody"/>
        <w:bidi w:val="0"/>
        <w:spacing w:before="240" w:after="0"/>
        <w:jc w:val="left"/>
        <w:rPr>
          <w:rFonts w:ascii="ARIAL" w:hAnsi="ARIAL"/>
          <w:sz w:val="20"/>
        </w:rPr>
      </w:pPr>
      <w:r>
        <w:rPr>
          <w:rFonts w:ascii="ARIAL" w:hAnsi="ARIAL"/>
          <w:sz w:val="20"/>
        </w:rPr>
        <w:t xml:space="preserve">These statements are subject to risks and uncertainties,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changing global economic and geopolitical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changes in exploration and production spending by our customers, and changes in the level of oil and natural gas exploration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results of operations and financial condition of our customers and suppliers;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inability to achieve our financial and performance targets and other forecasts and expectations;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our inability to achieve our net-zero carbon emissions goals or interim emissions reduction goals;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general economic, geopolitical and business conditions in key regions of the world;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ongoing conflict in Ukraine;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foreign currency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changes in monetary policy by governments;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pricing pressure;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weather and seasonal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unfavorable effects of health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availability and cost of raw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operational modifications, delays or cancellations;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challenges in our supply chain;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production declines;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extent of future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our inability to recognize efficiencies and other intended benefits from our business strategies and initiatives, such as digital or new energy, as well as our cost reduction strategies;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changes in government regulations and regulatory requirements, including those related to offshore oil and gas exploration, radioactive sources, explosives, chemicals and climate-related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inability of technology to meet new challenges in exploration;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competitiveness of alternative energy sources or product substitutes;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other risks and uncertainties detailed in our filings with the SEC. </w:t>
            </w:r>
          </w:p>
        </w:tc>
      </w:tr>
    </w:tbl>
    <w:p>
      <w:pPr>
        <w:pStyle w:val="TextBody"/>
        <w:bidi w:val="0"/>
        <w:spacing w:before="240" w:after="0"/>
        <w:jc w:val="left"/>
        <w:rPr>
          <w:rFonts w:ascii="ARIAL" w:hAnsi="ARIAL"/>
          <w:sz w:val="20"/>
        </w:rPr>
      </w:pPr>
      <w:r>
        <w:rPr>
          <w:rFonts w:ascii="ARIAL" w:hAnsi="ARIAL"/>
          <w:sz w:val="20"/>
        </w:rPr>
        <w:t xml:space="preserve">All subsequent written and oral forward-looking statements attributable to SLB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undertake no obligation to publicly update or revise any forward-looking statements except as required by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6" w:name="toc526977_4"/>
      <w:bookmarkEnd w:id="6"/>
      <w:r>
        <w:rPr>
          <w:rFonts w:ascii="ARIAL" w:hAnsi="ARIAL"/>
          <w:b/>
          <w:sz w:val="20"/>
        </w:rPr>
        <w:t xml:space="preserve">Risk Factors </w:t>
      </w:r>
    </w:p>
    <w:p>
      <w:pPr>
        <w:pStyle w:val="TextBody"/>
        <w:bidi w:val="0"/>
        <w:spacing w:before="240" w:after="0"/>
        <w:jc w:val="left"/>
        <w:rPr>
          <w:rFonts w:ascii="ARIAL" w:hAnsi="ARIAL"/>
          <w:sz w:val="20"/>
        </w:rPr>
      </w:pPr>
      <w:r>
        <w:rPr>
          <w:rFonts w:ascii="ARIAL" w:hAnsi="ARIAL"/>
          <w:sz w:val="20"/>
        </w:rPr>
        <w:t xml:space="preserve">Investing in our securities involves risk. You should carefully consider the risks described in the documents incorporated by reference in this prospectus, including the Risk Factors and Managements Discussion and Analysis of Financial Condition and Results of Operations sections of our Annual Report on Form 10-K for the fiscal year ended December 31, 2022 and our Quarterly Reports on Form 10-Q for the fiscal quarters ended March 31, 2023 and June 30, 2023 before deciding whether to invest in our securities. These risks could cause our business, properties, assets, financial condition, results of operations, cash flows or prospects to be materially adversely affected. Additional risks and uncertainties not currently known to us or that we currently deem immaterial may also adversely affect our business and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7" w:name="toc526977_5"/>
      <w:bookmarkEnd w:id="7"/>
      <w:r>
        <w:rPr>
          <w:rFonts w:ascii="ARIAL" w:hAnsi="ARIAL"/>
          <w:b/>
          <w:sz w:val="20"/>
        </w:rPr>
        <w:t xml:space="preserve">Where You Can Find More Information </w:t>
      </w:r>
    </w:p>
    <w:p>
      <w:pPr>
        <w:pStyle w:val="TextBody"/>
        <w:bidi w:val="0"/>
        <w:spacing w:before="240" w:after="0"/>
        <w:jc w:val="left"/>
        <w:rPr>
          <w:rFonts w:ascii="ARIAL" w:hAnsi="ARIAL"/>
          <w:sz w:val="20"/>
        </w:rPr>
      </w:pPr>
      <w:r>
        <w:rPr>
          <w:rFonts w:ascii="ARIAL" w:hAnsi="ARIAL"/>
          <w:sz w:val="20"/>
        </w:rPr>
        <w:t xml:space="preserve">We file annual, quarterly and current reports, proxy statements and other information with the SEC. You may read and download any materials we file with the SEC over the Internet from several commercial document retrieval services, as well as at the SECs website at www.sec.gov. </w:t>
      </w:r>
    </w:p>
    <w:p>
      <w:pPr>
        <w:pStyle w:val="TextBody"/>
        <w:bidi w:val="0"/>
        <w:spacing w:before="240" w:after="0"/>
        <w:jc w:val="left"/>
        <w:rPr>
          <w:rFonts w:ascii="ARIAL" w:hAnsi="ARIAL"/>
          <w:sz w:val="20"/>
        </w:rPr>
      </w:pPr>
      <w:r>
        <w:rPr>
          <w:rFonts w:ascii="ARIAL" w:hAnsi="ARIAL"/>
          <w:sz w:val="20"/>
        </w:rPr>
        <w:t xml:space="preserve">We also make available, free of charge through our Investor Relations website at www.investorcenter.slb.com, access to our SEC filings as soon as reasonably practicable after such material is filed with or furnished to the SEC. Copies are also available, without charge, from SLB Investor Relations, 5599 San Felipe, Houston, Texas 77056. </w:t>
      </w:r>
    </w:p>
    <w:p>
      <w:pPr>
        <w:pStyle w:val="TextBody"/>
        <w:bidi w:val="0"/>
        <w:spacing w:before="240" w:after="0"/>
        <w:jc w:val="left"/>
        <w:rPr>
          <w:rFonts w:ascii="ARIAL" w:hAnsi="ARIAL"/>
          <w:sz w:val="20"/>
        </w:rPr>
      </w:pPr>
      <w:r>
        <w:rPr>
          <w:rFonts w:ascii="ARIAL" w:hAnsi="ARIAL"/>
          <w:sz w:val="20"/>
        </w:rPr>
        <w:t xml:space="preserve">Please note that any internet addresses provided in this prospectus are for informational purposes only and are not intended to be hyperlinks. Accordingly, no information found or provided at such internet addresses (including any information on or accessible through our website) is intended or deemed to be incorporated by reference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8" w:name="toc526977_6"/>
      <w:bookmarkEnd w:id="8"/>
      <w:r>
        <w:rPr>
          <w:rFonts w:ascii="ARIAL" w:hAnsi="ARIAL"/>
          <w:b/>
          <w:sz w:val="20"/>
        </w:rPr>
        <w:t xml:space="preserve">Incorporation of Documents by Reference </w:t>
      </w:r>
    </w:p>
    <w:p>
      <w:pPr>
        <w:pStyle w:val="TextBody"/>
        <w:bidi w:val="0"/>
        <w:spacing w:before="240" w:after="0"/>
        <w:jc w:val="left"/>
        <w:rPr>
          <w:rFonts w:ascii="ARIAL" w:hAnsi="ARIAL"/>
          <w:sz w:val="20"/>
        </w:rPr>
      </w:pPr>
      <w:r>
        <w:rPr>
          <w:rFonts w:ascii="ARIAL" w:hAnsi="ARIAL"/>
          <w:sz w:val="20"/>
        </w:rPr>
        <w:t xml:space="preserve">The SEC allows us to incorporate information into this prospectus by reference, which means that we can disclose important information to you by referring you to another document that we have filed separately with the SEC. The information incorporated by reference is deemed to be part of this prospectus, except for any information superseded by information contained directly in this prospectus. These documents contain important information about us and our financial condition, business and results. </w:t>
      </w:r>
    </w:p>
    <w:p>
      <w:pPr>
        <w:pStyle w:val="TextBody"/>
        <w:bidi w:val="0"/>
        <w:spacing w:before="240" w:after="0"/>
        <w:jc w:val="left"/>
        <w:rPr>
          <w:rFonts w:ascii="ARIAL" w:hAnsi="ARIAL"/>
          <w:sz w:val="20"/>
        </w:rPr>
      </w:pPr>
      <w:r>
        <w:rPr>
          <w:rFonts w:ascii="ARIAL" w:hAnsi="ARIAL"/>
          <w:sz w:val="20"/>
        </w:rPr>
        <w:t xml:space="preserve">We are incorporating by reference into this prospectus our filings listed below and any additional documents that we may file with the SEC pursuant to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w:t>
            </w:r>
            <w:hyperlink r:id="rId3">
              <w:r>
                <w:rPr>
                  <w:rStyle w:val="InternetLink"/>
                  <w:rFonts w:ascii="ARIAL" w:hAnsi="ARIAL"/>
                  <w:sz w:val="20"/>
                </w:rPr>
                <w:t>Annual Report on Form 10-K for the fiscal year ended December 31, 2022</w:t>
              </w:r>
            </w:hyperlink>
            <w:r>
              <w:rPr>
                <w:rFonts w:ascii="ARIAL" w:hAnsi="ARIAL"/>
                <w:sz w:val="20"/>
              </w:rPr>
              <w:t xml:space="preserve">, as filed with the SEC on January  25, 2023 (including the portions of our </w:t>
            </w:r>
            <w:hyperlink r:id="rId4">
              <w:r>
                <w:rPr>
                  <w:rStyle w:val="InternetLink"/>
                  <w:rFonts w:ascii="ARIAL" w:hAnsi="ARIAL"/>
                  <w:sz w:val="20"/>
                </w:rPr>
                <w:t>proxy statement for our 2023 annual meeting of stockholders</w:t>
              </w:r>
            </w:hyperlink>
            <w:r>
              <w:rPr>
                <w:rFonts w:ascii="ARIAL" w:hAnsi="ARIAL"/>
                <w:sz w:val="20"/>
              </w:rPr>
              <w:t xml:space="preserve">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our Quarterly Reports on Form 10-Q for the fiscal quarters ended </w:t>
            </w:r>
            <w:hyperlink r:id="rId5">
              <w:r>
                <w:rPr>
                  <w:rStyle w:val="InternetLink"/>
                  <w:rFonts w:ascii="ARIAL" w:hAnsi="ARIAL"/>
                  <w:sz w:val="20"/>
                </w:rPr>
                <w:t>March  31, 2023</w:t>
              </w:r>
            </w:hyperlink>
            <w:r>
              <w:rPr>
                <w:rFonts w:ascii="ARIAL" w:hAnsi="ARIAL"/>
                <w:sz w:val="20"/>
              </w:rPr>
              <w:t xml:space="preserve"> and </w:t>
            </w:r>
            <w:hyperlink r:id="rId6">
              <w:r>
                <w:rPr>
                  <w:rStyle w:val="InternetLink"/>
                  <w:rFonts w:ascii="ARIAL" w:hAnsi="ARIAL"/>
                  <w:sz w:val="20"/>
                </w:rPr>
                <w:t>June 30, 2023</w:t>
              </w:r>
            </w:hyperlink>
            <w:r>
              <w:rPr>
                <w:rFonts w:ascii="ARIAL" w:hAnsi="ARIAL"/>
                <w:sz w:val="20"/>
              </w:rPr>
              <w:t xml:space="preserve">, as filed with the SEC on April 26, 2023 and July 26, 2023,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ARIAL" w:hAnsi="ARIAL"/>
                <w:sz w:val="20"/>
              </w:rPr>
              <w:t xml:space="preserve">our Current Reports on Form 8-K as filed with the SEC on </w:t>
            </w:r>
            <w:hyperlink r:id="rId7">
              <w:r>
                <w:rPr>
                  <w:rStyle w:val="InternetLink"/>
                  <w:rFonts w:ascii="ARIAL" w:hAnsi="ARIAL"/>
                  <w:sz w:val="20"/>
                </w:rPr>
                <w:t>April  6, 2023</w:t>
              </w:r>
            </w:hyperlink>
            <w:r>
              <w:rPr>
                <w:rFonts w:ascii="ARIAL" w:hAnsi="ARIAL"/>
                <w:sz w:val="20"/>
              </w:rPr>
              <w:t xml:space="preserve">, </w:t>
            </w:r>
            <w:hyperlink r:id="rId8">
              <w:r>
                <w:rPr>
                  <w:rStyle w:val="InternetLink"/>
                  <w:rFonts w:ascii="ARIAL" w:hAnsi="ARIAL"/>
                  <w:sz w:val="20"/>
                </w:rPr>
                <w:t>April  17, 2023</w:t>
              </w:r>
            </w:hyperlink>
            <w:r>
              <w:rPr>
                <w:rFonts w:ascii="ARIAL" w:hAnsi="ARIAL"/>
                <w:sz w:val="20"/>
              </w:rPr>
              <w:t xml:space="preserve">, </w:t>
            </w:r>
            <w:hyperlink r:id="rId9">
              <w:r>
                <w:rPr>
                  <w:rStyle w:val="InternetLink"/>
                  <w:rFonts w:ascii="ARIAL" w:hAnsi="ARIAL"/>
                  <w:sz w:val="20"/>
                </w:rPr>
                <w:t>April  21, 2023</w:t>
              </w:r>
            </w:hyperlink>
            <w:r>
              <w:rPr>
                <w:rFonts w:ascii="ARIAL" w:hAnsi="ARIAL"/>
                <w:sz w:val="20"/>
              </w:rPr>
              <w:t xml:space="preserve"> (Items 5.03 and 5.05 only), </w:t>
            </w:r>
            <w:hyperlink r:id="rId10">
              <w:r>
                <w:rPr>
                  <w:rStyle w:val="InternetLink"/>
                  <w:rFonts w:ascii="ARIAL" w:hAnsi="ARIAL"/>
                  <w:sz w:val="20"/>
                </w:rPr>
                <w:t>May  15, 2023</w:t>
              </w:r>
            </w:hyperlink>
            <w:r>
              <w:rPr>
                <w:rFonts w:ascii="ARIAL" w:hAnsi="ARIAL"/>
                <w:sz w:val="20"/>
              </w:rPr>
              <w:t xml:space="preserve"> and </w:t>
            </w:r>
            <w:hyperlink r:id="rId11">
              <w:r>
                <w:rPr>
                  <w:rStyle w:val="InternetLink"/>
                  <w:rFonts w:ascii="ARIAL" w:hAnsi="ARIAL"/>
                  <w:sz w:val="20"/>
                </w:rPr>
                <w:t>July 24, 2023</w:t>
              </w:r>
            </w:hyperlink>
            <w:r>
              <w:rPr>
                <w:rFonts w:ascii="ARIAL" w:hAnsi="ARIAL"/>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ARIAL" w:hAnsi="ARIAL"/>
                <w:sz w:val="20"/>
              </w:rPr>
              <w:t xml:space="preserve">description of our common stock, par value $0.01, contained in </w:t>
            </w:r>
            <w:hyperlink r:id="rId12">
              <w:r>
                <w:rPr>
                  <w:rStyle w:val="InternetLink"/>
                  <w:rFonts w:ascii="ARIAL" w:hAnsi="ARIAL"/>
                  <w:sz w:val="20"/>
                </w:rPr>
                <w:t>Exhibit 4.1</w:t>
              </w:r>
            </w:hyperlink>
            <w:r>
              <w:rPr>
                <w:rFonts w:ascii="ARIAL" w:hAnsi="ARIAL"/>
                <w:sz w:val="20"/>
              </w:rPr>
              <w:t xml:space="preserve"> of our Annual Report on Form 10-K for the fiscal year ended December 31, 2020, as filed with the SEC on January 27, 2021, and as subsequently amended or updated. </w:t>
            </w:r>
          </w:p>
        </w:tc>
      </w:tr>
    </w:tbl>
    <w:p>
      <w:pPr>
        <w:pStyle w:val="TextBody"/>
        <w:bidi w:val="0"/>
        <w:spacing w:before="240" w:after="0"/>
        <w:jc w:val="left"/>
        <w:rPr>
          <w:rFonts w:ascii="ARIAL" w:hAnsi="ARIAL"/>
          <w:sz w:val="20"/>
        </w:rPr>
      </w:pPr>
      <w:r>
        <w:rPr>
          <w:rFonts w:ascii="ARIAL" w:hAnsi="ARIAL"/>
          <w:sz w:val="20"/>
        </w:rPr>
        <w:t xml:space="preserve">Any statement contained in this prospectus and any accompanying prospectus supplement or in a document incorporated or deemed to be incorporated by reference in this prospectus and any accompanying prospectus supplement will be deemed to be modified or superseded for purposes of this prospectus to the extent that a statement contained in this prospectus and any accompanying prospectus supplement or in any other document subsequently filed with the SEC that is or is deemed to be incorporated by reference in this prospectus and any accompanying prospectus supplement modifies or supersedes such statement. No such statement so modified or superseded will be deemed, except as so modified or superseded, to constitute a part of this prospectus and any accompanying prospectus supplement. </w:t>
      </w:r>
    </w:p>
    <w:p>
      <w:pPr>
        <w:pStyle w:val="TextBody"/>
        <w:bidi w:val="0"/>
        <w:spacing w:before="240" w:after="0"/>
        <w:jc w:val="left"/>
        <w:rPr>
          <w:rFonts w:ascii="ARIAL" w:hAnsi="ARIAL"/>
          <w:sz w:val="20"/>
        </w:rPr>
      </w:pPr>
      <w:r>
        <w:rPr>
          <w:rFonts w:ascii="ARIAL" w:hAnsi="ARIAL"/>
          <w:sz w:val="20"/>
        </w:rPr>
        <w:t xml:space="preserve">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 </w:t>
      </w:r>
    </w:p>
    <w:p>
      <w:pPr>
        <w:pStyle w:val="TextBody"/>
        <w:bidi w:val="0"/>
        <w:spacing w:before="240" w:after="0"/>
        <w:jc w:val="left"/>
        <w:rPr>
          <w:rFonts w:ascii="ARIAL" w:hAnsi="ARIAL"/>
          <w:sz w:val="20"/>
        </w:rPr>
      </w:pPr>
      <w:r>
        <w:rPr>
          <w:rFonts w:ascii="ARIAL" w:hAnsi="ARIAL"/>
          <w:sz w:val="20"/>
        </w:rPr>
        <w:t xml:space="preserve">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 </w:t>
      </w:r>
    </w:p>
    <w:p>
      <w:pPr>
        <w:pStyle w:val="TextBody"/>
        <w:bidi w:val="0"/>
        <w:spacing w:before="240" w:after="0"/>
        <w:jc w:val="center"/>
        <w:rPr>
          <w:rFonts w:ascii="ARIAL" w:hAnsi="ARIAL"/>
          <w:sz w:val="20"/>
        </w:rPr>
      </w:pPr>
      <w:r>
        <w:rPr>
          <w:rFonts w:ascii="ARIAL" w:hAnsi="ARIAL"/>
          <w:sz w:val="20"/>
        </w:rPr>
        <w:t xml:space="preserve">Schlumberger Limited </w:t>
      </w:r>
    </w:p>
    <w:p>
      <w:pPr>
        <w:pStyle w:val="TextBody"/>
        <w:bidi w:val="0"/>
        <w:spacing w:before="0" w:after="0"/>
        <w:jc w:val="center"/>
        <w:rPr>
          <w:rFonts w:ascii="ARIAL" w:hAnsi="ARIAL"/>
          <w:sz w:val="20"/>
        </w:rPr>
      </w:pPr>
      <w:r>
        <w:rPr>
          <w:rFonts w:ascii="ARIAL" w:hAnsi="ARIAL"/>
          <w:sz w:val="20"/>
        </w:rPr>
        <w:t xml:space="preserve">5599 San Felipe </w:t>
      </w:r>
    </w:p>
    <w:p>
      <w:pPr>
        <w:pStyle w:val="TextBody"/>
        <w:bidi w:val="0"/>
        <w:spacing w:before="0" w:after="0"/>
        <w:jc w:val="center"/>
        <w:rPr>
          <w:rFonts w:ascii="ARIAL" w:hAnsi="ARIAL"/>
          <w:sz w:val="20"/>
        </w:rPr>
      </w:pPr>
      <w:r>
        <w:rPr>
          <w:rFonts w:ascii="ARIAL" w:hAnsi="ARIAL"/>
          <w:sz w:val="20"/>
        </w:rPr>
        <w:t xml:space="preserve">Houston, Texas 77056 </w:t>
      </w:r>
    </w:p>
    <w:p>
      <w:pPr>
        <w:pStyle w:val="TextBody"/>
        <w:bidi w:val="0"/>
        <w:spacing w:before="0" w:after="0"/>
        <w:jc w:val="center"/>
        <w:rPr>
          <w:rFonts w:ascii="ARIAL" w:hAnsi="ARIAL"/>
          <w:sz w:val="20"/>
        </w:rPr>
      </w:pPr>
      <w:r>
        <w:rPr>
          <w:rFonts w:ascii="ARIAL" w:hAnsi="ARIAL"/>
          <w:sz w:val="20"/>
        </w:rPr>
        <w:t xml:space="preserve">(713) 375-3535 </w:t>
      </w:r>
    </w:p>
    <w:p>
      <w:pPr>
        <w:pStyle w:val="TextBody"/>
        <w:bidi w:val="0"/>
        <w:spacing w:before="0" w:after="0"/>
        <w:jc w:val="center"/>
        <w:rPr>
          <w:rFonts w:ascii="ARIAL" w:hAnsi="ARIAL"/>
          <w:sz w:val="20"/>
        </w:rPr>
      </w:pPr>
      <w:r>
        <w:rPr>
          <w:rFonts w:ascii="ARIAL" w:hAnsi="ARIAL"/>
          <w:sz w:val="20"/>
        </w:rPr>
        <w:t xml:space="preserve">Attention: Investor Relations </w:t>
      </w:r>
    </w:p>
    <w:p>
      <w:pPr>
        <w:pStyle w:val="TextBody"/>
        <w:bidi w:val="0"/>
        <w:spacing w:before="240" w:after="0"/>
        <w:jc w:val="left"/>
        <w:rPr>
          <w:rFonts w:ascii="ARIAL" w:hAnsi="ARIAL"/>
          <w:sz w:val="20"/>
        </w:rPr>
      </w:pPr>
      <w:r>
        <w:rPr>
          <w:rFonts w:ascii="ARIAL" w:hAnsi="ARIAL"/>
          <w:sz w:val="20"/>
        </w:rPr>
        <w:t xml:space="preserve">Except as provided above, no other information (including information on our website) is incorporated by reference into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9" w:name="toc526977_7"/>
      <w:bookmarkEnd w:id="9"/>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Unless we otherwise state in a prospectus supplement or pricing supplement, we will use the net proceeds from the sale of the offered securities for general corporate purposes. General corporate purposes may include repayment of debt, additions to working capital, capital expenditures, investments in our subsidiaries, possible acquisitions and the repurchase, redemption or retirement of securities, including our common stock. We will not receive any proceeds from the sale of securities offered by any selling securityholder.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0" w:name="toc526977_8"/>
      <w:bookmarkEnd w:id="10"/>
      <w:r>
        <w:rPr>
          <w:rFonts w:ascii="ARIAL" w:hAnsi="ARIAL"/>
          <w:b/>
          <w:sz w:val="20"/>
        </w:rPr>
        <w:t xml:space="preserve">Description of Debt Securities </w:t>
      </w:r>
    </w:p>
    <w:p>
      <w:pPr>
        <w:pStyle w:val="TextBody"/>
        <w:bidi w:val="0"/>
        <w:spacing w:before="240" w:after="0"/>
        <w:jc w:val="left"/>
        <w:rPr>
          <w:rFonts w:ascii="ARIAL" w:hAnsi="ARIAL"/>
          <w:sz w:val="20"/>
        </w:rPr>
      </w:pPr>
      <w:r>
        <w:rPr>
          <w:rFonts w:ascii="ARIAL" w:hAnsi="ARIAL"/>
          <w:sz w:val="20"/>
        </w:rPr>
        <w:t xml:space="preserve">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 </w:t>
      </w:r>
    </w:p>
    <w:p>
      <w:pPr>
        <w:pStyle w:val="TextBody"/>
        <w:bidi w:val="0"/>
        <w:spacing w:before="240" w:after="0"/>
        <w:jc w:val="left"/>
        <w:rPr>
          <w:rFonts w:ascii="ARIAL" w:hAnsi="ARIAL"/>
          <w:sz w:val="20"/>
        </w:rPr>
      </w:pPr>
      <w:r>
        <w:rPr>
          <w:rFonts w:ascii="ARIAL" w:hAnsi="ARIAL"/>
          <w:sz w:val="20"/>
        </w:rPr>
        <w:t xml:space="preserve">In this Description of Debt Securities, the words SLB, we, us or our refer only to Schlumberger Limited and not to any of our subsidiaries. Capitalized terms used but not defined in this section have the respective meanings set forth in the applicable indenture. </w:t>
      </w:r>
    </w:p>
    <w:p>
      <w:pPr>
        <w:pStyle w:val="TextBody"/>
        <w:bidi w:val="0"/>
        <w:spacing w:before="36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The debt securities that we may offer will be either senior debt securities or subordinated debt securities. Any senior debt securities will be issued under an indenture, which we refer to as the senior indenture, to be entered into between us and the trustee named in the applicable prospectus supplement.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In addition, the indentures may be supplemented or amended as necessary to set forth the terms of the debt securities issued under the indentures. You should read the indentures, including any amendments or supplements,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 </w:t>
      </w:r>
    </w:p>
    <w:p>
      <w:pPr>
        <w:pStyle w:val="TextBody"/>
        <w:bidi w:val="0"/>
        <w:spacing w:before="240" w:after="0"/>
        <w:jc w:val="left"/>
        <w:rPr>
          <w:rFonts w:ascii="ARIAL" w:hAnsi="ARIAL"/>
          <w:sz w:val="20"/>
        </w:rPr>
      </w:pPr>
      <w:r>
        <w:rPr>
          <w:rFonts w:ascii="ARIAL" w:hAnsi="ARIAL"/>
          <w:sz w:val="20"/>
        </w:rPr>
        <w:t xml:space="preserve">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 </w:t>
      </w:r>
    </w:p>
    <w:p>
      <w:pPr>
        <w:pStyle w:val="TextBody"/>
        <w:bidi w:val="0"/>
        <w:spacing w:before="240" w:after="0"/>
        <w:jc w:val="left"/>
        <w:rPr>
          <w:rFonts w:ascii="ARIAL" w:hAnsi="ARIAL"/>
          <w:sz w:val="20"/>
        </w:rPr>
      </w:pPr>
      <w:r>
        <w:rPr>
          <w:rFonts w:ascii="ARIAL" w:hAnsi="ARIAL"/>
          <w:sz w:val="20"/>
        </w:rPr>
        <w:t xml:space="preserve">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Reference is made to the prospectus supplement for the following and other possible terms of each series of the debt securities with respect to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title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aggregate principal amount of the debt securities of the series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any limit upon the aggregate principal amount of the debt securities of that series that may be authenticated and delivered under the applicable indenture, except for debt securities authenticated and delivered upon registration of transfer of, or in exchange for or in lieu of, other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date or dates on which the principal and premium, if any,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applicable indenture may be served, and the method of such payment, if by wire transfer, mail or other means if other than as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date or dates from which such interest will accrue, the dates on which such interest will be payable or the manner of determination of such dates, and the record date for the determination of holders to whom interest is payable on any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trustees, authenticating agents or paying agents with respect to such series, if different from those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right, if any, to extend the interest payment periods or defer the payment of interest and the duration of such extension or deferral;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period or periods within which, the price or prices at which and the terms and conditions upon which, debt securities of the series may be redeemed by us, in whole or in part, at our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form of the debt securities of the series including the form of the trustees certificate of authentication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other than denominations of $2,000 or integral multiples of $1,000 in excess thereof, the denominations in which the debt securities of the series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currency or currencies in which payment of the principal of, premium, if any, and interest on, debt securities of the series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other than the principal amount thereof, the portion of the principal amount of the debt securities of the series that will be payable upon declaration of acceleration of the maturity thereof;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terms of any repurchase or remarketing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the debt securities of the series will be issued in whole or in part in the form of a global security or securities, the type of global security to be issued; the terms and conditions, if different from those contained in the applicable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additional restrictive covenants or events of default that will apply to the debt securities of the series, or any changes to the restrictive covenants or events of default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provisions granting special rights to holders when a specified event occurs;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the amount of principal or any premium or interest on debt securities of a series may be determined with reference to an index or pursuant to a formula, the manner in which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special tax implications of the debt securities, including provisions for original issue discount securities, if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whether and upon what terms debt securities of a series may be defeased if different from the provisions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whether the debt securities of the series will be issued as unrestricted securities or restricted securities, and, if issued as restricted securities, the rule or regulation promulgated under the Securities Act in reliance on which they will be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guarantees on the debt securities of the series, if different from the provisions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provisions, if any, relating to any security provided for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depositaries, interest rate calculation agents, exchange rate calculation agents or other agents with respect to debt securities of such series if other than those appointed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whether the debt securities of the series will be convertible into or exchangeable for other securities of SLB,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if the debt securities are subordinated debt securities, the subordination terms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with regard to the debt securities of any series that do not bear interest, the dates for certain required reports to the trustee.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 </w:t>
      </w:r>
    </w:p>
    <w:p>
      <w:pPr>
        <w:pStyle w:val="TextBody"/>
        <w:bidi w:val="0"/>
        <w:spacing w:before="240" w:after="0"/>
        <w:jc w:val="left"/>
        <w:rPr>
          <w:rFonts w:ascii="ARIAL" w:hAnsi="ARIAL"/>
          <w:sz w:val="20"/>
        </w:rPr>
      </w:pPr>
      <w:r>
        <w:rPr>
          <w:rFonts w:ascii="ARIAL" w:hAnsi="ARIAL"/>
          <w:sz w:val="20"/>
        </w:rPr>
        <w:t xml:space="preserve">Unless otherwise described in a prospectus supplement relating to any debt securities, there are no covenants or provisions contained in the indentures that may afford the holders of debt securities protection in the event that we enter into a highly leveraged transaction. </w:t>
      </w:r>
    </w:p>
    <w:p>
      <w:pPr>
        <w:pStyle w:val="TextBody"/>
        <w:bidi w:val="0"/>
        <w:spacing w:before="240" w:after="0"/>
        <w:jc w:val="left"/>
        <w:rPr>
          <w:rFonts w:ascii="ARIAL" w:hAnsi="ARIAL"/>
          <w:sz w:val="20"/>
        </w:rPr>
      </w:pPr>
      <w:r>
        <w:rPr>
          <w:rFonts w:ascii="ARIAL" w:hAnsi="ARIAL"/>
          <w:sz w:val="20"/>
        </w:rPr>
        <w:t xml:space="preserve">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 </w:t>
      </w:r>
    </w:p>
    <w:p>
      <w:pPr>
        <w:pStyle w:val="TextBody"/>
        <w:bidi w:val="0"/>
        <w:spacing w:before="360" w:after="0"/>
        <w:jc w:val="left"/>
        <w:rPr>
          <w:rFonts w:ascii="ARIAL" w:hAnsi="ARIAL"/>
          <w:b/>
          <w:sz w:val="20"/>
        </w:rPr>
      </w:pPr>
      <w:r>
        <w:rPr>
          <w:rFonts w:ascii="ARIAL" w:hAnsi="ARIAL"/>
          <w:b/>
          <w:sz w:val="20"/>
        </w:rPr>
        <w:t xml:space="preserve">Subordination of Subordinated Debt Securities </w:t>
      </w:r>
    </w:p>
    <w:p>
      <w:pPr>
        <w:pStyle w:val="TextBody"/>
        <w:bidi w:val="0"/>
        <w:spacing w:before="120" w:after="0"/>
        <w:jc w:val="left"/>
        <w:rPr>
          <w:rFonts w:ascii="ARIAL" w:hAnsi="ARIAL"/>
          <w:sz w:val="20"/>
        </w:rPr>
      </w:pPr>
      <w:r>
        <w:rPr>
          <w:rFonts w:ascii="ARIAL" w:hAnsi="ARIAL"/>
          <w:sz w:val="20"/>
        </w:rPr>
        <w:t xml:space="preserve">We will set forth in the applicable prospectus supplement the terms and conditions, if any, upon which any series of subordinated debt securities is subordinated to debt securities of another series or to our other indebtedness. The terms will include a description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indebtedness ranking senior to the debt securities being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restrictions, if any, on payments to the holders of the debt securities being offered while a default with respect to the senior indebtedness is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provisions requiring holders of the debt securities being offered to remit some payments to the holders of senior indebtedness. </w:t>
            </w:r>
          </w:p>
        </w:tc>
      </w:tr>
    </w:tbl>
    <w:p>
      <w:pPr>
        <w:pStyle w:val="TextBody"/>
        <w:bidi w:val="0"/>
        <w:spacing w:before="360" w:after="0"/>
        <w:jc w:val="left"/>
        <w:rPr>
          <w:rFonts w:ascii="ARIAL" w:hAnsi="ARIAL"/>
          <w:b/>
          <w:sz w:val="20"/>
        </w:rPr>
      </w:pPr>
      <w:r>
        <w:rPr>
          <w:rFonts w:ascii="ARIAL" w:hAnsi="ARIAL"/>
          <w:b/>
          <w:sz w:val="20"/>
        </w:rPr>
        <w:t xml:space="preserve">Additional Amounts </w:t>
      </w:r>
    </w:p>
    <w:p>
      <w:pPr>
        <w:pStyle w:val="TextBody"/>
        <w:bidi w:val="0"/>
        <w:spacing w:before="120" w:after="0"/>
        <w:jc w:val="left"/>
        <w:rPr>
          <w:rFonts w:ascii="ARIAL" w:hAnsi="ARIAL"/>
          <w:sz w:val="20"/>
        </w:rPr>
      </w:pPr>
      <w:r>
        <w:rPr>
          <w:rFonts w:ascii="ARIAL" w:hAnsi="ARIAL"/>
          <w:sz w:val="20"/>
        </w:rPr>
        <w:t xml:space="preserve">All payments made by us under or with respect to the debt securities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 (1) any jurisdiction in which we (or a successor) are then incorporated, organized or resident for tax purposes or any political subdivision thereof or therein (each, a Relevant Tax Jurisdiction) or (2) any jurisdiction from or through which payment is made or deemed made by us or on our behalf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us or on our behalf under or with respect to any debt securities, including payments of principal, redemption price, interest or premium, we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would not have been imposed but for the existence of any actual or deemed present or former connection between the holder or the beneficial owner of such debt securities (or any guarantees thereof) and the applicable Tax Jurisdiction (including, without limitation, being or having been a national, resident or citizen of, being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any guarantee thereof) or the receipt of any payments in respect of such debt securities (or any guarantee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estate, inheritance, gift, sales,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Tax imposed on or with respect to any payment by us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Taxes imposed on or with respect to a payment made to a holder of such debt securities who would have been able to avoid such withholding or deduction by presenting such debt securities (where presentation is required) to another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payable other than by deduction or withholding from payments under, or with respect to, such debt securities or any guarantee of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Taxes to the extent such Taxes are imposed or withheld by reason of the failure of the holder or beneficial owner of such debt securities, to comply with any written request by us addressed to the holder or beneficial owner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combination of items (1) through (7) above. </w:t>
            </w:r>
          </w:p>
        </w:tc>
      </w:tr>
    </w:tbl>
    <w:p>
      <w:pPr>
        <w:pStyle w:val="TextBody"/>
        <w:bidi w:val="0"/>
        <w:spacing w:before="240" w:after="0"/>
        <w:jc w:val="left"/>
        <w:rPr>
          <w:rFonts w:ascii="ARIAL" w:hAnsi="ARIAL"/>
          <w:sz w:val="20"/>
        </w:rPr>
      </w:pPr>
      <w:r>
        <w:rPr>
          <w:rFonts w:ascii="ARIAL" w:hAnsi="ARIAL"/>
          <w:sz w:val="20"/>
        </w:rPr>
        <w:t xml:space="preserve">In addition to the foregoing, we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debt securities, or the related indenture or any other document or instrument referred to therein. </w:t>
      </w:r>
    </w:p>
    <w:p>
      <w:pPr>
        <w:pStyle w:val="TextBody"/>
        <w:bidi w:val="0"/>
        <w:spacing w:before="240" w:after="0"/>
        <w:jc w:val="left"/>
        <w:rPr>
          <w:rFonts w:ascii="ARIAL" w:hAnsi="ARIAL"/>
          <w:sz w:val="20"/>
        </w:rPr>
      </w:pPr>
      <w:r>
        <w:rPr>
          <w:rFonts w:ascii="ARIAL" w:hAnsi="ARIAL"/>
          <w:sz w:val="20"/>
        </w:rPr>
        <w:t xml:space="preserve">If we become aware that we will be obligated to pay Additional Amounts with respect to any payment under or with respect to the debt securities, we will deliver to the trustee on a date that is at least 30 days prior to the date of that payment (unless the obligation to pay Additional Amounts arises fewer than 45 days prior to that payment date, in which case we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will make all withholdings and deductions required by law in respect of the debt securities, and will remit the full amount deducted or withheld to the applicable Tax authority in accordance with applicable law. We will use our reasonable efforts to obtain Tax receipts from each Tax authority evidencing the payment of any Taxes so deducted or withheld. </w:t>
      </w:r>
    </w:p>
    <w:p>
      <w:pPr>
        <w:pStyle w:val="TextBody"/>
        <w:bidi w:val="0"/>
        <w:spacing w:before="240" w:after="0"/>
        <w:jc w:val="left"/>
        <w:rPr>
          <w:rFonts w:ascii="ARIAL" w:hAnsi="ARIAL"/>
          <w:sz w:val="20"/>
        </w:rPr>
      </w:pPr>
      <w:r>
        <w:rPr>
          <w:rFonts w:ascii="ARIAL" w:hAnsi="ARIAL"/>
          <w:sz w:val="20"/>
        </w:rPr>
        <w:t xml:space="preserve">Upon reasonable written request, we will furnish to the trustee (or to a holder or beneficial owner upon written request), within a reasonable time after the date the payment of any Taxes so deducted or withheld is made, certified copies of Tax receipts evidencing payment by us, or if, notwithstanding our efforts to obtain receipts, receipts are not obtained, other evidence of such payments (reasonably satisfactory to the trustee). </w:t>
      </w:r>
    </w:p>
    <w:p>
      <w:pPr>
        <w:pStyle w:val="TextBody"/>
        <w:bidi w:val="0"/>
        <w:spacing w:before="240" w:after="0"/>
        <w:jc w:val="left"/>
        <w:rPr>
          <w:rFonts w:ascii="ARIAL" w:hAnsi="ARIAL"/>
          <w:sz w:val="20"/>
        </w:rPr>
      </w:pPr>
      <w:r>
        <w:rPr>
          <w:rFonts w:ascii="ARIAL" w:hAnsi="ARIAL"/>
          <w:sz w:val="20"/>
        </w:rPr>
        <w:t xml:space="preserve">Whenever in the applicable indenture, any debt securities, or in this Description of Debt Securities there is mentioned, in any context, the payment of amounts based upon the principal amount of the debt securities or of principal, interest or of any other amount payable under, or with respect to, any of the debt securities, such mention will be deemed to include mention of the payment of Additional Amounts to the extent that, in such context, Additional Amounts are, were or would be payable in respect thereof. </w:t>
      </w:r>
    </w:p>
    <w:p>
      <w:pPr>
        <w:pStyle w:val="TextBody"/>
        <w:bidi w:val="0"/>
        <w:spacing w:before="240" w:after="0"/>
        <w:jc w:val="left"/>
        <w:rPr>
          <w:rFonts w:ascii="ARIAL" w:hAnsi="ARIAL"/>
          <w:sz w:val="20"/>
        </w:rPr>
      </w:pPr>
      <w:r>
        <w:rPr>
          <w:rFonts w:ascii="ARIAL" w:hAnsi="ARIAL"/>
          <w:sz w:val="20"/>
        </w:rPr>
        <w:t xml:space="preserve">The above obligations will survive any termination, defeasance or discharge of each indenture, any transfer by a holder or beneficial owner of the debt securities, and will apply, mutatis mutandis, to any jurisdiction in which any successor person to us is incorporated, organized or resident for tax purposes or any jurisdiction from or through which payment is made by or on behalf of such person on the applicable debt securities and any political subdivision thereof or therein. </w:t>
      </w:r>
    </w:p>
    <w:p>
      <w:pPr>
        <w:pStyle w:val="TextBody"/>
        <w:bidi w:val="0"/>
        <w:spacing w:before="240" w:after="0"/>
        <w:jc w:val="left"/>
        <w:rPr>
          <w:rFonts w:ascii="ARIAL" w:hAnsi="ARIAL"/>
          <w:sz w:val="20"/>
        </w:rPr>
      </w:pPr>
      <w:r>
        <w:rPr>
          <w:rFonts w:ascii="ARIAL" w:hAnsi="ARIAL"/>
          <w:sz w:val="20"/>
        </w:rPr>
        <w:t xml:space="preserve">Notwithstanding any provision in the indentures or the debt securities to the contrary, none of the trustee, the Registrar, any transfer agent or any paying agent will be required to determine the identity of a beneficial owner or be liable for any determination thereof by us. </w:t>
      </w:r>
    </w:p>
    <w:p>
      <w:pPr>
        <w:pStyle w:val="TextBody"/>
        <w:bidi w:val="0"/>
        <w:spacing w:before="360" w:after="0"/>
        <w:jc w:val="left"/>
        <w:rPr>
          <w:rFonts w:ascii="ARIAL" w:hAnsi="ARIAL"/>
          <w:b/>
          <w:sz w:val="20"/>
        </w:rPr>
      </w:pPr>
      <w:r>
        <w:rPr>
          <w:rFonts w:ascii="ARIAL" w:hAnsi="ARIAL"/>
          <w:b/>
          <w:sz w:val="20"/>
        </w:rPr>
        <w:t xml:space="preserve">Optional Redemption </w:t>
      </w:r>
    </w:p>
    <w:p>
      <w:pPr>
        <w:pStyle w:val="TextBody"/>
        <w:bidi w:val="0"/>
        <w:spacing w:before="120" w:after="0"/>
        <w:jc w:val="left"/>
        <w:rPr>
          <w:rFonts w:ascii="ARIAL" w:hAnsi="ARIAL"/>
          <w:sz w:val="20"/>
        </w:rPr>
      </w:pPr>
      <w:r>
        <w:rPr>
          <w:rFonts w:ascii="ARIAL" w:hAnsi="ARIAL"/>
          <w:sz w:val="20"/>
        </w:rPr>
        <w:t xml:space="preserve">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 </w:t>
      </w:r>
    </w:p>
    <w:p>
      <w:pPr>
        <w:pStyle w:val="TextBody"/>
        <w:bidi w:val="0"/>
        <w:spacing w:before="360" w:after="0"/>
        <w:jc w:val="left"/>
        <w:rPr>
          <w:rFonts w:ascii="ARIAL" w:hAnsi="ARIAL"/>
          <w:b/>
          <w:sz w:val="20"/>
        </w:rPr>
      </w:pPr>
      <w:r>
        <w:rPr>
          <w:rFonts w:ascii="ARIAL" w:hAnsi="ARIAL"/>
          <w:b/>
          <w:sz w:val="20"/>
        </w:rPr>
        <w:t xml:space="preserve">Redemption Upon Changes in Tax Law </w:t>
      </w:r>
    </w:p>
    <w:p>
      <w:pPr>
        <w:pStyle w:val="TextBody"/>
        <w:bidi w:val="0"/>
        <w:spacing w:before="120" w:after="0"/>
        <w:jc w:val="left"/>
        <w:rPr>
          <w:rFonts w:ascii="ARIAL" w:hAnsi="ARIAL"/>
          <w:sz w:val="20"/>
        </w:rPr>
      </w:pPr>
      <w:r>
        <w:rPr>
          <w:rFonts w:ascii="ARIAL" w:hAnsi="ARIAL"/>
          <w:sz w:val="20"/>
        </w:rPr>
        <w:t xml:space="preserve">We may redeem the debt securities of any series, in whole but not in part, at our discretion at any time upon giving not less than 10 nor more than 60 days prior notice to the holders of such debt securities (which notice will be irrevocable), at a redemption price equal to 100% of the aggregate principal amount thereof, together with accrued and unpaid interest, if any, to (but not including) the date fixed by us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we are or would be required to pay Additional Amounts, and we cannot avoid any such payment obligation by taking reasonable measures available, and the requirement arises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amendment to, or change in, or change in the enforcement or interpretation of, the laws (or any regulations or rulings promulgated thereunder) of a Relevant Tax Jurisdiction which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 xml:space="preserve">change or amendment becomes effective on or after the date of original issuance of the relevant debt securities (the Issue Date) (or, if the applicable Relevant Tax Jurisdiction became a Relevant Tax Jurisdiction on a date after the Issue Date, such later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 </w:t>
            </w:r>
          </w:p>
        </w:tc>
      </w:tr>
    </w:tbl>
    <w:p>
      <w:pPr>
        <w:pStyle w:val="TextBody"/>
        <w:bidi w:val="0"/>
        <w:spacing w:before="240" w:after="0"/>
        <w:jc w:val="left"/>
        <w:rPr>
          <w:rFonts w:ascii="ARIAL" w:hAnsi="ARIAL"/>
          <w:sz w:val="20"/>
        </w:rPr>
      </w:pPr>
      <w:r>
        <w:rPr>
          <w:rFonts w:ascii="ARIAL" w:hAnsi="ARIAL"/>
          <w:sz w:val="20"/>
        </w:rPr>
        <w:t xml:space="preserve">We will not give any such notice of redemption earlier than 90 days prior to the earliest date on which we would be obligated to make such payment or withholding if a payment in respect of the applicable debt securities was then due, and the obligation to pay Additional Amounts must be in effect at the time such notice is given. Prior to the giving of any notice of redemption of the debt securities of such series pursuant to the foregoing, we will deliver to the trustee an opinion of independent tax counsel to the effect that there has been such amendment or change which would entitle us to redeem such debt securities hereunder. In addition, before we give any notice of redemption of such debt securities as described above, we will deliver to the trustee an officers certificate to the effect that we cannot avoid our obligation to pay Additional Amounts by taking reasonable measures available to us. </w:t>
      </w:r>
    </w:p>
    <w:p>
      <w:pPr>
        <w:pStyle w:val="TextBody"/>
        <w:bidi w:val="0"/>
        <w:spacing w:before="240" w:after="0"/>
        <w:jc w:val="left"/>
        <w:rPr>
          <w:rFonts w:ascii="ARIAL" w:hAnsi="ARIAL"/>
          <w:sz w:val="20"/>
        </w:rPr>
      </w:pPr>
      <w:r>
        <w:rPr>
          <w:rFonts w:ascii="ARIAL" w:hAnsi="ARIAL"/>
          <w:sz w:val="20"/>
        </w:rPr>
        <w:t xml:space="preserve">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 </w:t>
      </w:r>
    </w:p>
    <w:p>
      <w:pPr>
        <w:pStyle w:val="TextBody"/>
        <w:bidi w:val="0"/>
        <w:spacing w:before="240" w:after="0"/>
        <w:jc w:val="left"/>
        <w:rPr>
          <w:rFonts w:ascii="ARIAL" w:hAnsi="ARIAL"/>
          <w:sz w:val="20"/>
        </w:rPr>
      </w:pPr>
      <w:r>
        <w:rPr>
          <w:rFonts w:ascii="ARIAL" w:hAnsi="ARIAL"/>
          <w:sz w:val="20"/>
        </w:rPr>
        <w:t xml:space="preserve">The foregoing will also apply </w:t>
      </w:r>
      <w:r>
        <w:rPr>
          <w:rFonts w:ascii="ARIAL" w:hAnsi="ARIAL"/>
          <w:i/>
          <w:sz w:val="20"/>
        </w:rPr>
        <w:t>mutatis mutandis</w:t>
      </w:r>
      <w:r>
        <w:rPr>
          <w:rFonts w:ascii="ARIAL" w:hAnsi="ARIAL"/>
          <w:sz w:val="20"/>
        </w:rPr>
        <w:t xml:space="preserve"> to any jurisdiction in which any successor person to us is incorporated, organized or resident for tax purposes, or any jurisdiction from or through which payment is made by or on behalf of such person on the debt securities of such series and any political subdivision thereof or therein. </w:t>
      </w:r>
    </w:p>
    <w:p>
      <w:pPr>
        <w:pStyle w:val="TextBody"/>
        <w:bidi w:val="0"/>
        <w:spacing w:before="360" w:after="0"/>
        <w:jc w:val="left"/>
        <w:rPr>
          <w:rFonts w:ascii="ARIAL" w:hAnsi="ARIAL"/>
          <w:b/>
          <w:sz w:val="20"/>
        </w:rPr>
      </w:pPr>
      <w:r>
        <w:rPr>
          <w:rFonts w:ascii="ARIAL" w:hAnsi="ARIAL"/>
          <w:b/>
          <w:sz w:val="20"/>
        </w:rPr>
        <w:t xml:space="preserve">Selection and Notice </w:t>
      </w:r>
    </w:p>
    <w:p>
      <w:pPr>
        <w:pStyle w:val="TextBody"/>
        <w:bidi w:val="0"/>
        <w:spacing w:before="120" w:after="0"/>
        <w:jc w:val="left"/>
        <w:rPr>
          <w:rFonts w:ascii="ARIAL" w:hAnsi="ARIAL"/>
          <w:sz w:val="20"/>
        </w:rPr>
      </w:pPr>
      <w:r>
        <w:rPr>
          <w:rFonts w:ascii="ARIAL" w:hAnsi="ARIAL"/>
          <w:sz w:val="20"/>
        </w:rPr>
        <w:t xml:space="preserve">If fewer than all of the debt securities of a series are to be redeemed at any time, the trustee will select the debt securities of such series in definitive, non-global form for redemption on a pro rata basis (or, in the case of debt securities issued in global form as discussed under Book-Entry, Delivery and Form, such debt securities of such series to be redeemed will be selected in accordance with the procedures of the depository therefor) unless otherwise required by law or applicable stock exchange. </w:t>
      </w:r>
    </w:p>
    <w:p>
      <w:pPr>
        <w:pStyle w:val="TextBody"/>
        <w:bidi w:val="0"/>
        <w:spacing w:before="240" w:after="0"/>
        <w:jc w:val="left"/>
        <w:rPr>
          <w:rFonts w:ascii="ARIAL" w:hAnsi="ARIAL"/>
          <w:sz w:val="20"/>
        </w:rPr>
      </w:pPr>
      <w:r>
        <w:rPr>
          <w:rFonts w:ascii="ARIAL" w:hAnsi="ARIAL"/>
          <w:sz w:val="20"/>
        </w:rPr>
        <w:t xml:space="preserve">No debt securities in principal amount of less than the minimum authorized denomination can be redeemed in part. Unless otherwise described in a prospectus supplement relating to any debt securities, notices of redemption will be given at least 10 but not more than 60 days before the redemption date to each holder of debt securities of such series to be redeemed, except that redemption notices may be given more than 60 days prior to a redemption date if the notice is issued in connection with a defeasance of the debt securities of such series or a satisfaction and discharge of the applicable indenture. </w:t>
      </w:r>
    </w:p>
    <w:p>
      <w:pPr>
        <w:pStyle w:val="TextBody"/>
        <w:bidi w:val="0"/>
        <w:spacing w:before="240" w:after="0"/>
        <w:jc w:val="left"/>
        <w:rPr>
          <w:rFonts w:ascii="ARIAL" w:hAnsi="ARIAL"/>
          <w:sz w:val="20"/>
        </w:rPr>
      </w:pPr>
      <w:r>
        <w:rPr>
          <w:rFonts w:ascii="ARIAL" w:hAnsi="ARIAL"/>
          <w:sz w:val="20"/>
        </w:rPr>
        <w:t xml:space="preserve">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we default in payment of the redemption price.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 </w:t>
      </w:r>
    </w:p>
    <w:p>
      <w:pPr>
        <w:pStyle w:val="TextBody"/>
        <w:bidi w:val="0"/>
        <w:spacing w:before="360" w:after="0"/>
        <w:jc w:val="left"/>
        <w:rPr>
          <w:rFonts w:ascii="ARIAL" w:hAnsi="ARIAL"/>
          <w:b/>
          <w:sz w:val="20"/>
        </w:rPr>
      </w:pPr>
      <w:r>
        <w:rPr>
          <w:rFonts w:ascii="ARIAL" w:hAnsi="ARIAL"/>
          <w:b/>
          <w:sz w:val="20"/>
        </w:rPr>
        <w:t xml:space="preserve">Reports </w:t>
      </w:r>
    </w:p>
    <w:p>
      <w:pPr>
        <w:pStyle w:val="TextBody"/>
        <w:bidi w:val="0"/>
        <w:spacing w:before="120" w:after="0"/>
        <w:jc w:val="left"/>
        <w:rPr>
          <w:rFonts w:ascii="ARIAL" w:hAnsi="ARIAL"/>
          <w:sz w:val="20"/>
        </w:rPr>
      </w:pPr>
      <w:r>
        <w:rPr>
          <w:rFonts w:ascii="ARIAL" w:hAnsi="ARIAL"/>
          <w:sz w:val="20"/>
        </w:rPr>
        <w:t xml:space="preserve">So long as any debt securities are outstanding, we will file with the trustee, within 15 days after we file with the SEC, copies of the annual reports and of the information, documents and other reports (or copies of such portions of any of the foregoing as the SEC may from time to time by rules and regulations prescribe) that we may be required to file with the SEC pursuant to Section 13 or Section 15(d) of the Exchange Act. We will be deemed to have complied with the previous sentence to the extent that such information, documents and reports are filed with the SEC via EDGAR, or any successor electronic delivery procedure. The trustee will not have any obligation to determine if and when our information is available on the SECs website. We will either (i) provide the trustee with prompt written notification at such time as we cease to be a reporting company or (ii) continue to provide the trustee with the foregoing information. Delivery of such reports, information and documents to the trustee is for informational purposes only and the trustees receipt of such will not constitute actual or constructive notice of any information contained therein or determinable from information contained therein, including our compliance with any covenants under the applicable indenture (as to which the trustee is entitled to rely exclusively on officers certificates). </w:t>
      </w:r>
    </w:p>
    <w:p>
      <w:pPr>
        <w:pStyle w:val="TextBody"/>
        <w:bidi w:val="0"/>
        <w:spacing w:before="360" w:after="0"/>
        <w:jc w:val="left"/>
        <w:rPr>
          <w:rFonts w:ascii="ARIAL" w:hAnsi="ARIAL"/>
          <w:b/>
          <w:sz w:val="20"/>
        </w:rPr>
      </w:pPr>
      <w:r>
        <w:rPr>
          <w:rFonts w:ascii="ARIAL" w:hAnsi="ARIAL"/>
          <w:b/>
          <w:sz w:val="20"/>
        </w:rPr>
        <w:t xml:space="preserve">Certain Covenants </w:t>
      </w:r>
    </w:p>
    <w:p>
      <w:pPr>
        <w:pStyle w:val="TextBody"/>
        <w:bidi w:val="0"/>
        <w:spacing w:before="120" w:after="0"/>
        <w:jc w:val="left"/>
        <w:rPr>
          <w:rFonts w:ascii="ARIAL" w:hAnsi="ARIAL"/>
          <w:sz w:val="20"/>
        </w:rPr>
      </w:pPr>
      <w:r>
        <w:rPr>
          <w:rFonts w:ascii="ARIAL" w:hAnsi="ARIAL"/>
          <w:sz w:val="20"/>
        </w:rPr>
        <w:t xml:space="preserve">Other than the restrictions on liens described below, the indentures and the debt securities will not contain any covenants or other provisions designed to protect holders of the debt securities in the event of a highly leveraged transaction. The indentures and the debt securities also will not contain provisions that give holders of the debt securities the right to require us to repurchase any debt securities in the event of a decline in credit rating resulting from a takeover, recapitalization or similar restructuring or otherwise. </w:t>
      </w:r>
    </w:p>
    <w:p>
      <w:pPr>
        <w:pStyle w:val="TextBody"/>
        <w:bidi w:val="0"/>
        <w:spacing w:before="360" w:after="0"/>
        <w:jc w:val="left"/>
        <w:rPr>
          <w:rFonts w:ascii="ARIAL" w:hAnsi="ARIAL"/>
          <w:b/>
          <w:sz w:val="20"/>
        </w:rPr>
      </w:pPr>
      <w:r>
        <w:rPr>
          <w:rFonts w:ascii="ARIAL" w:hAnsi="ARIAL"/>
          <w:b/>
          <w:sz w:val="20"/>
        </w:rPr>
        <w:t xml:space="preserve">Limitation on Liens </w:t>
      </w:r>
    </w:p>
    <w:p>
      <w:pPr>
        <w:pStyle w:val="TextBody"/>
        <w:bidi w:val="0"/>
        <w:spacing w:before="120" w:after="0"/>
        <w:jc w:val="left"/>
        <w:rPr>
          <w:rFonts w:ascii="ARIAL" w:hAnsi="ARIAL"/>
          <w:sz w:val="20"/>
        </w:rPr>
      </w:pPr>
      <w:r>
        <w:rPr>
          <w:rFonts w:ascii="ARIAL" w:hAnsi="ARIAL"/>
          <w:sz w:val="20"/>
        </w:rPr>
        <w:t xml:space="preserve">We will not, and will not permit any of our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we so determine, any of our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our most recent consolidated quarterly financial statements; provided, however, that these provisions will not apply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ARIAL" w:hAnsi="ARIAL"/>
                <w:sz w:val="20"/>
              </w:rPr>
            </w:pPr>
            <w:r>
              <w:rPr>
                <w:rFonts w:ascii="ARIAL" w:hAnsi="ARIAL"/>
                <w:sz w:val="20"/>
              </w:rPr>
              <w:t xml:space="preserve">mortgages existing on the date of original issuance of any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mortgages on property or assets of, or on any shares of stock, ownership interests in or indebtedness of, any person existing at the time such person becomes our subsidiary (including a restricted subsidiary);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ARIAL" w:hAnsi="ARIAL"/>
                <w:sz w:val="20"/>
              </w:rPr>
            </w:pPr>
            <w:r>
              <w:rPr>
                <w:rFonts w:ascii="ARIAL" w:hAnsi="ARIAL"/>
                <w:sz w:val="20"/>
              </w:rPr>
              <w:t xml:space="preserve">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ARIAL" w:hAnsi="ARIAL"/>
                <w:sz w:val="20"/>
              </w:rPr>
            </w:pPr>
            <w:r>
              <w:rPr>
                <w:rFonts w:ascii="ARIAL" w:hAnsi="ARIAL"/>
                <w:sz w:val="20"/>
              </w:rPr>
              <w:t xml:space="preserve">mortgages in favor of us or any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mortgage of any of our property or assets or any property or assets of any of our restricted subsidiaries in favor of the United States of America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mortgage of any property or assets to secure indebtedness of the pollution control, industrial revenue or other revenue bond type;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mortgages arising by operation of law, including but not limited to mortgages for taxes, assessments or similar charges that are not yet due or the validity of which is being contested in good faith by appropriate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8" w:type="dxa"/>
            <w:tcBorders/>
          </w:tcPr>
          <w:p>
            <w:pPr>
              <w:pStyle w:val="TableContents"/>
              <w:bidi w:val="0"/>
              <w:spacing w:before="0" w:after="0"/>
              <w:jc w:val="left"/>
              <w:rPr>
                <w:rFonts w:ascii="ARIAL" w:hAnsi="ARIAL"/>
                <w:sz w:val="20"/>
              </w:rPr>
            </w:pPr>
            <w:r>
              <w:rPr>
                <w:rFonts w:ascii="ARIAL" w:hAnsi="ARIAL"/>
                <w:sz w:val="20"/>
              </w:rPr>
              <w:t xml:space="preserve">mortgages created in connection with the acquisition of property or assets, or a project financed with, non-recourse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 </w:t>
            </w:r>
          </w:p>
        </w:tc>
      </w:tr>
    </w:tbl>
    <w:p>
      <w:pPr>
        <w:pStyle w:val="TextBody"/>
        <w:bidi w:val="0"/>
        <w:spacing w:before="240" w:after="0"/>
        <w:jc w:val="left"/>
        <w:rPr>
          <w:rFonts w:ascii="ARIAL" w:hAnsi="ARIAL"/>
          <w:sz w:val="20"/>
        </w:rPr>
      </w:pPr>
      <w:r>
        <w:rPr>
          <w:rFonts w:ascii="ARIAL" w:hAnsi="ARIAL"/>
          <w:sz w:val="20"/>
        </w:rPr>
        <w:t xml:space="preserve">The foregoing covenant and certain other provisions of the indentures use the following defined terms. </w:t>
      </w:r>
    </w:p>
    <w:p>
      <w:pPr>
        <w:pStyle w:val="TextBody"/>
        <w:bidi w:val="0"/>
        <w:spacing w:before="240" w:after="0"/>
        <w:jc w:val="left"/>
        <w:rPr>
          <w:rFonts w:ascii="ARIAL" w:hAnsi="ARIAL"/>
          <w:sz w:val="20"/>
        </w:rPr>
      </w:pPr>
      <w:r>
        <w:rPr>
          <w:rFonts w:ascii="ARIAL" w:hAnsi="ARIAL"/>
          <w:sz w:val="20"/>
        </w:rPr>
        <w:t xml:space="preserve">capital stock means (a) in the case of a corporation, corporate stock;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before="240" w:after="0"/>
        <w:jc w:val="left"/>
        <w:rPr>
          <w:rFonts w:ascii="ARIAL" w:hAnsi="ARIAL"/>
          <w:sz w:val="20"/>
        </w:rPr>
      </w:pPr>
      <w:r>
        <w:rPr>
          <w:rFonts w:ascii="ARIAL" w:hAnsi="ARIAL"/>
          <w:sz w:val="20"/>
        </w:rPr>
        <w:t xml:space="preserve">consolidated net worth means the amount of total stockholders equity shown in our most recent quarterly consolidated statement of financial position. </w:t>
      </w:r>
    </w:p>
    <w:p>
      <w:pPr>
        <w:pStyle w:val="TextBody"/>
        <w:bidi w:val="0"/>
        <w:spacing w:before="240" w:after="0"/>
        <w:jc w:val="left"/>
        <w:rPr>
          <w:rFonts w:ascii="ARIAL" w:hAnsi="ARIAL"/>
          <w:sz w:val="20"/>
        </w:rPr>
      </w:pPr>
      <w:r>
        <w:rPr>
          <w:rFonts w:ascii="ARIAL" w:hAnsi="ARIAL"/>
          <w:sz w:val="20"/>
        </w:rPr>
        <w:t xml:space="preserve">mortgage means and includes any mortgage, pledge, lien, security interest, conditional sale or other title retention agreement or other similar encumbrance.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non-recourse debt means indebtedness as to which (a) neither we nor any of our subsidiaries (x) provides credit support of any kind or (y) is directly or indirectly liable as a guarantor or otherwise and (b) as to which the lenders have been notified in writing that they will not have any recourse to the stock or assets of SLB or any of its subsidiaries. </w:t>
      </w:r>
    </w:p>
    <w:p>
      <w:pPr>
        <w:pStyle w:val="TextBody"/>
        <w:bidi w:val="0"/>
        <w:spacing w:before="240" w:after="0"/>
        <w:jc w:val="left"/>
        <w:rPr>
          <w:rFonts w:ascii="ARIAL" w:hAnsi="ARIAL"/>
          <w:sz w:val="20"/>
        </w:rPr>
      </w:pPr>
      <w:r>
        <w:rPr>
          <w:rFonts w:ascii="ARIAL" w:hAnsi="ARIAL"/>
          <w:sz w:val="20"/>
        </w:rPr>
        <w:t xml:space="preserve">person means any individual, corporation, partnership, limited liability company, association, joint venture, trust, joint stock company or any other entity or organization, including a government or political subdivision or an agency or instrumentality thereof. </w:t>
      </w:r>
    </w:p>
    <w:p>
      <w:pPr>
        <w:pStyle w:val="TextBody"/>
        <w:bidi w:val="0"/>
        <w:spacing w:before="240" w:after="0"/>
        <w:jc w:val="left"/>
        <w:rPr>
          <w:rFonts w:ascii="ARIAL" w:hAnsi="ARIAL"/>
          <w:sz w:val="20"/>
        </w:rPr>
      </w:pPr>
      <w:r>
        <w:rPr>
          <w:rFonts w:ascii="ARIAL" w:hAnsi="ARIAL"/>
          <w:sz w:val="20"/>
        </w:rPr>
        <w:t xml:space="preserve">restricted property means any real property, manufacturing plant, warehouse, office building or other physical facility, or any item of marine, transportation or construction equipment or other like depreciable assets of SLB or any of its restricted subsidiaries, whether owned on or acquired after the Issue Date, unless, in the opinion of our board of directors, such plant or facility or other asset is not of material importance to the total business conducted by SLB and its restricted subsidiaries taken as a whole. </w:t>
      </w:r>
    </w:p>
    <w:p>
      <w:pPr>
        <w:pStyle w:val="TextBody"/>
        <w:bidi w:val="0"/>
        <w:spacing w:before="240" w:after="0"/>
        <w:jc w:val="left"/>
        <w:rPr>
          <w:rFonts w:ascii="ARIAL" w:hAnsi="ARIAL"/>
          <w:sz w:val="20"/>
        </w:rPr>
      </w:pPr>
      <w:r>
        <w:rPr>
          <w:rFonts w:ascii="ARIAL" w:hAnsi="ARIAL"/>
          <w:sz w:val="20"/>
        </w:rPr>
        <w:t xml:space="preserve">restricted subsidiary means any of our subsidiaries which owns a restricted property. </w:t>
      </w:r>
    </w:p>
    <w:p>
      <w:pPr>
        <w:pStyle w:val="TextBody"/>
        <w:bidi w:val="0"/>
        <w:spacing w:before="240" w:after="0"/>
        <w:jc w:val="left"/>
        <w:rPr>
          <w:rFonts w:ascii="ARIAL" w:hAnsi="ARIAL"/>
          <w:sz w:val="20"/>
        </w:rPr>
      </w:pPr>
      <w:r>
        <w:rPr>
          <w:rFonts w:ascii="ARIAL" w:hAnsi="ARIAL"/>
          <w:sz w:val="20"/>
        </w:rPr>
        <w:t xml:space="preserve">subsidiary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w:t>
      </w:r>
    </w:p>
    <w:p>
      <w:pPr>
        <w:pStyle w:val="TextBody"/>
        <w:bidi w:val="0"/>
        <w:spacing w:before="360" w:after="0"/>
        <w:jc w:val="left"/>
        <w:rPr>
          <w:rFonts w:ascii="ARIAL" w:hAnsi="ARIAL"/>
          <w:b/>
          <w:sz w:val="20"/>
        </w:rPr>
      </w:pPr>
      <w:r>
        <w:rPr>
          <w:rFonts w:ascii="ARIAL" w:hAnsi="ARIAL"/>
          <w:b/>
          <w:sz w:val="20"/>
        </w:rPr>
        <w:t xml:space="preserve">Consolidation, Merger and Sale of Assets </w:t>
      </w:r>
    </w:p>
    <w:p>
      <w:pPr>
        <w:pStyle w:val="TextBody"/>
        <w:bidi w:val="0"/>
        <w:spacing w:before="120" w:after="0"/>
        <w:jc w:val="left"/>
        <w:rPr>
          <w:rFonts w:ascii="ARIAL" w:hAnsi="ARIAL"/>
          <w:sz w:val="20"/>
        </w:rPr>
      </w:pPr>
      <w:r>
        <w:rPr>
          <w:rFonts w:ascii="ARIAL" w:hAnsi="ARIAL"/>
          <w:sz w:val="20"/>
        </w:rPr>
        <w:t xml:space="preserve">We will covenant not to consolidate with or merge into any other person or transfer or lease all or substantially all of our assets to any person unless any successor or purchaser (if we are not the surviving entity) expressly assumes our obligations under the debt securities by an indenture supplemental to the applicable indenture, and immediately after which, no event of default, and no event which, after notice or lapse of time, or both, would become an event of default, shall have happened and be continuing. An officers certificate and an opinion of counsel will be delivered to the trustee, which will serve as conclusive evidence of compliance with these provisions. </w:t>
      </w:r>
    </w:p>
    <w:p>
      <w:pPr>
        <w:pStyle w:val="TextBody"/>
        <w:bidi w:val="0"/>
        <w:spacing w:before="240" w:after="0"/>
        <w:jc w:val="left"/>
        <w:rPr>
          <w:rFonts w:ascii="ARIAL" w:hAnsi="ARIAL"/>
          <w:sz w:val="20"/>
        </w:rPr>
      </w:pPr>
      <w:r>
        <w:rPr>
          <w:rFonts w:ascii="ARIAL" w:hAnsi="ARIAL"/>
          <w:sz w:val="20"/>
        </w:rPr>
        <w:t xml:space="preserve">It is possible that a merger, transfer, or other transaction could be treated for U.S. federal income tax purposes as a taxable exchange by the beneficial owners of debt securities, which could result in beneficial owners of debt securities recognizing taxable gain or loss for U.S. federal income tax purposes. A merger, transfer, lease or other transaction could also have adverse tax consequences to beneficial owners of debt securities under other tax laws to which the beneficial owners are subject.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Events of Default </w:t>
      </w:r>
    </w:p>
    <w:p>
      <w:pPr>
        <w:pStyle w:val="TextBody"/>
        <w:bidi w:val="0"/>
        <w:spacing w:before="120" w:after="0"/>
        <w:jc w:val="left"/>
        <w:rPr>
          <w:rFonts w:ascii="ARIAL" w:hAnsi="ARIAL"/>
          <w:sz w:val="20"/>
        </w:rPr>
      </w:pPr>
      <w:r>
        <w:rPr>
          <w:rFonts w:ascii="ARIAL" w:hAnsi="ARIAL"/>
          <w:sz w:val="20"/>
        </w:rPr>
        <w:t xml:space="preserve">The following will be Events of Default with respect to debt securities of a particular series, except to the extent provided in the officers certificate and resolution of our board of directors or the supplemental indenture pursuant to which a series of debt securities is issued: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failure to pay any interest on any of the debt securities of such series within 30 days after such interest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failure to pay principal on any of the debt securities of such series at maturity, or if applicable, the redemption price, when the same become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failure to pay any sinking fund installment as and when the same becomes due and payable by the terms of the debt securities of such series, and continuance of such default for a period of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failure to comply with any of the covenants or agreements in any of the debt securities of such series or the applicable indenture (other than an agreement or covenant that we have included in such indenture solely for the benefit of another series of debt securities that does not constitute part of the debt securities of such series) for 90 days after written notice by the trustee or by the holders of at least 25% in principal amount of all outstanding debt securities of such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certain events involving our bankruptcy, insolvency or reorganization;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other Event of Default provided in the officers certificate, supplemental indenture or resolution of our board of directors under which such series of debt securities is issued. </w:t>
            </w:r>
          </w:p>
        </w:tc>
      </w:tr>
    </w:tbl>
    <w:p>
      <w:pPr>
        <w:pStyle w:val="TextBody"/>
        <w:bidi w:val="0"/>
        <w:spacing w:before="240" w:after="0"/>
        <w:jc w:val="left"/>
        <w:rPr>
          <w:rFonts w:ascii="ARIAL" w:hAnsi="ARIAL"/>
          <w:sz w:val="20"/>
        </w:rPr>
      </w:pPr>
      <w:r>
        <w:rPr>
          <w:rFonts w:ascii="ARIAL" w:hAnsi="ARIAL"/>
          <w:sz w:val="20"/>
        </w:rPr>
        <w:t xml:space="preserve">A default under one series of debt securities issued under the applicable indenture will not necessarily be a default under another series of debt securities under such indenture or another indenture. The trustee may withhold notice to the holders of a series of debt securities issued under such indenture of any default or event of default (except in any payment on the debt securities of such series) if the trustee considers it in the interest of the holders of the debt securities of that series to do so. </w:t>
      </w:r>
    </w:p>
    <w:p>
      <w:pPr>
        <w:pStyle w:val="TextBody"/>
        <w:bidi w:val="0"/>
        <w:spacing w:before="240" w:after="0"/>
        <w:jc w:val="left"/>
        <w:rPr>
          <w:rFonts w:ascii="ARIAL" w:hAnsi="ARIAL"/>
          <w:sz w:val="20"/>
        </w:rPr>
      </w:pPr>
      <w:r>
        <w:rPr>
          <w:rFonts w:ascii="ARIAL" w:hAnsi="ARIAL"/>
          <w:sz w:val="20"/>
        </w:rPr>
        <w:t xml:space="preserve">If an event of default for a series of debt securities occurs and is continuing, the trustee or the holders of at least 25% in principal amount of the outstanding debt securities of that series may require us to pay immediately the principal amount plus accrued and unpaid interest on such debt securities of that series. If an event of default relating to certain events of bankruptcy, insolvency or reorganization occurs with respect to us, the principal amount plus accrued and unpaid interest on the debt securities of that series will become immediately due and payable without any action on the part of the trustee or any holder. The holders of a majority in principal amount of such outstanding debt securities of such series may in some cases rescind this accelerated payment requirement. </w:t>
      </w:r>
    </w:p>
    <w:p>
      <w:pPr>
        <w:pStyle w:val="TextBody"/>
        <w:bidi w:val="0"/>
        <w:spacing w:before="240" w:after="0"/>
        <w:jc w:val="left"/>
        <w:rPr>
          <w:rFonts w:ascii="ARIAL" w:hAnsi="ARIAL"/>
          <w:sz w:val="20"/>
        </w:rPr>
      </w:pPr>
      <w:r>
        <w:rPr>
          <w:rFonts w:ascii="ARIAL" w:hAnsi="ARIAL"/>
          <w:sz w:val="20"/>
        </w:rPr>
        <w:t xml:space="preserve">A holder of debt securities of any series may pursue any remedy under the indenture applicable to the debt securities of that series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holder gives the trustee written notice of a continuing event of default for such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holders of at least 25% in principal amount of the debt securities of such series then outstanding make a written request to the trustee to pursue the remedy;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holder furnishes to the trustee indemnity or security reasonably satisfactory to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trustee fails to act for a period of 60 days after receipt of notice and furnishing of indemnity;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during that 60-day period, the holders of a majority in principal amount of the outstanding debt securities of that series do not give the trustee a direction inconsistent with the request. </w:t>
            </w:r>
          </w:p>
        </w:tc>
      </w:tr>
    </w:tbl>
    <w:p>
      <w:pPr>
        <w:pStyle w:val="TextBody"/>
        <w:bidi w:val="0"/>
        <w:spacing w:before="240" w:after="0"/>
        <w:jc w:val="left"/>
        <w:rPr>
          <w:rFonts w:ascii="ARIAL" w:hAnsi="ARIAL"/>
          <w:sz w:val="20"/>
        </w:rPr>
      </w:pPr>
      <w:r>
        <w:rPr>
          <w:rFonts w:ascii="ARIAL" w:hAnsi="ARIAL"/>
          <w:sz w:val="20"/>
        </w:rPr>
        <w:t xml:space="preserve">This provision does not, however, affect the right of any holder to sue for enforcement of any overdue payment with respect to the debt securities of such series. </w:t>
      </w:r>
    </w:p>
    <w:p>
      <w:pPr>
        <w:pStyle w:val="TextBody"/>
        <w:bidi w:val="0"/>
        <w:spacing w:before="240" w:after="0"/>
        <w:jc w:val="left"/>
        <w:rPr>
          <w:rFonts w:ascii="ARIAL" w:hAnsi="ARIAL"/>
          <w:sz w:val="20"/>
        </w:rPr>
      </w:pPr>
      <w:r>
        <w:rPr>
          <w:rFonts w:ascii="ARIAL" w:hAnsi="ARIAL"/>
          <w:sz w:val="20"/>
        </w:rPr>
        <w:t xml:space="preserve">In most cases, holders of a majority in principal amount of the outstanding debt securities of any series may direct the time, method and place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conducting any proceeding for any remedy available to the trustee with respect to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exercising any trust or power conferred on the trustee not relating to or arising under an event of default with respect to the debt securities of such series. </w:t>
            </w:r>
          </w:p>
        </w:tc>
      </w:tr>
    </w:tbl>
    <w:p>
      <w:pPr>
        <w:pStyle w:val="TextBody"/>
        <w:bidi w:val="0"/>
        <w:spacing w:before="240" w:after="0"/>
        <w:jc w:val="left"/>
        <w:rPr>
          <w:rFonts w:ascii="ARIAL" w:hAnsi="ARIAL"/>
          <w:sz w:val="20"/>
        </w:rPr>
      </w:pPr>
      <w:r>
        <w:rPr>
          <w:rFonts w:ascii="ARIAL" w:hAnsi="ARIAL"/>
          <w:sz w:val="20"/>
        </w:rPr>
        <w:t xml:space="preserve">The indentures will require us to file with the trustee each year an officers certificate as to our compliance with the covenants contained in the indentures. </w:t>
      </w:r>
    </w:p>
    <w:p>
      <w:pPr>
        <w:pStyle w:val="TextBody"/>
        <w:bidi w:val="0"/>
        <w:spacing w:before="360" w:after="0"/>
        <w:jc w:val="left"/>
        <w:rPr>
          <w:rFonts w:ascii="ARIAL" w:hAnsi="ARIAL"/>
          <w:b/>
          <w:sz w:val="20"/>
        </w:rPr>
      </w:pPr>
      <w:r>
        <w:rPr>
          <w:rFonts w:ascii="ARIAL" w:hAnsi="ARIAL"/>
          <w:b/>
          <w:sz w:val="20"/>
        </w:rPr>
        <w:t xml:space="preserve">Modification and Waiver </w:t>
      </w:r>
    </w:p>
    <w:p>
      <w:pPr>
        <w:pStyle w:val="TextBody"/>
        <w:bidi w:val="0"/>
        <w:spacing w:before="120" w:after="0"/>
        <w:jc w:val="left"/>
        <w:rPr>
          <w:rFonts w:ascii="ARIAL" w:hAnsi="ARIAL"/>
          <w:sz w:val="20"/>
        </w:rPr>
      </w:pPr>
      <w:r>
        <w:rPr>
          <w:rFonts w:ascii="ARIAL" w:hAnsi="ARIAL"/>
          <w:sz w:val="20"/>
        </w:rPr>
        <w:t xml:space="preserve">Except as provided in the next two succeeding paragraphs, the indentures or the debt securities of any series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such indenture or the applicable debt securities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applicable indenture that cannot be modified or amended without the consent of the holder of each outstanding debt security affected thereby). </w:t>
      </w:r>
    </w:p>
    <w:p>
      <w:pPr>
        <w:pStyle w:val="TextBody"/>
        <w:bidi w:val="0"/>
        <w:spacing w:before="240" w:after="0"/>
        <w:jc w:val="left"/>
        <w:rPr>
          <w:rFonts w:ascii="ARIAL" w:hAnsi="ARIAL"/>
          <w:sz w:val="20"/>
        </w:rPr>
      </w:pPr>
      <w:r>
        <w:rPr>
          <w:rFonts w:ascii="ARIAL" w:hAnsi="ARIAL"/>
          <w:sz w:val="20"/>
        </w:rPr>
        <w:t xml:space="preserve">Without the consent of each holder of outstanding debt securities of any series, an amendment, supplement or waiver may not (with respect to any debt securities held by a non-consenting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reduce the amount of debt securities of such series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reduce the rate of or change the time for payment of interest on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reduce the principal or change the stated maturity of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reduce any premium payable on the redemption of any debt security of such series or change the time at which any debt security of such series may or must be redeemed;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change any obligation to pay Additional Amounts on the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make payments on any debt securities of such series payable in currency other than as originally stated in such debt securities;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impair the holders right to institute suit for the enforcement of any payment on any debt securities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make any change in the percentage of aggregate principal amount of the debt securities of such series necessary to waive compliance with certain provisions of the indenture the debt securities of such series were issued under or to make any change in this provision for modification;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waive a continuing default or Event of Default regarding any payment on the debt securities. </w:t>
            </w:r>
          </w:p>
        </w:tc>
      </w:tr>
    </w:tbl>
    <w:p>
      <w:pPr>
        <w:pStyle w:val="TextBody"/>
        <w:bidi w:val="0"/>
        <w:spacing w:before="240" w:after="0"/>
        <w:jc w:val="left"/>
        <w:rPr>
          <w:rFonts w:ascii="ARIAL" w:hAnsi="ARIAL"/>
          <w:sz w:val="20"/>
        </w:rPr>
      </w:pPr>
      <w:r>
        <w:rPr>
          <w:rFonts w:ascii="ARIAL" w:hAnsi="ARIAL"/>
          <w:sz w:val="20"/>
        </w:rPr>
        <w:t xml:space="preserve">Notwithstanding the preceding, without the consent of any holder of debt securities of any series, we and the trustee may amend or supplement the applicable indenture or the debt securities of any series in certain circumstances,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to cure any ambiguity, omission,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provide for the assumption of our obligations under the indenture and such series of debt securities by a successor upon any merger, consolidation or asset transfer in accordance with the requirements under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to provide for uncertificated debt securities of any series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provide any security for or guarantees of the debt securities or for the addition of an additional obligor on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to comply with any requirement to effect or maintain the qualification of the indenture under the Trust Indenture Act,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add covenants that would benefit the holders of any outstanding series of debt securities or to surrender any of our rights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provide for the issuance of and establish forms and terms and conditions of a new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issue additional debt securities of any series; provided that such additional debt securities have the same terms as, and be deemed part of the same series as, the applicable series of debt securities to the extent required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to add additional Events of Default with respect to any series of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make any change that does not adversely affect any of its outstanding debt securities of such series in any material respect. </w:t>
            </w:r>
          </w:p>
        </w:tc>
      </w:tr>
    </w:tbl>
    <w:p>
      <w:pPr>
        <w:pStyle w:val="TextBody"/>
        <w:bidi w:val="0"/>
        <w:spacing w:before="240" w:after="0"/>
        <w:jc w:val="left"/>
        <w:rPr>
          <w:rFonts w:ascii="ARIAL" w:hAnsi="ARIAL"/>
          <w:sz w:val="20"/>
        </w:rPr>
      </w:pPr>
      <w:r>
        <w:rPr>
          <w:rFonts w:ascii="ARIAL" w:hAnsi="ARIAL"/>
          <w:sz w:val="20"/>
        </w:rPr>
        <w:t xml:space="preserve">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will be deemed not to affect the rights under the indenture of the holders of securities of any other series. It will not be necessary for the consent of the holders to approve the particular form of any proposed supplement, amendment or waiver, but it will be sufficient if such consent approves the substance of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No Personal Liability of Directors, Officers, Employees, Stockholders and Certain Others </w:t>
      </w:r>
    </w:p>
    <w:p>
      <w:pPr>
        <w:pStyle w:val="TextBody"/>
        <w:bidi w:val="0"/>
        <w:spacing w:before="120" w:after="0"/>
        <w:jc w:val="left"/>
        <w:rPr>
          <w:rFonts w:ascii="ARIAL" w:hAnsi="ARIAL"/>
          <w:sz w:val="20"/>
        </w:rPr>
      </w:pPr>
      <w:r>
        <w:rPr>
          <w:rFonts w:ascii="ARIAL" w:hAnsi="ARIAL"/>
          <w:sz w:val="20"/>
        </w:rPr>
        <w:t xml:space="preserve">No director, officer, employee, stockholder, incorporator or similar founder of SLB, as such, will have any liability for any of our obligations under the applicable debt securities or indenture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 </w:t>
      </w:r>
    </w:p>
    <w:p>
      <w:pPr>
        <w:pStyle w:val="TextBody"/>
        <w:bidi w:val="0"/>
        <w:spacing w:before="360" w:after="0"/>
        <w:jc w:val="left"/>
        <w:rPr>
          <w:rFonts w:ascii="ARIAL" w:hAnsi="ARIAL"/>
          <w:b/>
          <w:sz w:val="20"/>
        </w:rPr>
      </w:pPr>
      <w:r>
        <w:rPr>
          <w:rFonts w:ascii="ARIAL" w:hAnsi="ARIAL"/>
          <w:b/>
          <w:sz w:val="20"/>
        </w:rPr>
        <w:t xml:space="preserve">Defeasance </w:t>
      </w:r>
    </w:p>
    <w:p>
      <w:pPr>
        <w:pStyle w:val="TextBody"/>
        <w:bidi w:val="0"/>
        <w:spacing w:before="120" w:after="0"/>
        <w:jc w:val="left"/>
        <w:rPr>
          <w:rFonts w:ascii="ARIAL" w:hAnsi="ARIAL"/>
          <w:sz w:val="20"/>
        </w:rPr>
      </w:pPr>
      <w:r>
        <w:rPr>
          <w:rFonts w:ascii="ARIAL" w:hAnsi="ARIAL"/>
          <w:sz w:val="20"/>
        </w:rPr>
        <w:t xml:space="preserve">The term defeasance means the discharge of some or all of our obligations under the applicable indenture. If we deposit with the trustee funds or government obligations (as defined in the applicable indenture) sufficient to make payments on any particular series of debt securities on the dates those payments are due and payable, then, at our option, either of the following will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we will be discharged from our obligations with respect to the debt securities of such series, except as described in the paragraph immediately below (legal defeasance);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we will no longer have any obligation to comply with the restrictive covenants under the indenture with respect to the debt securities of such series, and the related Events of Default will no longer apply to us (covenant defeasance). </w:t>
            </w:r>
          </w:p>
        </w:tc>
      </w:tr>
    </w:tbl>
    <w:p>
      <w:pPr>
        <w:pStyle w:val="TextBody"/>
        <w:bidi w:val="0"/>
        <w:spacing w:before="240" w:after="0"/>
        <w:jc w:val="left"/>
        <w:rPr>
          <w:rFonts w:ascii="ARIAL" w:hAnsi="ARIAL"/>
          <w:sz w:val="20"/>
        </w:rPr>
      </w:pPr>
      <w:r>
        <w:rPr>
          <w:rFonts w:ascii="ARIAL" w:hAnsi="ARIAL"/>
          <w:sz w:val="20"/>
        </w:rPr>
        <w:t xml:space="preserve">We may exercise our legal defeasance option notwithstanding our prior exercise of our covenant defeasance option. </w:t>
      </w:r>
    </w:p>
    <w:p>
      <w:pPr>
        <w:pStyle w:val="TextBody"/>
        <w:bidi w:val="0"/>
        <w:spacing w:before="240" w:after="0"/>
        <w:jc w:val="left"/>
        <w:rPr>
          <w:rFonts w:ascii="ARIAL" w:hAnsi="ARIAL"/>
          <w:sz w:val="20"/>
        </w:rPr>
      </w:pPr>
      <w:r>
        <w:rPr>
          <w:rFonts w:ascii="ARIAL" w:hAnsi="ARIAL"/>
          <w:sz w:val="20"/>
        </w:rPr>
        <w:t xml:space="preserve">If we exercise our legal defeasance option with respect to any series of debt securities, we will be deemed to have paid and discharged the entire indebtedness represented by the outstanding debt securities of such series and to have satisfied all other obligations under such debt securities and the applicable indenture, except as to (i) our obligations to register the transfer or exchange of debt securities of such series, replace stolen, lost or mutilated debt securities, pay Additional Amounts, maintain paying agencies, and hold moneys for payment in trust, and (ii) our obligation to compensate and indemnify the trustee. </w:t>
      </w:r>
    </w:p>
    <w:p>
      <w:pPr>
        <w:pStyle w:val="TextBody"/>
        <w:bidi w:val="0"/>
        <w:spacing w:before="240" w:after="0"/>
        <w:jc w:val="left"/>
        <w:rPr>
          <w:rFonts w:ascii="ARIAL" w:hAnsi="ARIAL"/>
          <w:sz w:val="20"/>
        </w:rPr>
      </w:pPr>
      <w:r>
        <w:rPr>
          <w:rFonts w:ascii="ARIAL" w:hAnsi="ARIAL"/>
          <w:sz w:val="20"/>
        </w:rPr>
        <w:t xml:space="preserve">In the case of covenant defeasance, certain Events of Default (not including non-payment, bankruptcy, receivership, rehabilitation and insolvency events) will no longer apply. Except as specified in the applicable indenture, however, the remainder of the applicable indenture and such debt securities will be unaffected by the occurrence of covenant defeasance, and such debt securities will continue to be deemed outstanding for all other purposes under the applicable indenture other than for the purposes of any direction, waiver, consent or declaration or act of holders (and the consequences of any thereof) in connection with any of the defeased covenants. </w:t>
      </w:r>
    </w:p>
    <w:p>
      <w:pPr>
        <w:pStyle w:val="TextBody"/>
        <w:bidi w:val="0"/>
        <w:spacing w:before="240" w:after="0"/>
        <w:jc w:val="left"/>
        <w:rPr>
          <w:rFonts w:ascii="ARIAL" w:hAnsi="ARIAL"/>
          <w:sz w:val="20"/>
        </w:rPr>
      </w:pPr>
      <w:r>
        <w:rPr>
          <w:rFonts w:ascii="ARIAL" w:hAnsi="ARIAL"/>
          <w:sz w:val="20"/>
        </w:rPr>
        <w:t xml:space="preserve">In addition to the other requirements, we will be required to deliver to the trustee an opinion of counsel or a tax ruling to the effect that the deposit and related defeasance would not cause the beneficial owners of the debt securities of such series to recognize income, gain or loss for U.S. federal income tax purposes. If we elect legal defeasance, that opinion of counsel must be based upon a ruling from the U.S. Internal Revenue Service or changes in law to that effect. </w:t>
      </w:r>
    </w:p>
    <w:p>
      <w:pPr>
        <w:pStyle w:val="TextBody"/>
        <w:bidi w:val="0"/>
        <w:spacing w:before="360" w:after="0"/>
        <w:jc w:val="left"/>
        <w:rPr>
          <w:rFonts w:ascii="ARIAL" w:hAnsi="ARIAL"/>
          <w:b/>
          <w:sz w:val="20"/>
        </w:rPr>
      </w:pPr>
      <w:r>
        <w:rPr>
          <w:rFonts w:ascii="ARIAL" w:hAnsi="ARIAL"/>
          <w:b/>
          <w:sz w:val="20"/>
        </w:rPr>
        <w:t xml:space="preserve">Concerning the Trustee </w:t>
      </w:r>
    </w:p>
    <w:p>
      <w:pPr>
        <w:pStyle w:val="TextBody"/>
        <w:bidi w:val="0"/>
        <w:spacing w:before="120" w:after="0"/>
        <w:jc w:val="left"/>
        <w:rPr>
          <w:rFonts w:ascii="ARIAL" w:hAnsi="ARIAL"/>
          <w:sz w:val="20"/>
        </w:rPr>
      </w:pPr>
      <w:r>
        <w:rPr>
          <w:rFonts w:ascii="ARIAL" w:hAnsi="ARIAL"/>
          <w:sz w:val="20"/>
        </w:rPr>
        <w:t xml:space="preserve">If an Event of Default occurs and is continuing, the trustee will be required to use the degree of care and skill of a prudent person in the conduct of his or her own affairs. The trustee will become obligated to exercise any of its powers under the applicable indenture at the request of any of the holders of any debt securities issued under the indenture only after those holders have furnished the trustee indemnity or security reasonably satisfactory to 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the trustee becomes a creditor of ours, it will be subject to limitations in the indentures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 </w:t>
      </w:r>
    </w:p>
    <w:p>
      <w:pPr>
        <w:pStyle w:val="TextBody"/>
        <w:bidi w:val="0"/>
        <w:spacing w:before="360" w:after="0"/>
        <w:jc w:val="left"/>
        <w:rPr>
          <w:rFonts w:ascii="ARIAL" w:hAnsi="ARIAL"/>
          <w:b/>
          <w:sz w:val="20"/>
        </w:rPr>
      </w:pPr>
      <w:r>
        <w:rPr>
          <w:rFonts w:ascii="ARIAL" w:hAnsi="ARIAL"/>
          <w:b/>
          <w:sz w:val="20"/>
        </w:rPr>
        <w:t xml:space="preserve">Paying Agent and Registrar for the Debt Securities </w:t>
      </w:r>
    </w:p>
    <w:p>
      <w:pPr>
        <w:pStyle w:val="TextBody"/>
        <w:bidi w:val="0"/>
        <w:spacing w:before="120" w:after="0"/>
        <w:jc w:val="left"/>
        <w:rPr>
          <w:rFonts w:ascii="ARIAL" w:hAnsi="ARIAL"/>
          <w:sz w:val="20"/>
        </w:rPr>
      </w:pPr>
      <w:r>
        <w:rPr>
          <w:rFonts w:ascii="ARIAL" w:hAnsi="ARIAL"/>
          <w:sz w:val="20"/>
        </w:rPr>
        <w:t xml:space="preserve">We will maintain one or more paying agents (each, a Paying Agent) for any debt securities we issue in the Borough of Manhattan, City of New York. We, upon written notice to the trustee accompanied by an officers certificate, may appoint one or more paying agents, other than the trustee, for all or any series of such debt securities. If we fail to appoint or maintain another entity as Paying Agent, the trustee will act as such. We or any of our subsidiaries, upon notice to the trustee, may act as paying agent. </w:t>
      </w:r>
    </w:p>
    <w:p>
      <w:pPr>
        <w:pStyle w:val="TextBody"/>
        <w:bidi w:val="0"/>
        <w:spacing w:before="240" w:after="0"/>
        <w:jc w:val="left"/>
        <w:rPr>
          <w:rFonts w:ascii="ARIAL" w:hAnsi="ARIAL"/>
          <w:sz w:val="20"/>
        </w:rPr>
      </w:pPr>
      <w:r>
        <w:rPr>
          <w:rFonts w:ascii="ARIAL" w:hAnsi="ARIAL"/>
          <w:sz w:val="20"/>
        </w:rPr>
        <w:t xml:space="preserve">We will also maintain one or more registrars (each, a Registrar) with an office in the Borough of Manhattan, City of New York. We, upon written notice to the trustee accompanied by an officers certificate, may appoint one or more registrars, other than the trustee, for all or any series of debt securities. If we fail to appoint or maintain another entity as registrar, the trustee will act as such. We or any of our subsidiaries, upon notice to the trustee, may act as registrar. </w:t>
      </w:r>
    </w:p>
    <w:p>
      <w:pPr>
        <w:pStyle w:val="TextBody"/>
        <w:bidi w:val="0"/>
        <w:spacing w:before="240" w:after="0"/>
        <w:jc w:val="left"/>
        <w:rPr>
          <w:rFonts w:ascii="ARIAL" w:hAnsi="ARIAL"/>
          <w:sz w:val="20"/>
        </w:rPr>
      </w:pPr>
      <w:r>
        <w:rPr>
          <w:rFonts w:ascii="ARIAL" w:hAnsi="ARIAL"/>
          <w:sz w:val="20"/>
        </w:rPr>
        <w:t xml:space="preserve">We will also maintain a transfer agent with an office in the Borough of Manhattan, City of New York. Each transfer agent will perform the functions of a transfer agent. We, upon written notice to the trustee accompanied by an officers certificate, may appoint one or more transfer agents, other than the trustee, for all or any series of debt securities. If we fail to appoint or maintain another entity as transfer agent, the trustee will act as such. We or any of our subsidiaries, upon notice to the trustee, may act as transfer agent. </w:t>
      </w:r>
    </w:p>
    <w:p>
      <w:pPr>
        <w:pStyle w:val="TextBody"/>
        <w:bidi w:val="0"/>
        <w:spacing w:before="240" w:after="0"/>
        <w:jc w:val="left"/>
        <w:rPr>
          <w:rFonts w:ascii="ARIAL" w:hAnsi="ARIAL"/>
          <w:sz w:val="20"/>
        </w:rPr>
      </w:pPr>
      <w:r>
        <w:rPr>
          <w:rFonts w:ascii="ARIAL" w:hAnsi="ARIAL"/>
          <w:sz w:val="20"/>
        </w:rPr>
        <w:t xml:space="preserve">The Registrar will maintain a register reflecting ownership of debt securities outstanding from time to time and the Paying Agent will make payments on and facilitate transfer of debt securities on our behalf. </w:t>
      </w:r>
    </w:p>
    <w:p>
      <w:pPr>
        <w:pStyle w:val="TextBody"/>
        <w:bidi w:val="0"/>
        <w:spacing w:before="240" w:after="0"/>
        <w:jc w:val="left"/>
        <w:rPr>
          <w:rFonts w:ascii="ARIAL" w:hAnsi="ARIAL"/>
          <w:sz w:val="20"/>
        </w:rPr>
      </w:pPr>
      <w:r>
        <w:rPr>
          <w:rFonts w:ascii="ARIAL" w:hAnsi="ARIAL"/>
          <w:sz w:val="20"/>
        </w:rPr>
        <w:t xml:space="preserve">We may change any Paying Agents, Registrars or transfer agents without prior notice to the holders of debt securities. </w:t>
      </w:r>
    </w:p>
    <w:p>
      <w:pPr>
        <w:pStyle w:val="TextBody"/>
        <w:bidi w:val="0"/>
        <w:spacing w:before="360" w:after="0"/>
        <w:jc w:val="left"/>
        <w:rPr>
          <w:rFonts w:ascii="ARIAL" w:hAnsi="ARIAL"/>
          <w:b/>
          <w:sz w:val="20"/>
        </w:rPr>
      </w:pPr>
      <w:r>
        <w:rPr>
          <w:rFonts w:ascii="ARIAL" w:hAnsi="ARIAL"/>
          <w:b/>
          <w:sz w:val="20"/>
        </w:rPr>
        <w:t xml:space="preserve">Book-Entry, Delivery and Form </w:t>
      </w:r>
    </w:p>
    <w:p>
      <w:pPr>
        <w:pStyle w:val="TextBody"/>
        <w:bidi w:val="0"/>
        <w:spacing w:before="120" w:after="0"/>
        <w:jc w:val="left"/>
        <w:rPr>
          <w:rFonts w:ascii="ARIAL" w:hAnsi="ARIAL"/>
          <w:sz w:val="20"/>
        </w:rPr>
      </w:pPr>
      <w:r>
        <w:rPr>
          <w:rFonts w:ascii="ARIAL" w:hAnsi="ARIAL"/>
          <w:sz w:val="20"/>
        </w:rPr>
        <w:t xml:space="preserve">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 </w:t>
      </w:r>
    </w:p>
    <w:p>
      <w:pPr>
        <w:pStyle w:val="TextBody"/>
        <w:bidi w:val="0"/>
        <w:spacing w:before="240" w:after="0"/>
        <w:jc w:val="left"/>
        <w:rPr>
          <w:rFonts w:ascii="ARIAL" w:hAnsi="ARIAL"/>
          <w:sz w:val="20"/>
        </w:rPr>
      </w:pPr>
      <w:r>
        <w:rPr>
          <w:rFonts w:ascii="ARIAL" w:hAnsi="ARIAL"/>
          <w:sz w:val="20"/>
        </w:rPr>
        <w:t xml:space="preserve">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Beneficial interests in the global securities will be represented through book-entry accounts of financial institutions acting on behalf of beneficial owners as direct or indirect participants in DTC. </w:t>
      </w:r>
    </w:p>
    <w:p>
      <w:pPr>
        <w:pStyle w:val="TextBody"/>
        <w:bidi w:val="0"/>
        <w:spacing w:before="240" w:after="0"/>
        <w:jc w:val="left"/>
        <w:rPr>
          <w:rFonts w:ascii="ARIAL" w:hAnsi="ARIAL"/>
          <w:sz w:val="20"/>
        </w:rPr>
      </w:pPr>
      <w:r>
        <w:rPr>
          <w:rFonts w:ascii="ARIAL" w:hAnsi="ARIAL"/>
          <w:sz w:val="20"/>
        </w:rPr>
        <w:t xml:space="preserve">Investors may elect to hold their interests in the global securities in DTC (in the United States) through its direct and indirect participants, including Clearstream Banking S.A., or Clearstream, and Euroclear Bank SA/NV,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 </w:t>
      </w:r>
    </w:p>
    <w:p>
      <w:pPr>
        <w:pStyle w:val="TextBody"/>
        <w:bidi w:val="0"/>
        <w:spacing w:before="240" w:after="0"/>
        <w:jc w:val="left"/>
        <w:rPr>
          <w:rFonts w:ascii="ARIAL" w:hAnsi="ARIAL"/>
          <w:sz w:val="20"/>
        </w:rPr>
      </w:pPr>
      <w:r>
        <w:rPr>
          <w:rFonts w:ascii="ARIAL" w:hAnsi="ARIAL"/>
          <w:sz w:val="20"/>
        </w:rPr>
        <w:t xml:space="preserve">Debt securities represented by a global security can be exchanged for definitive securities in registered form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DTC notifies us that it is unwilling or unable to continue as Debt Depository for that global security and we do not appoint a successor Debt Depository within 90 days after receiving that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we determine that that global security will be exchangeable for definitive securities in registered form and notify the trustee of such decision in writing. </w:t>
            </w:r>
          </w:p>
        </w:tc>
      </w:tr>
    </w:tbl>
    <w:p>
      <w:pPr>
        <w:pStyle w:val="TextBody"/>
        <w:bidi w:val="0"/>
        <w:spacing w:before="240" w:after="0"/>
        <w:jc w:val="left"/>
        <w:rPr>
          <w:rFonts w:ascii="ARIAL" w:hAnsi="ARIAL"/>
          <w:sz w:val="20"/>
        </w:rPr>
      </w:pPr>
      <w:r>
        <w:rPr>
          <w:rFonts w:ascii="ARIAL" w:hAnsi="ARIAL"/>
          <w:sz w:val="20"/>
        </w:rPr>
        <w:t xml:space="preserve">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 </w:t>
      </w:r>
    </w:p>
    <w:p>
      <w:pPr>
        <w:pStyle w:val="TextBody"/>
        <w:bidi w:val="0"/>
        <w:spacing w:before="240" w:after="0"/>
        <w:jc w:val="left"/>
        <w:rPr>
          <w:rFonts w:ascii="ARIAL" w:hAnsi="ARIAL"/>
          <w:sz w:val="20"/>
        </w:rPr>
      </w:pPr>
      <w:r>
        <w:rPr>
          <w:rFonts w:ascii="ARIAL" w:hAnsi="ARIAL"/>
          <w:sz w:val="20"/>
        </w:rPr>
        <w:t xml:space="preserve">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indentures. Accordingly, we, the trustee, any Paying Agent, Registrar or transfer agent will have no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any aspect of DTCs records relating to, or payments made on account of, beneficial ownership interests in a debt security represented by a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sz w:val="20"/>
              </w:rPr>
            </w:pPr>
            <w:r>
              <w:rPr>
                <w:rFonts w:ascii="ARIAL" w:hAnsi="ARIAL"/>
                <w:sz w:val="20"/>
              </w:rPr>
              <w:t xml:space="preserve">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 </w:t>
            </w:r>
          </w:p>
        </w:tc>
      </w:tr>
    </w:tbl>
    <w:p>
      <w:pPr>
        <w:pStyle w:val="TextBody"/>
        <w:bidi w:val="0"/>
        <w:spacing w:before="240" w:after="0"/>
        <w:jc w:val="left"/>
        <w:rPr>
          <w:rFonts w:ascii="ARIAL" w:hAnsi="ARIAL"/>
          <w:sz w:val="20"/>
        </w:rPr>
      </w:pPr>
      <w:r>
        <w:rPr>
          <w:rFonts w:ascii="ARIAL" w:hAnsi="ARIAL"/>
          <w:sz w:val="20"/>
        </w:rPr>
        <w:t xml:space="preserve">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practices, as is the case with securities held for customer accounts registered in street name, and will be the sole responsibility of those participants. Book-entry notes may be more difficult to pledge because of the lack of a physical note. </w:t>
      </w:r>
    </w:p>
    <w:p>
      <w:pPr>
        <w:pStyle w:val="TextBody"/>
        <w:bidi w:val="0"/>
        <w:spacing w:before="360" w:after="0"/>
        <w:jc w:val="left"/>
        <w:rPr>
          <w:rFonts w:ascii="ARIAL" w:hAnsi="ARIAL"/>
          <w:b/>
          <w:i/>
          <w:sz w:val="20"/>
        </w:rPr>
      </w:pPr>
      <w:r>
        <w:rPr>
          <w:rFonts w:ascii="ARIAL" w:hAnsi="ARIAL"/>
          <w:b/>
          <w:i/>
          <w:sz w:val="20"/>
        </w:rPr>
        <w:t xml:space="preserve">DTC </w:t>
      </w:r>
    </w:p>
    <w:p>
      <w:pPr>
        <w:pStyle w:val="TextBody"/>
        <w:bidi w:val="0"/>
        <w:spacing w:before="120" w:after="0"/>
        <w:jc w:val="left"/>
        <w:rPr>
          <w:rFonts w:ascii="ARIAL" w:hAnsi="ARIAL"/>
          <w:sz w:val="20"/>
        </w:rPr>
      </w:pPr>
      <w:r>
        <w:rPr>
          <w:rFonts w:ascii="ARIAL" w:hAnsi="ARIAL"/>
          <w:sz w:val="20"/>
        </w:rPr>
        <w:t xml:space="preserve">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applicable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 </w:t>
      </w:r>
    </w:p>
    <w:p>
      <w:pPr>
        <w:pStyle w:val="TextBody"/>
        <w:bidi w:val="0"/>
        <w:spacing w:before="240" w:after="0"/>
        <w:jc w:val="left"/>
        <w:rPr>
          <w:rFonts w:ascii="ARIAL" w:hAnsi="ARIAL"/>
          <w:sz w:val="20"/>
        </w:rPr>
      </w:pPr>
      <w:r>
        <w:rPr>
          <w:rFonts w:ascii="ARIAL" w:hAnsi="ARIAL"/>
          <w:sz w:val="20"/>
        </w:rPr>
        <w:t xml:space="preserve">We understand that, under existing industry practices, if we request holders to take any action, or if an owner of a beneficial interest in a global security desires to take any action which a holder is entitled to take under the applicable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 </w:t>
      </w:r>
    </w:p>
    <w:p>
      <w:pPr>
        <w:pStyle w:val="TextBody"/>
        <w:bidi w:val="0"/>
        <w:spacing w:before="240" w:after="0"/>
        <w:jc w:val="left"/>
        <w:rPr>
          <w:rFonts w:ascii="ARIAL" w:hAnsi="ARIAL"/>
          <w:sz w:val="20"/>
        </w:rPr>
      </w:pPr>
      <w:r>
        <w:rPr>
          <w:rFonts w:ascii="ARIAL" w:hAnsi="ARIAL"/>
          <w:sz w:val="20"/>
        </w:rPr>
        <w:t xml:space="preserve">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 </w:t>
      </w:r>
    </w:p>
    <w:p>
      <w:pPr>
        <w:pStyle w:val="TextBody"/>
        <w:bidi w:val="0"/>
        <w:spacing w:before="240" w:after="0"/>
        <w:jc w:val="left"/>
        <w:rPr>
          <w:rFonts w:ascii="ARIAL" w:hAnsi="ARIAL"/>
          <w:sz w:val="20"/>
        </w:rPr>
      </w:pPr>
      <w:r>
        <w:rPr>
          <w:rFonts w:ascii="ARIAL" w:hAnsi="ARIAL"/>
          <w:sz w:val="20"/>
        </w:rPr>
        <w:t xml:space="preserve">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 </w:t>
      </w:r>
    </w:p>
    <w:p>
      <w:pPr>
        <w:pStyle w:val="TextBody"/>
        <w:bidi w:val="0"/>
        <w:spacing w:before="240" w:after="0"/>
        <w:jc w:val="left"/>
        <w:rPr>
          <w:rFonts w:ascii="ARIAL" w:hAnsi="ARIAL"/>
          <w:sz w:val="20"/>
        </w:rPr>
      </w:pPr>
      <w:r>
        <w:rPr>
          <w:rFonts w:ascii="ARIAL" w:hAnsi="ARIAL"/>
          <w:sz w:val="20"/>
        </w:rPr>
        <w:t xml:space="preserve">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360" w:after="0"/>
        <w:jc w:val="left"/>
        <w:rPr>
          <w:rFonts w:ascii="ARIAL" w:hAnsi="ARIAL"/>
          <w:b/>
          <w:i/>
          <w:sz w:val="20"/>
        </w:rPr>
      </w:pPr>
      <w:r>
        <w:rPr>
          <w:rFonts w:ascii="ARIAL" w:hAnsi="ARIAL"/>
          <w:b/>
          <w:i/>
          <w:sz w:val="20"/>
        </w:rPr>
        <w:t xml:space="preserve">Clearstream </w:t>
      </w:r>
    </w:p>
    <w:p>
      <w:pPr>
        <w:pStyle w:val="TextBody"/>
        <w:bidi w:val="0"/>
        <w:spacing w:before="120" w:after="0"/>
        <w:jc w:val="left"/>
        <w:rPr>
          <w:rFonts w:ascii="ARIAL" w:hAnsi="ARIAL"/>
          <w:sz w:val="20"/>
        </w:rPr>
      </w:pPr>
      <w:r>
        <w:rPr>
          <w:rFonts w:ascii="ARIAL" w:hAnsi="ARIAL"/>
          <w:sz w:val="20"/>
        </w:rPr>
        <w:t xml:space="preserve">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 </w:t>
      </w:r>
    </w:p>
    <w:p>
      <w:pPr>
        <w:pStyle w:val="TextBody"/>
        <w:bidi w:val="0"/>
        <w:spacing w:before="240" w:after="0"/>
        <w:jc w:val="left"/>
        <w:rPr>
          <w:rFonts w:ascii="ARIAL" w:hAnsi="ARIAL"/>
          <w:sz w:val="20"/>
        </w:rPr>
      </w:pPr>
      <w:r>
        <w:rPr>
          <w:rFonts w:ascii="ARIAL" w:hAnsi="ARIAL"/>
          <w:sz w:val="20"/>
        </w:rPr>
        <w:t xml:space="preserve">Distributions with respect to debt securities held beneficially through Clearstream will be credited to cash accounts of Clearstream Participants in accordance with its rules and procedures, to the extent received by the U.S. depositary for Clearstream. </w:t>
      </w:r>
    </w:p>
    <w:p>
      <w:pPr>
        <w:pStyle w:val="TextBody"/>
        <w:bidi w:val="0"/>
        <w:spacing w:before="360" w:after="0"/>
        <w:jc w:val="left"/>
        <w:rPr>
          <w:rFonts w:ascii="ARIAL" w:hAnsi="ARIAL"/>
          <w:b/>
          <w:i/>
          <w:sz w:val="20"/>
        </w:rPr>
      </w:pPr>
      <w:r>
        <w:rPr>
          <w:rFonts w:ascii="ARIAL" w:hAnsi="ARIAL"/>
          <w:b/>
          <w:i/>
          <w:sz w:val="20"/>
        </w:rPr>
        <w:t xml:space="preserve">Euroclear </w:t>
      </w:r>
    </w:p>
    <w:p>
      <w:pPr>
        <w:pStyle w:val="TextBody"/>
        <w:bidi w:val="0"/>
        <w:spacing w:before="120" w:after="0"/>
        <w:jc w:val="left"/>
        <w:rPr>
          <w:rFonts w:ascii="ARIAL" w:hAnsi="ARIAL"/>
          <w:sz w:val="20"/>
        </w:rPr>
      </w:pPr>
      <w:r>
        <w:rPr>
          <w:rFonts w:ascii="ARIAL" w:hAnsi="ARIAL"/>
          <w:sz w:val="20"/>
        </w:rPr>
        <w:t xml:space="preserve">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ARIAL" w:hAnsi="ARIAL"/>
          <w:sz w:val="20"/>
        </w:rPr>
      </w:pPr>
      <w:r>
        <w:rPr>
          <w:rFonts w:ascii="ARIAL" w:hAnsi="ARIAL"/>
          <w:sz w:val="20"/>
        </w:rPr>
        <w:t xml:space="preserve">The Euroclear Operator advises us that it is regulated and examined by the Belgian banking and Finance Commission and the National Bank of Belgium. </w:t>
      </w:r>
    </w:p>
    <w:p>
      <w:pPr>
        <w:pStyle w:val="TextBody"/>
        <w:bidi w:val="0"/>
        <w:spacing w:before="240" w:after="0"/>
        <w:jc w:val="left"/>
        <w:rPr>
          <w:rFonts w:ascii="ARIAL" w:hAnsi="ARIAL"/>
          <w:sz w:val="20"/>
        </w:rPr>
      </w:pPr>
      <w:r>
        <w:rPr>
          <w:rFonts w:ascii="ARIAL" w:hAnsi="ARIAL"/>
          <w:sz w:val="20"/>
        </w:rPr>
        <w:t xml:space="preserve">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ARIAL" w:hAnsi="ARIAL"/>
          <w:sz w:val="20"/>
        </w:rPr>
      </w:pPr>
      <w:r>
        <w:rPr>
          <w:rFonts w:ascii="ARIAL" w:hAnsi="ARIAL"/>
          <w:sz w:val="20"/>
        </w:rPr>
        <w:t xml:space="preserve">Distributions with respect to debt securities held beneficially through Euroclear will be credited to the cash accounts of Euroclear Participants in accordance with the Terms and Conditions, to the extent received by the U.S. depositary for Euroclear. </w:t>
      </w:r>
    </w:p>
    <w:p>
      <w:pPr>
        <w:pStyle w:val="TextBody"/>
        <w:bidi w:val="0"/>
        <w:spacing w:before="240" w:after="0"/>
        <w:jc w:val="left"/>
        <w:rPr>
          <w:rFonts w:ascii="ARIAL" w:hAnsi="ARIAL"/>
          <w:sz w:val="20"/>
        </w:rPr>
      </w:pPr>
      <w:r>
        <w:rPr>
          <w:rFonts w:ascii="ARIAL" w:hAnsi="ARIAL"/>
          <w:sz w:val="20"/>
        </w:rPr>
        <w:t xml:space="preserve">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 </w:t>
      </w:r>
    </w:p>
    <w:p>
      <w:pPr>
        <w:pStyle w:val="TextBody"/>
        <w:bidi w:val="0"/>
        <w:spacing w:before="360" w:after="0"/>
        <w:jc w:val="left"/>
        <w:rPr>
          <w:rFonts w:ascii="ARIAL" w:hAnsi="ARIAL"/>
          <w:b/>
          <w:sz w:val="20"/>
        </w:rPr>
      </w:pPr>
      <w:r>
        <w:rPr>
          <w:rFonts w:ascii="ARIAL" w:hAnsi="ARIAL"/>
          <w:b/>
          <w:sz w:val="20"/>
        </w:rPr>
        <w:t xml:space="preserve">Global Clearance and Settlement Procedures </w:t>
      </w:r>
    </w:p>
    <w:p>
      <w:pPr>
        <w:pStyle w:val="TextBody"/>
        <w:bidi w:val="0"/>
        <w:spacing w:before="120" w:after="0"/>
        <w:jc w:val="left"/>
        <w:rPr>
          <w:rFonts w:ascii="ARIAL" w:hAnsi="ARIAL"/>
          <w:sz w:val="20"/>
        </w:rPr>
      </w:pPr>
      <w:r>
        <w:rPr>
          <w:rFonts w:ascii="ARIAL" w:hAnsi="ARIAL"/>
          <w:sz w:val="20"/>
        </w:rPr>
        <w:t xml:space="preserve">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 </w:t>
      </w:r>
    </w:p>
    <w:p>
      <w:pPr>
        <w:pStyle w:val="TextBody"/>
        <w:bidi w:val="0"/>
        <w:spacing w:before="240" w:after="0"/>
        <w:jc w:val="left"/>
        <w:rPr>
          <w:rFonts w:ascii="ARIAL" w:hAnsi="ARIAL"/>
          <w:sz w:val="20"/>
        </w:rPr>
      </w:pPr>
      <w:r>
        <w:rPr>
          <w:rFonts w:ascii="ARIAL" w:hAnsi="ARIAL"/>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 </w:t>
      </w:r>
    </w:p>
    <w:p>
      <w:pPr>
        <w:pStyle w:val="TextBody"/>
        <w:bidi w:val="0"/>
        <w:spacing w:before="240" w:after="0"/>
        <w:jc w:val="left"/>
        <w:rPr>
          <w:rFonts w:ascii="ARIAL" w:hAnsi="ARIAL"/>
          <w:sz w:val="20"/>
        </w:rPr>
      </w:pPr>
      <w:r>
        <w:rPr>
          <w:rFonts w:ascii="ARIAL" w:hAnsi="ARIAL"/>
          <w:sz w:val="20"/>
        </w:rPr>
        <w:t xml:space="preserve">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ARIAL" w:hAnsi="ARIAL"/>
          <w:sz w:val="20"/>
        </w:rPr>
      </w:pPr>
      <w:r>
        <w:rPr>
          <w:rFonts w:ascii="ARIAL" w:hAnsi="ARIAL"/>
          <w:sz w:val="20"/>
        </w:rPr>
        <w:t xml:space="preserve">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 </w:t>
      </w:r>
    </w:p>
    <w:p>
      <w:pPr>
        <w:pStyle w:val="TextBody"/>
        <w:bidi w:val="0"/>
        <w:spacing w:before="240" w:after="0"/>
        <w:jc w:val="left"/>
        <w:rPr>
          <w:rFonts w:ascii="ARIAL" w:hAnsi="ARIAL"/>
          <w:sz w:val="20"/>
        </w:rPr>
      </w:pPr>
      <w:r>
        <w:rPr>
          <w:rFonts w:ascii="ARIAL" w:hAnsi="ARIAL"/>
          <w:sz w:val="20"/>
        </w:rPr>
        <w:t xml:space="preserve">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SLB, the trustee, the Registrar, any Paying Agent or any transfer agent will have any responsibility for the performance by DTC, Euroclear or Clearstream or their respective direct or indirect participants of their obligations under the rules and procedures governing their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1" w:name="toc526977_9"/>
      <w:bookmarkEnd w:id="11"/>
      <w:r>
        <w:rPr>
          <w:rFonts w:ascii="ARIAL" w:hAnsi="ARIAL"/>
          <w:b/>
          <w:sz w:val="20"/>
        </w:rPr>
        <w:t xml:space="preserve">Description of Common Stock </w:t>
      </w:r>
    </w:p>
    <w:p>
      <w:pPr>
        <w:pStyle w:val="TextBody"/>
        <w:bidi w:val="0"/>
        <w:spacing w:before="240" w:after="0"/>
        <w:jc w:val="left"/>
        <w:rPr>
          <w:rFonts w:ascii="ARIAL" w:hAnsi="ARIAL"/>
          <w:sz w:val="20"/>
        </w:rPr>
      </w:pPr>
      <w:r>
        <w:rPr>
          <w:rFonts w:ascii="ARIAL" w:hAnsi="ARIAL"/>
          <w:sz w:val="20"/>
        </w:rPr>
        <w:t xml:space="preserve">The following description of our common stock is not complete and is qualified in its entirety by reference to our Articles of Incorporation and Amended and Restated By-Laws, each as amended to date of this prospectus, and each incorporated by reference as exhibits to the registration statement of which this prospectus forms a part. </w:t>
      </w:r>
    </w:p>
    <w:p>
      <w:pPr>
        <w:pStyle w:val="TextBody"/>
        <w:bidi w:val="0"/>
        <w:spacing w:before="240" w:after="0"/>
        <w:jc w:val="left"/>
        <w:rPr>
          <w:rFonts w:ascii="ARIAL" w:hAnsi="ARIAL"/>
          <w:sz w:val="20"/>
        </w:rPr>
      </w:pPr>
      <w:r>
        <w:rPr>
          <w:rFonts w:ascii="ARIAL" w:hAnsi="ARIAL"/>
          <w:sz w:val="20"/>
        </w:rPr>
        <w:t xml:space="preserve">In this Description of Common Stock, the words SLB, we, us or our refer only to Schlumberger Limited and not to any of our subsidiaries. </w:t>
      </w:r>
    </w:p>
    <w:p>
      <w:pPr>
        <w:pStyle w:val="TextBody"/>
        <w:bidi w:val="0"/>
        <w:spacing w:before="360" w:after="0"/>
        <w:jc w:val="left"/>
        <w:rPr>
          <w:rFonts w:ascii="ARIAL" w:hAnsi="ARIAL"/>
          <w:b/>
          <w:sz w:val="20"/>
        </w:rPr>
      </w:pPr>
      <w:r>
        <w:rPr>
          <w:rFonts w:ascii="ARIAL" w:hAnsi="ARIAL"/>
          <w:b/>
          <w:sz w:val="20"/>
        </w:rPr>
        <w:t xml:space="preserve">General </w:t>
      </w:r>
    </w:p>
    <w:p>
      <w:pPr>
        <w:pStyle w:val="TextBody"/>
        <w:bidi w:val="0"/>
        <w:spacing w:before="120" w:after="0"/>
        <w:jc w:val="left"/>
        <w:rPr>
          <w:rFonts w:ascii="ARIAL" w:hAnsi="ARIAL"/>
          <w:sz w:val="20"/>
        </w:rPr>
      </w:pPr>
      <w:r>
        <w:rPr>
          <w:rFonts w:ascii="ARIAL" w:hAnsi="ARIAL"/>
          <w:sz w:val="20"/>
        </w:rPr>
        <w:t xml:space="preserve">We may issue an aggregate of 4,500,000,000 shares of common stock, par value $0.01 per share. As of June 30, 2023, 1,434,212,164 shares of common stock were issued, of which 1,421,186,016 shares were outstanding and 13,026,148 shares were held by us as treasury stock. </w:t>
      </w:r>
    </w:p>
    <w:p>
      <w:pPr>
        <w:pStyle w:val="TextBody"/>
        <w:bidi w:val="0"/>
        <w:spacing w:before="240" w:after="0"/>
        <w:jc w:val="left"/>
        <w:rPr>
          <w:rFonts w:ascii="ARIAL" w:hAnsi="ARIAL"/>
          <w:sz w:val="20"/>
        </w:rPr>
      </w:pPr>
      <w:r>
        <w:rPr>
          <w:rFonts w:ascii="ARIAL" w:hAnsi="ARIAL"/>
          <w:sz w:val="20"/>
        </w:rPr>
        <w:t xml:space="preserve">We may also issue an aggregate of 200,000,000 shares of preferred stock, par value $0.01 per share. No shares of preferred stock have been issued as of the date of this prospectus. </w:t>
      </w:r>
    </w:p>
    <w:p>
      <w:pPr>
        <w:pStyle w:val="TextBody"/>
        <w:bidi w:val="0"/>
        <w:spacing w:before="360" w:after="0"/>
        <w:jc w:val="left"/>
        <w:rPr>
          <w:rFonts w:ascii="ARIAL" w:hAnsi="ARIAL"/>
          <w:b/>
          <w:sz w:val="20"/>
        </w:rPr>
      </w:pPr>
      <w:r>
        <w:rPr>
          <w:rFonts w:ascii="ARIAL" w:hAnsi="ARIAL"/>
          <w:b/>
          <w:sz w:val="20"/>
        </w:rPr>
        <w:t xml:space="preserve">Dividend Rights </w:t>
      </w:r>
    </w:p>
    <w:p>
      <w:pPr>
        <w:pStyle w:val="TextBody"/>
        <w:bidi w:val="0"/>
        <w:spacing w:before="120" w:after="0"/>
        <w:jc w:val="left"/>
        <w:rPr>
          <w:rFonts w:ascii="ARIAL" w:hAnsi="ARIAL"/>
          <w:sz w:val="20"/>
        </w:rPr>
      </w:pPr>
      <w:r>
        <w:rPr>
          <w:rFonts w:ascii="ARIAL" w:hAnsi="ARIAL"/>
          <w:sz w:val="20"/>
        </w:rPr>
        <w:t>All outstanding shares of common stock (</w:t>
      </w:r>
      <w:r>
        <w:rPr>
          <w:rFonts w:ascii="ARIAL" w:hAnsi="ARIAL"/>
          <w:i/>
          <w:sz w:val="20"/>
        </w:rPr>
        <w:t>i.e.</w:t>
      </w:r>
      <w:r>
        <w:rPr>
          <w:rFonts w:ascii="ARIAL" w:hAnsi="ARIAL"/>
          <w:sz w:val="20"/>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the common stock. The amount of dividends payable with respect to any fiscal year is determined by our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 the time of distribution, our equity (</w:t>
      </w:r>
      <w:r>
        <w:rPr>
          <w:rFonts w:ascii="ARIAL" w:hAnsi="ARIAL"/>
          <w:i/>
          <w:sz w:val="20"/>
        </w:rPr>
        <w:t>i.e.</w:t>
      </w:r>
      <w:r>
        <w:rPr>
          <w:rFonts w:ascii="ARIAL" w:hAnsi="ARIAL"/>
          <w:sz w:val="20"/>
        </w:rPr>
        <w:t>, our net asset value) at least equals the nominal capital (</w:t>
      </w:r>
      <w:r>
        <w:rPr>
          <w:rFonts w:ascii="ARIAL" w:hAnsi="ARIAL"/>
          <w:i/>
          <w:sz w:val="20"/>
        </w:rPr>
        <w:t>i.e.</w:t>
      </w:r>
      <w:r>
        <w:rPr>
          <w:rFonts w:ascii="ARIAL" w:hAnsi="ARIAL"/>
          <w:sz w:val="20"/>
        </w:rPr>
        <w:t xml:space="preserve">, the aggregate par value of our outstanding shares) and as a result of the distribution will not fall below the nominal capital. </w:t>
      </w:r>
    </w:p>
    <w:p>
      <w:pPr>
        <w:pStyle w:val="TextBody"/>
        <w:bidi w:val="0"/>
        <w:spacing w:before="360" w:after="0"/>
        <w:jc w:val="left"/>
        <w:rPr>
          <w:rFonts w:ascii="ARIAL" w:hAnsi="ARIAL"/>
          <w:b/>
          <w:sz w:val="20"/>
        </w:rPr>
      </w:pPr>
      <w:r>
        <w:rPr>
          <w:rFonts w:ascii="ARIAL" w:hAnsi="ARIAL"/>
          <w:b/>
          <w:sz w:val="20"/>
        </w:rPr>
        <w:t xml:space="preserve">Voting Rights </w:t>
      </w:r>
    </w:p>
    <w:p>
      <w:pPr>
        <w:pStyle w:val="TextBody"/>
        <w:bidi w:val="0"/>
        <w:spacing w:before="120" w:after="0"/>
        <w:jc w:val="left"/>
        <w:rPr>
          <w:rFonts w:ascii="ARIAL" w:hAnsi="ARIAL"/>
          <w:sz w:val="20"/>
        </w:rPr>
      </w:pPr>
      <w:r>
        <w:rPr>
          <w:rFonts w:ascii="ARIAL" w:hAnsi="ARIAL"/>
          <w:i/>
          <w:sz w:val="20"/>
        </w:rPr>
        <w:t>Entitlement to Vote.</w:t>
      </w:r>
      <w:r>
        <w:rPr>
          <w:rFonts w:ascii="ARIAL" w:hAnsi="ARIAL"/>
          <w:sz w:val="20"/>
        </w:rPr>
        <w:t xml:space="preserve"> Each holder of common stock and each holder of preferred stock (if issued and outstanding) is entitled to one vote for each share registered in that holders name. Voting rights may be exercised in person or by proxy. </w:t>
      </w:r>
    </w:p>
    <w:p>
      <w:pPr>
        <w:pStyle w:val="TextBody"/>
        <w:bidi w:val="0"/>
        <w:spacing w:before="240" w:after="0"/>
        <w:jc w:val="left"/>
        <w:rPr>
          <w:rFonts w:ascii="ARIAL" w:hAnsi="ARIAL"/>
          <w:sz w:val="20"/>
        </w:rPr>
      </w:pPr>
      <w:r>
        <w:rPr>
          <w:rFonts w:ascii="ARIAL" w:hAnsi="ARIAL"/>
          <w:i/>
          <w:sz w:val="20"/>
        </w:rPr>
        <w:t>Quorum.</w:t>
      </w:r>
      <w:r>
        <w:rPr>
          <w:rFonts w:ascii="ARIAL" w:hAnsi="ARIAL"/>
          <w:sz w:val="20"/>
        </w:rPr>
        <w:t xml:space="preserve"> No action may be taken at any general meeting of our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our stockholders, a second general meeting will be called in the same manner as the original meeting of stockholders, to be held within two months, at which second meeting, regardless of the number of shares represented (subject to certain limitations in the event of a disposition of our assets or our liquidation or the amendment of our Articles of Incorporation), valid resolutions may be adopted with respect to any matter stated in the notice of the original meeting and also in the notice of the second meeting or which by law is required to be brought before our stockholders despite the absence of a quorum. </w:t>
      </w:r>
    </w:p>
    <w:p>
      <w:pPr>
        <w:pStyle w:val="TextBody"/>
        <w:bidi w:val="0"/>
        <w:spacing w:before="240" w:after="0"/>
        <w:jc w:val="left"/>
        <w:rPr>
          <w:rFonts w:ascii="ARIAL" w:hAnsi="ARIAL"/>
          <w:sz w:val="20"/>
        </w:rPr>
      </w:pPr>
      <w:r>
        <w:rPr>
          <w:rFonts w:ascii="ARIAL" w:hAnsi="ARIAL"/>
          <w:i/>
          <w:sz w:val="20"/>
        </w:rPr>
        <w:t>Required Vote.</w:t>
      </w:r>
      <w:r>
        <w:rPr>
          <w:rFonts w:ascii="ARIAL" w:hAnsi="ARIAL"/>
          <w:sz w:val="20"/>
        </w:rPr>
        <w:t xml:space="preserve"> In general, any action requiring the approval of our stockholders may be authorized by a majority of the votes cast (excluding any abstentions) at any meeting at which a quorum is present (subject to the quorum exception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 </w:t>
      </w:r>
    </w:p>
    <w:p>
      <w:pPr>
        <w:pStyle w:val="TextBody"/>
        <w:bidi w:val="0"/>
        <w:spacing w:before="240" w:after="0"/>
        <w:jc w:val="left"/>
        <w:rPr>
          <w:rFonts w:ascii="ARIAL" w:hAnsi="ARIAL"/>
          <w:sz w:val="20"/>
        </w:rPr>
      </w:pPr>
      <w:r>
        <w:rPr>
          <w:rFonts w:ascii="ARIAL" w:hAnsi="ARIAL"/>
          <w:sz w:val="20"/>
        </w:rPr>
        <w:t xml:space="preserve">The sale or disposition of all or substantially all of our assets must be approved by the holders of at least a majority of the shares outstanding and entitled to vote, except that under our Articles of Incorporation this requirement does not apply to a reorganization or rearrangement of us or any of our subsidiaries or any of our assets in any transaction that does not result in any diminution of the beneficial interest of our stockholders in our assets. </w:t>
      </w:r>
    </w:p>
    <w:p>
      <w:pPr>
        <w:pStyle w:val="TextBody"/>
        <w:bidi w:val="0"/>
        <w:spacing w:before="240" w:after="0"/>
        <w:jc w:val="left"/>
        <w:rPr>
          <w:rFonts w:ascii="ARIAL" w:hAnsi="ARIAL"/>
          <w:sz w:val="20"/>
        </w:rPr>
      </w:pPr>
      <w:r>
        <w:rPr>
          <w:rFonts w:ascii="ARIAL" w:hAnsi="ARIAL"/>
          <w:sz w:val="20"/>
        </w:rPr>
        <w:t xml:space="preserve">Under our Articles of Incorporation, our board of directors may move our corporate seat to, or convert us into a legal entity under the laws of, another jurisdiction, and may change our corporate domicile from Curaçao to another jurisdiction to the extent allowed by applicable law. In certain cases, stockholder approval of such action may not be required under applicable law. </w:t>
      </w:r>
    </w:p>
    <w:p>
      <w:pPr>
        <w:pStyle w:val="TextBody"/>
        <w:bidi w:val="0"/>
        <w:spacing w:before="360" w:after="0"/>
        <w:jc w:val="left"/>
        <w:rPr>
          <w:rFonts w:ascii="ARIAL" w:hAnsi="ARIAL"/>
          <w:b/>
          <w:sz w:val="20"/>
        </w:rPr>
      </w:pPr>
      <w:r>
        <w:rPr>
          <w:rFonts w:ascii="ARIAL" w:hAnsi="ARIAL"/>
          <w:b/>
          <w:sz w:val="20"/>
        </w:rPr>
        <w:t xml:space="preserve">Preemptive and Other Rights </w:t>
      </w:r>
    </w:p>
    <w:p>
      <w:pPr>
        <w:pStyle w:val="TextBody"/>
        <w:bidi w:val="0"/>
        <w:spacing w:before="120" w:after="0"/>
        <w:jc w:val="left"/>
        <w:rPr>
          <w:rFonts w:ascii="ARIAL" w:hAnsi="ARIAL"/>
          <w:sz w:val="20"/>
        </w:rPr>
      </w:pPr>
      <w:r>
        <w:rPr>
          <w:rFonts w:ascii="ARIAL" w:hAnsi="ARIAL"/>
          <w:sz w:val="20"/>
        </w:rPr>
        <w:t xml:space="preserve">The shares of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 </w:t>
      </w:r>
    </w:p>
    <w:p>
      <w:pPr>
        <w:pStyle w:val="TextBody"/>
        <w:bidi w:val="0"/>
        <w:spacing w:before="360" w:after="0"/>
        <w:jc w:val="left"/>
        <w:rPr>
          <w:rFonts w:ascii="ARIAL" w:hAnsi="ARIAL"/>
          <w:b/>
          <w:sz w:val="20"/>
        </w:rPr>
      </w:pPr>
      <w:r>
        <w:rPr>
          <w:rFonts w:ascii="ARIAL" w:hAnsi="ARIAL"/>
          <w:b/>
          <w:sz w:val="20"/>
        </w:rPr>
        <w:t xml:space="preserve">Rights upon Liquidation </w:t>
      </w:r>
    </w:p>
    <w:p>
      <w:pPr>
        <w:pStyle w:val="TextBody"/>
        <w:bidi w:val="0"/>
        <w:spacing w:before="120" w:after="0"/>
        <w:jc w:val="left"/>
        <w:rPr>
          <w:rFonts w:ascii="ARIAL" w:hAnsi="ARIAL"/>
          <w:sz w:val="20"/>
        </w:rPr>
      </w:pPr>
      <w:r>
        <w:rPr>
          <w:rFonts w:ascii="ARIAL" w:hAnsi="ARIAL"/>
          <w:sz w:val="20"/>
        </w:rPr>
        <w:t xml:space="preserve">In the event of liquidation, each share of common stock is entitled to equal rights after satisfaction of any preferred stock liquidation preference. </w:t>
      </w:r>
    </w:p>
    <w:p>
      <w:pPr>
        <w:pStyle w:val="TextBody"/>
        <w:bidi w:val="0"/>
        <w:spacing w:before="360" w:after="0"/>
        <w:jc w:val="left"/>
        <w:rPr>
          <w:rFonts w:ascii="ARIAL" w:hAnsi="ARIAL"/>
          <w:b/>
          <w:sz w:val="20"/>
        </w:rPr>
      </w:pPr>
      <w:r>
        <w:rPr>
          <w:rFonts w:ascii="ARIAL" w:hAnsi="ARIAL"/>
          <w:b/>
          <w:sz w:val="20"/>
        </w:rPr>
        <w:t xml:space="preserve">Repurchases of Common Stock </w:t>
      </w:r>
    </w:p>
    <w:p>
      <w:pPr>
        <w:pStyle w:val="TextBody"/>
        <w:bidi w:val="0"/>
        <w:spacing w:before="120" w:after="0"/>
        <w:jc w:val="left"/>
        <w:rPr>
          <w:rFonts w:ascii="ARIAL" w:hAnsi="ARIAL"/>
          <w:sz w:val="20"/>
        </w:rPr>
      </w:pPr>
      <w:r>
        <w:rPr>
          <w:rFonts w:ascii="ARIAL" w:hAnsi="ARIAL"/>
          <w:sz w:val="20"/>
        </w:rPr>
        <w:t xml:space="preserve">We may for our own account purchase shares of common stock so long as one share of common stock remains outstanding and our equity before and after such a purchase at least equals its nominal capital. </w:t>
      </w:r>
    </w:p>
    <w:p>
      <w:pPr>
        <w:pStyle w:val="TextBody"/>
        <w:bidi w:val="0"/>
        <w:spacing w:before="360" w:after="0"/>
        <w:jc w:val="left"/>
        <w:rPr>
          <w:rFonts w:ascii="ARIAL" w:hAnsi="ARIAL"/>
          <w:b/>
          <w:sz w:val="20"/>
        </w:rPr>
      </w:pPr>
      <w:r>
        <w:rPr>
          <w:rFonts w:ascii="ARIAL" w:hAnsi="ARIAL"/>
          <w:b/>
          <w:sz w:val="20"/>
        </w:rPr>
        <w:t xml:space="preserve">Governance Provisions and Anti-Takeover Effects </w:t>
      </w:r>
    </w:p>
    <w:p>
      <w:pPr>
        <w:pStyle w:val="TextBody"/>
        <w:bidi w:val="0"/>
        <w:spacing w:before="120" w:after="0"/>
        <w:jc w:val="left"/>
        <w:rPr>
          <w:rFonts w:ascii="ARIAL" w:hAnsi="ARIAL"/>
          <w:b/>
          <w:i/>
          <w:sz w:val="20"/>
        </w:rPr>
      </w:pPr>
      <w:r>
        <w:rPr>
          <w:rFonts w:ascii="ARIAL" w:hAnsi="ARIAL"/>
          <w:b/>
          <w:i/>
          <w:sz w:val="20"/>
        </w:rPr>
        <w:t xml:space="preserve">Available but Unissued Preferred Stock </w:t>
      </w:r>
    </w:p>
    <w:p>
      <w:pPr>
        <w:pStyle w:val="TextBody"/>
        <w:bidi w:val="0"/>
        <w:spacing w:before="120" w:after="0"/>
        <w:jc w:val="left"/>
        <w:rPr>
          <w:rFonts w:ascii="ARIAL" w:hAnsi="ARIAL"/>
          <w:sz w:val="20"/>
        </w:rPr>
      </w:pPr>
      <w:r>
        <w:rPr>
          <w:rFonts w:ascii="ARIAL" w:hAnsi="ARIAL"/>
          <w:sz w:val="20"/>
        </w:rPr>
        <w:t xml:space="preserve">The board of directors has the authority to issue shares of preferred stock in one or more series with such terms as the board determines, provided that they satisfy the provisions set forth in our Articles of Incorporation, including that the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certain other securities, and (6) may contain optional or mandatory redemption provisions. </w:t>
      </w:r>
    </w:p>
    <w:p>
      <w:pPr>
        <w:pStyle w:val="TextBody"/>
        <w:bidi w:val="0"/>
        <w:spacing w:before="360" w:after="0"/>
        <w:jc w:val="left"/>
        <w:rPr>
          <w:rFonts w:ascii="ARIAL" w:hAnsi="ARIAL"/>
          <w:b/>
          <w:i/>
          <w:sz w:val="20"/>
        </w:rPr>
      </w:pPr>
      <w:r>
        <w:rPr>
          <w:rFonts w:ascii="ARIAL" w:hAnsi="ARIAL"/>
          <w:b/>
          <w:i/>
          <w:sz w:val="20"/>
        </w:rPr>
        <w:t xml:space="preserve">Election and Removal of Directors </w:t>
      </w:r>
    </w:p>
    <w:p>
      <w:pPr>
        <w:pStyle w:val="TextBody"/>
        <w:bidi w:val="0"/>
        <w:spacing w:before="120" w:after="0"/>
        <w:jc w:val="left"/>
        <w:rPr>
          <w:rFonts w:ascii="ARIAL" w:hAnsi="ARIAL"/>
          <w:sz w:val="20"/>
        </w:rPr>
      </w:pPr>
      <w:r>
        <w:rPr>
          <w:rFonts w:ascii="ARIAL" w:hAnsi="ARIAL"/>
          <w:sz w:val="20"/>
        </w:rPr>
        <w:t xml:space="preserve">Directors are elected at a general meeting of stockholders by a majority of votes cast by stockholders entitled to vote, except that directors are to be elected by a plurality of voting power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certain elections where the number of nominees exceeds the number of directors to be elected. The number of directors constituting the whole board of directors may not be fewer than five nor more than 24, as fixed from time to time by the board of directors, subject to approval of stockholders of the Company. The maximum number of persons constituting the whole board of directors will, until changed at any succeeding general meeting of stockholders, be the number so fixed. If the number of directors elected by stockholders is smaller than the maximum number of directors as fixed by the board of directors in accordance with our Articles of Incorporation, the board of directors may be authorized, but not obligated, to appoint additional directors such that the total number of directors does not exceed the maximum number of directors as fixed by the board of directors and approved by our stockholders, any such appointment to be effective until the next annual general meeting of stockholders. Directors may be suspended or dismissed at any general meeting of stockholders. A suspension automatically terminates if the person concerned has not been dismissed within two months after the day of suspension. </w:t>
      </w:r>
    </w:p>
    <w:p>
      <w:pPr>
        <w:pStyle w:val="TextBody"/>
        <w:bidi w:val="0"/>
        <w:spacing w:before="360" w:after="0"/>
        <w:jc w:val="left"/>
        <w:rPr>
          <w:rFonts w:ascii="ARIAL" w:hAnsi="ARIAL"/>
          <w:b/>
          <w:i/>
          <w:sz w:val="20"/>
        </w:rPr>
      </w:pPr>
      <w:r>
        <w:rPr>
          <w:rFonts w:ascii="ARIAL" w:hAnsi="ARIAL"/>
          <w:b/>
          <w:i/>
          <w:sz w:val="20"/>
        </w:rPr>
        <w:t xml:space="preserve">Stockholder Meetings </w:t>
      </w:r>
    </w:p>
    <w:p>
      <w:pPr>
        <w:pStyle w:val="TextBody"/>
        <w:bidi w:val="0"/>
        <w:spacing w:before="120" w:after="0"/>
        <w:jc w:val="left"/>
        <w:rPr>
          <w:rFonts w:ascii="ARIAL" w:hAnsi="ARIAL"/>
          <w:sz w:val="20"/>
        </w:rPr>
      </w:pPr>
      <w:r>
        <w:rPr>
          <w:rFonts w:ascii="ARIAL" w:hAnsi="ARIAL"/>
          <w:sz w:val="20"/>
        </w:rPr>
        <w:t xml:space="preserve">In accordance with applicable law, all general meetings of our stockholders must be held in Curaçao. The annual general meeting of our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our stockholders may be called at any time upon the direction of the Chair, the Vice Chair, the Chief Executive Officer, the President or the board of directors. Special general meetings of stockholders may also be called (i) by one or more our stockholders representing at least 10% of the votes that can be cast on the topics they wish to be addressed at such meeting and that have a reasonable interest in having such meeting convened, (ii) by one or more holders of shares representing in the aggregate a majority of shares then outstanding and (iii) in certain circumstances if all of the directors are prevented from or incapable of serving, by any person or persons holding in the aggregate at least 5% of the outstanding shares of common stock for the purpose of electing a board of directors. </w:t>
      </w:r>
    </w:p>
    <w:p>
      <w:pPr>
        <w:pStyle w:val="TextBody"/>
        <w:bidi w:val="0"/>
        <w:spacing w:before="360" w:after="0"/>
        <w:jc w:val="left"/>
        <w:rPr>
          <w:rFonts w:ascii="ARIAL" w:hAnsi="ARIAL"/>
          <w:b/>
          <w:i/>
          <w:sz w:val="20"/>
        </w:rPr>
      </w:pPr>
      <w:r>
        <w:rPr>
          <w:rFonts w:ascii="ARIAL" w:hAnsi="ARIAL"/>
          <w:b/>
          <w:i/>
          <w:sz w:val="20"/>
        </w:rPr>
        <w:t xml:space="preserve">Stockholder Action by Written Consent </w:t>
      </w:r>
    </w:p>
    <w:p>
      <w:pPr>
        <w:pStyle w:val="TextBody"/>
        <w:bidi w:val="0"/>
        <w:spacing w:before="120" w:after="0"/>
        <w:jc w:val="left"/>
        <w:rPr>
          <w:rFonts w:ascii="ARIAL" w:hAnsi="ARIAL"/>
          <w:sz w:val="20"/>
        </w:rPr>
      </w:pPr>
      <w:r>
        <w:rPr>
          <w:rFonts w:ascii="ARIAL" w:hAnsi="ARIAL"/>
          <w:sz w:val="20"/>
        </w:rPr>
        <w:t xml:space="preserve">Under Curaçao law, stockholders may not act by written consent without a meeting, unless all directors and all stockholders entitled to vote on the matter have consented to the taking of such action by the general meeting of stockholders by written consent. </w:t>
      </w:r>
    </w:p>
    <w:p>
      <w:pPr>
        <w:pStyle w:val="TextBody"/>
        <w:bidi w:val="0"/>
        <w:spacing w:before="360" w:after="0"/>
        <w:jc w:val="left"/>
        <w:rPr>
          <w:rFonts w:ascii="ARIAL" w:hAnsi="ARIAL"/>
          <w:b/>
          <w:i/>
          <w:sz w:val="20"/>
        </w:rPr>
      </w:pPr>
      <w:r>
        <w:rPr>
          <w:rFonts w:ascii="ARIAL" w:hAnsi="ARIAL"/>
          <w:b/>
          <w:i/>
          <w:sz w:val="20"/>
        </w:rPr>
        <w:t xml:space="preserve">Notice Requirements for Stockholder Business and Nominations </w:t>
      </w:r>
    </w:p>
    <w:p>
      <w:pPr>
        <w:pStyle w:val="TextBody"/>
        <w:bidi w:val="0"/>
        <w:spacing w:before="120" w:after="0"/>
        <w:jc w:val="left"/>
        <w:rPr>
          <w:rFonts w:ascii="ARIAL" w:hAnsi="ARIAL"/>
          <w:sz w:val="20"/>
        </w:rPr>
      </w:pPr>
      <w:r>
        <w:rPr>
          <w:rFonts w:ascii="ARIAL" w:hAnsi="ARIAL"/>
          <w:sz w:val="20"/>
        </w:rPr>
        <w:t xml:space="preserve">For stockholder proposals to be introduced for consideration at an annual general meeting of stockholders other than pursuant to Securities Exchange Act Rule 14a-8 and for stockholder candidates to be nominated for election as directors other than pursuant to our proxy access bylaw provisions, notice generally must be delivered to the Secretary of SLB at our executive offices not later than 90 days nor earlier than 120 days before the first anniversary of the date of the preceding years annual general meeting of stockholders. Any such notice must otherwise satisfy the requirements of our By-Laws. </w:t>
      </w:r>
    </w:p>
    <w:p>
      <w:pPr>
        <w:pStyle w:val="TextBody"/>
        <w:bidi w:val="0"/>
        <w:spacing w:before="360" w:after="0"/>
        <w:jc w:val="left"/>
        <w:rPr>
          <w:rFonts w:ascii="ARIAL" w:hAnsi="ARIAL"/>
          <w:b/>
          <w:i/>
          <w:sz w:val="20"/>
        </w:rPr>
      </w:pPr>
      <w:r>
        <w:rPr>
          <w:rFonts w:ascii="ARIAL" w:hAnsi="ARIAL"/>
          <w:b/>
          <w:i/>
          <w:sz w:val="20"/>
        </w:rPr>
        <w:t xml:space="preserve">Amendments to our By-Laws </w:t>
      </w:r>
    </w:p>
    <w:p>
      <w:pPr>
        <w:pStyle w:val="TextBody"/>
        <w:bidi w:val="0"/>
        <w:spacing w:before="120" w:after="0"/>
        <w:jc w:val="left"/>
        <w:rPr>
          <w:rFonts w:ascii="ARIAL" w:hAnsi="ARIAL"/>
          <w:sz w:val="20"/>
        </w:rPr>
      </w:pPr>
      <w:r>
        <w:rPr>
          <w:rFonts w:ascii="ARIAL" w:hAnsi="ARIAL"/>
          <w:sz w:val="20"/>
        </w:rPr>
        <w:t xml:space="preserve">Our By-Laws may be amended only by the vote of a majority of the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Buy-Out </w:t>
      </w:r>
    </w:p>
    <w:p>
      <w:pPr>
        <w:pStyle w:val="TextBody"/>
        <w:bidi w:val="0"/>
        <w:spacing w:before="120" w:after="0"/>
        <w:jc w:val="left"/>
        <w:rPr>
          <w:rFonts w:ascii="ARIAL" w:hAnsi="ARIAL"/>
          <w:sz w:val="20"/>
        </w:rPr>
      </w:pPr>
      <w:r>
        <w:rPr>
          <w:rFonts w:ascii="ARIAL" w:hAnsi="ARIAL"/>
          <w:sz w:val="20"/>
        </w:rPr>
        <w:t xml:space="preserve">Under our Articles of Incorporation, any one person, or any two or more legal entities belonging to the same group, holding shares representing at least 90% of our equity can require the remaining stockholders to transfer their shares as provided by and in accordance with the provisions of Curaçao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Curaçao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 </w:t>
      </w:r>
    </w:p>
    <w:p>
      <w:pPr>
        <w:pStyle w:val="TextBody"/>
        <w:bidi w:val="0"/>
        <w:spacing w:before="360" w:after="0"/>
        <w:jc w:val="left"/>
        <w:rPr>
          <w:rFonts w:ascii="ARIAL" w:hAnsi="ARIAL"/>
          <w:b/>
          <w:sz w:val="20"/>
        </w:rPr>
      </w:pPr>
      <w:r>
        <w:rPr>
          <w:rFonts w:ascii="ARIAL" w:hAnsi="ARIAL"/>
          <w:b/>
          <w:sz w:val="20"/>
        </w:rPr>
        <w:t xml:space="preserve">Listing, Transfer Agent and Registrar </w:t>
      </w:r>
    </w:p>
    <w:p>
      <w:pPr>
        <w:pStyle w:val="TextBody"/>
        <w:bidi w:val="0"/>
        <w:spacing w:before="120" w:after="0"/>
        <w:jc w:val="left"/>
        <w:rPr>
          <w:rFonts w:ascii="ARIAL" w:hAnsi="ARIAL"/>
          <w:sz w:val="20"/>
        </w:rPr>
      </w:pPr>
      <w:r>
        <w:rPr>
          <w:rFonts w:ascii="ARIAL" w:hAnsi="ARIAL"/>
          <w:sz w:val="20"/>
        </w:rPr>
        <w:t xml:space="preserve">The principal U.S. market for our common stock is the New York Stock Exchange, where it is traded under the symbol SLB. Our common stock is also listed for trading on the Euronext Paris. </w:t>
      </w:r>
    </w:p>
    <w:p>
      <w:pPr>
        <w:pStyle w:val="TextBody"/>
        <w:bidi w:val="0"/>
        <w:spacing w:before="240" w:after="0"/>
        <w:jc w:val="left"/>
        <w:rPr>
          <w:rFonts w:ascii="ARIAL" w:hAnsi="ARIAL"/>
          <w:sz w:val="20"/>
        </w:rPr>
      </w:pPr>
      <w:r>
        <w:rPr>
          <w:rFonts w:ascii="ARIAL" w:hAnsi="ARIAL"/>
          <w:sz w:val="20"/>
        </w:rPr>
        <w:t xml:space="preserve">The transfer agent and registrar for our common stock is Computershare Trust Company, N.A., Canton, Massachusetts.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2" w:name="toc526977_10"/>
      <w:bookmarkEnd w:id="12"/>
      <w:r>
        <w:rPr>
          <w:rFonts w:ascii="ARIAL" w:hAnsi="ARIAL"/>
          <w:b/>
          <w:sz w:val="20"/>
        </w:rPr>
        <w:t xml:space="preserve">Description of Guarantees of Debt Securities </w:t>
      </w:r>
    </w:p>
    <w:p>
      <w:pPr>
        <w:pStyle w:val="TextBody"/>
        <w:bidi w:val="0"/>
        <w:spacing w:before="240" w:after="0"/>
        <w:jc w:val="left"/>
        <w:rPr>
          <w:rFonts w:ascii="ARIAL" w:hAnsi="ARIAL"/>
          <w:sz w:val="20"/>
        </w:rPr>
      </w:pPr>
      <w:r>
        <w:rPr>
          <w:rFonts w:ascii="ARIAL" w:hAnsi="ARIAL"/>
          <w:sz w:val="20"/>
        </w:rPr>
        <w:t xml:space="preserve">We will set forth in the applicable prospectus supplement a description of any guarantees of debt securities that may be offered pursuant to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3" w:name="toc526977_11"/>
      <w:bookmarkEnd w:id="13"/>
      <w:r>
        <w:rPr>
          <w:rFonts w:ascii="ARIAL" w:hAnsi="ARIAL"/>
          <w:b/>
          <w:sz w:val="20"/>
        </w:rPr>
        <w:t xml:space="preserve">Plan of Distribution </w:t>
      </w:r>
    </w:p>
    <w:p>
      <w:pPr>
        <w:pStyle w:val="TextBody"/>
        <w:bidi w:val="0"/>
        <w:spacing w:before="240" w:after="0"/>
        <w:jc w:val="left"/>
        <w:rPr>
          <w:rFonts w:ascii="ARIAL" w:hAnsi="ARIAL"/>
          <w:sz w:val="20"/>
        </w:rPr>
      </w:pPr>
      <w:r>
        <w:rPr>
          <w:rFonts w:ascii="ARIAL" w:hAnsi="ARIAL"/>
          <w:sz w:val="20"/>
        </w:rPr>
        <w:t xml:space="preserve">We may sell the securities offered pursuant to this prospectus in any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through underwriters,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through a combination of any of these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through any other methods described in a prospectus supplement. </w:t>
            </w:r>
          </w:p>
        </w:tc>
      </w:tr>
    </w:tbl>
    <w:p>
      <w:pPr>
        <w:pStyle w:val="TextBody"/>
        <w:bidi w:val="0"/>
        <w:spacing w:before="240" w:after="0"/>
        <w:jc w:val="left"/>
        <w:rPr>
          <w:rFonts w:ascii="ARIAL" w:hAnsi="ARIAL"/>
          <w:sz w:val="20"/>
        </w:rPr>
      </w:pPr>
      <w:r>
        <w:rPr>
          <w:rFonts w:ascii="ARIAL" w:hAnsi="ARIAL"/>
          <w:sz w:val="20"/>
        </w:rPr>
        <w:t xml:space="preserve">We will identify the specific plan of distribution, including any underwriters, brokers, dealers, agents or direct purchasers and their compensation in a prospectus supplement. </w:t>
      </w:r>
    </w:p>
    <w:p>
      <w:pPr>
        <w:pStyle w:val="TextBody"/>
        <w:bidi w:val="0"/>
        <w:spacing w:before="240" w:after="0"/>
        <w:jc w:val="left"/>
        <w:rPr>
          <w:rFonts w:ascii="ARIAL" w:hAnsi="ARIAL"/>
          <w:sz w:val="20"/>
        </w:rPr>
      </w:pPr>
      <w:r>
        <w:rPr>
          <w:rFonts w:ascii="ARIAL" w:hAnsi="ARIAL"/>
          <w:sz w:val="20"/>
        </w:rPr>
        <w:t xml:space="preserve">Underwriters and agents may be entitled under agreements entered into with the Company to indemnification by us against certain civil liabilities, including liabilities under the Securities Act, or to contribution with respect to payments which the underwriters or agents may be required to make. Underwriters and agents may be customers of, engage in transactions with, or perform services for us and our affiliates in the ordinary course of business. </w:t>
      </w:r>
    </w:p>
    <w:p>
      <w:pPr>
        <w:pStyle w:val="TextBody"/>
        <w:bidi w:val="0"/>
        <w:spacing w:before="240" w:after="0"/>
        <w:jc w:val="left"/>
        <w:rPr>
          <w:rFonts w:ascii="ARIAL" w:hAnsi="ARIAL"/>
          <w:sz w:val="20"/>
        </w:rPr>
      </w:pPr>
      <w:r>
        <w:rPr>
          <w:rFonts w:ascii="ARIAL" w:hAnsi="ARIAL"/>
          <w:sz w:val="20"/>
        </w:rPr>
        <w:t xml:space="preserve">In addition, to the extent this prospectus is used by any selling securityholder to resell common stock or other securities, information with respect to the selling securityholder and the plan of distribution will be contained in a supplement to this prospectus, in a post-effective amendment or in filings we make with the SEC under the Exchange Act that are incorporated by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4" w:name="toc526977_12"/>
      <w:bookmarkEnd w:id="14"/>
      <w:r>
        <w:rPr>
          <w:rFonts w:ascii="ARIAL" w:hAnsi="ARIAL"/>
          <w:b/>
          <w:sz w:val="20"/>
        </w:rPr>
        <w:t xml:space="preserve">Validity of the Securities </w:t>
      </w:r>
    </w:p>
    <w:p>
      <w:pPr>
        <w:pStyle w:val="TextBody"/>
        <w:bidi w:val="0"/>
        <w:spacing w:before="240" w:after="0"/>
        <w:jc w:val="left"/>
        <w:rPr>
          <w:rFonts w:ascii="ARIAL" w:hAnsi="ARIAL"/>
          <w:sz w:val="20"/>
        </w:rPr>
      </w:pPr>
      <w:r>
        <w:rPr>
          <w:rFonts w:ascii="ARIAL" w:hAnsi="ARIAL"/>
          <w:sz w:val="20"/>
        </w:rPr>
        <w:t xml:space="preserve">Gibson, Dunn &amp; Crutcher LLP, New York, New York, will pass upon the validity of the debt securities and guarantees, and STvB Advocaten (Europe) N.V., Amsterdam, The Netherlands, will pass upon the validity of the common stock. </w:t>
      </w:r>
    </w:p>
    <w:p>
      <w:pPr>
        <w:pStyle w:val="TextBody"/>
        <w:bidi w:val="0"/>
        <w:spacing w:before="480" w:after="0"/>
        <w:jc w:val="center"/>
        <w:rPr>
          <w:rFonts w:ascii="ARIAL" w:hAnsi="ARIAL"/>
          <w:b/>
          <w:sz w:val="20"/>
        </w:rPr>
      </w:pPr>
      <w:bookmarkStart w:id="15" w:name="toc526977_13"/>
      <w:bookmarkEnd w:id="15"/>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PART II  INFORMATION NOT REQUIRED IN PROSPECTUS </w:t>
      </w:r>
    </w:p>
    <w:p>
      <w:pPr>
        <w:pStyle w:val="TextBody"/>
        <w:bidi w:val="0"/>
        <w:spacing w:before="240" w:after="0"/>
        <w:jc w:val="left"/>
        <w:rPr>
          <w:rFonts w:ascii="ARIAL" w:hAnsi="ARIAL"/>
          <w:sz w:val="20"/>
        </w:rPr>
      </w:pPr>
      <w:r>
        <w:rPr>
          <w:rFonts w:ascii="ARIAL" w:hAnsi="ARIAL"/>
          <w:b/>
          <w:sz w:val="20"/>
        </w:rPr>
        <w:t xml:space="preserve">Item 14. </w:t>
      </w:r>
      <w:r>
        <w:rPr>
          <w:rFonts w:ascii="ARIAL" w:hAnsi="ARIAL"/>
          <w:b/>
          <w:i/>
          <w:sz w:val="20"/>
        </w:rPr>
        <w:t>Other Expenses of Issuance and Distribution</w:t>
      </w:r>
      <w:r>
        <w:rPr>
          <w:rFonts w:ascii="ARIAL" w:hAnsi="ARIAL"/>
          <w:b/>
          <w:sz w:val="20"/>
        </w:rPr>
        <w:t xml:space="preserve">. </w:t>
      </w:r>
    </w:p>
    <w:p>
      <w:pPr>
        <w:pStyle w:val="TextBody"/>
        <w:bidi w:val="0"/>
        <w:spacing w:before="120" w:after="0"/>
        <w:jc w:val="left"/>
        <w:rPr>
          <w:rFonts w:ascii="ARIAL" w:hAnsi="ARIAL"/>
          <w:sz w:val="20"/>
        </w:rPr>
      </w:pPr>
      <w:r>
        <w:rPr>
          <w:rFonts w:ascii="ARIAL" w:hAnsi="ARIAL"/>
          <w:sz w:val="20"/>
        </w:rPr>
        <w:t xml:space="preserve">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72"/>
        <w:gridCol w:w="441"/>
        <w:gridCol w:w="66"/>
        <w:gridCol w:w="795"/>
        <w:gridCol w:w="365"/>
      </w:tblGrid>
      <w:tr>
        <w:trPr/>
        <w:tc>
          <w:tcPr>
            <w:tcW w:w="5272"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272"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Item</w:t>
            </w:r>
          </w:p>
        </w:tc>
        <w:tc>
          <w:tcPr>
            <w:tcW w:w="441" w:type="dxa"/>
            <w:tcBorders/>
            <w:vAlign w:val="bottom"/>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365" w:type="dxa"/>
            <w:tcBorders/>
            <w:vAlign w:val="bottom"/>
          </w:tcPr>
          <w:p>
            <w:pPr>
              <w:pStyle w:val="TableContents"/>
              <w:bidi w:val="0"/>
              <w:spacing w:before="0" w:after="283"/>
              <w:jc w:val="left"/>
              <w:rPr/>
            </w:pPr>
            <w:r>
              <w:rPr/>
              <w:t> </w:t>
            </w:r>
          </w:p>
        </w:tc>
      </w:tr>
      <w:tr>
        <w:trPr/>
        <w:tc>
          <w:tcPr>
            <w:tcW w:w="5272" w:type="dxa"/>
            <w:tcBorders/>
            <w:shd w:fill="CCEEFF" w:val="clear"/>
          </w:tcPr>
          <w:p>
            <w:pPr>
              <w:pStyle w:val="TableContents"/>
              <w:bidi w:val="0"/>
              <w:spacing w:before="0" w:after="0"/>
              <w:jc w:val="left"/>
              <w:rPr>
                <w:rFonts w:ascii="ARIAL" w:hAnsi="ARIAL"/>
                <w:sz w:val="20"/>
              </w:rPr>
            </w:pPr>
            <w:r>
              <w:rPr>
                <w:rFonts w:ascii="ARIAL" w:hAnsi="ARIAL"/>
                <w:sz w:val="20"/>
              </w:rPr>
              <w:t>SEC registration fee</w:t>
            </w:r>
          </w:p>
        </w:tc>
        <w:tc>
          <w:tcPr>
            <w:tcW w:w="4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365" w:type="dxa"/>
            <w:tcBorders/>
            <w:shd w:fill="CCEEFF" w:val="clear"/>
            <w:vAlign w:val="bottom"/>
          </w:tcPr>
          <w:p>
            <w:pPr>
              <w:pStyle w:val="TableContents"/>
              <w:bidi w:val="0"/>
              <w:spacing w:before="0" w:after="283"/>
              <w:jc w:val="left"/>
              <w:rPr/>
            </w:pPr>
            <w:r>
              <w:rPr/>
              <w:t>(1) </w:t>
            </w:r>
          </w:p>
        </w:tc>
      </w:tr>
      <w:tr>
        <w:trPr/>
        <w:tc>
          <w:tcPr>
            <w:tcW w:w="5272" w:type="dxa"/>
            <w:tcBorders/>
          </w:tcPr>
          <w:p>
            <w:pPr>
              <w:pStyle w:val="TableContents"/>
              <w:bidi w:val="0"/>
              <w:spacing w:before="0" w:after="0"/>
              <w:jc w:val="left"/>
              <w:rPr>
                <w:rFonts w:ascii="ARIAL" w:hAnsi="ARIAL"/>
                <w:sz w:val="20"/>
              </w:rPr>
            </w:pPr>
            <w:r>
              <w:rPr>
                <w:rFonts w:ascii="ARIAL" w:hAnsi="ARIAL"/>
                <w:sz w:val="20"/>
              </w:rPr>
              <w:t>Printing expenses</w:t>
            </w:r>
          </w:p>
        </w:tc>
        <w:tc>
          <w:tcPr>
            <w:tcW w:w="4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365" w:type="dxa"/>
            <w:tcBorders/>
            <w:vAlign w:val="bottom"/>
          </w:tcPr>
          <w:p>
            <w:pPr>
              <w:pStyle w:val="TableContents"/>
              <w:bidi w:val="0"/>
              <w:spacing w:before="0" w:after="283"/>
              <w:jc w:val="left"/>
              <w:rPr/>
            </w:pPr>
            <w:r>
              <w:rPr/>
              <w:t>(2) </w:t>
            </w:r>
          </w:p>
        </w:tc>
      </w:tr>
      <w:tr>
        <w:trPr/>
        <w:tc>
          <w:tcPr>
            <w:tcW w:w="5272" w:type="dxa"/>
            <w:tcBorders/>
            <w:shd w:fill="CCEEFF" w:val="clear"/>
          </w:tcPr>
          <w:p>
            <w:pPr>
              <w:pStyle w:val="TableContents"/>
              <w:bidi w:val="0"/>
              <w:spacing w:before="0" w:after="0"/>
              <w:jc w:val="left"/>
              <w:rPr>
                <w:rFonts w:ascii="ARIAL" w:hAnsi="ARIAL"/>
                <w:sz w:val="20"/>
              </w:rPr>
            </w:pPr>
            <w:r>
              <w:rPr>
                <w:rFonts w:ascii="ARIAL" w:hAnsi="ARIAL"/>
                <w:sz w:val="20"/>
              </w:rPr>
              <w:t>Legal fees and expenses</w:t>
            </w:r>
          </w:p>
        </w:tc>
        <w:tc>
          <w:tcPr>
            <w:tcW w:w="4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365" w:type="dxa"/>
            <w:tcBorders/>
            <w:shd w:fill="CCEEFF" w:val="clear"/>
            <w:vAlign w:val="bottom"/>
          </w:tcPr>
          <w:p>
            <w:pPr>
              <w:pStyle w:val="TableContents"/>
              <w:bidi w:val="0"/>
              <w:spacing w:before="0" w:after="283"/>
              <w:jc w:val="left"/>
              <w:rPr/>
            </w:pPr>
            <w:r>
              <w:rPr/>
              <w:t>(2) </w:t>
            </w:r>
          </w:p>
        </w:tc>
      </w:tr>
      <w:tr>
        <w:trPr/>
        <w:tc>
          <w:tcPr>
            <w:tcW w:w="5272" w:type="dxa"/>
            <w:tcBorders/>
          </w:tcPr>
          <w:p>
            <w:pPr>
              <w:pStyle w:val="TableContents"/>
              <w:bidi w:val="0"/>
              <w:spacing w:before="0" w:after="0"/>
              <w:jc w:val="left"/>
              <w:rPr>
                <w:rFonts w:ascii="ARIAL" w:hAnsi="ARIAL"/>
                <w:sz w:val="20"/>
              </w:rPr>
            </w:pPr>
            <w:r>
              <w:rPr>
                <w:rFonts w:ascii="ARIAL" w:hAnsi="ARIAL"/>
                <w:sz w:val="20"/>
              </w:rPr>
              <w:t>Accounting fees and expenses</w:t>
            </w:r>
          </w:p>
        </w:tc>
        <w:tc>
          <w:tcPr>
            <w:tcW w:w="4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365" w:type="dxa"/>
            <w:tcBorders/>
            <w:vAlign w:val="bottom"/>
          </w:tcPr>
          <w:p>
            <w:pPr>
              <w:pStyle w:val="TableContents"/>
              <w:bidi w:val="0"/>
              <w:spacing w:before="0" w:after="283"/>
              <w:jc w:val="left"/>
              <w:rPr/>
            </w:pPr>
            <w:r>
              <w:rPr/>
              <w:t>(2) </w:t>
            </w:r>
          </w:p>
        </w:tc>
      </w:tr>
      <w:tr>
        <w:trPr/>
        <w:tc>
          <w:tcPr>
            <w:tcW w:w="5272" w:type="dxa"/>
            <w:tcBorders/>
            <w:shd w:fill="CCEEFF" w:val="clear"/>
          </w:tcPr>
          <w:p>
            <w:pPr>
              <w:pStyle w:val="TableContents"/>
              <w:bidi w:val="0"/>
              <w:spacing w:before="0" w:after="0"/>
              <w:jc w:val="left"/>
              <w:rPr>
                <w:rFonts w:ascii="ARIAL" w:hAnsi="ARIAL"/>
                <w:sz w:val="20"/>
              </w:rPr>
            </w:pPr>
            <w:r>
              <w:rPr>
                <w:rFonts w:ascii="ARIAL" w:hAnsi="ARIAL"/>
                <w:sz w:val="20"/>
              </w:rPr>
              <w:t>Trustee fees and expenses</w:t>
            </w:r>
          </w:p>
        </w:tc>
        <w:tc>
          <w:tcPr>
            <w:tcW w:w="4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365" w:type="dxa"/>
            <w:tcBorders/>
            <w:shd w:fill="CCEEFF" w:val="clear"/>
            <w:vAlign w:val="bottom"/>
          </w:tcPr>
          <w:p>
            <w:pPr>
              <w:pStyle w:val="TableContents"/>
              <w:bidi w:val="0"/>
              <w:spacing w:before="0" w:after="283"/>
              <w:jc w:val="left"/>
              <w:rPr/>
            </w:pPr>
            <w:r>
              <w:rPr/>
              <w:t>(2) </w:t>
            </w:r>
          </w:p>
        </w:tc>
      </w:tr>
      <w:tr>
        <w:trPr/>
        <w:tc>
          <w:tcPr>
            <w:tcW w:w="5272" w:type="dxa"/>
            <w:tcBorders/>
          </w:tcPr>
          <w:p>
            <w:pPr>
              <w:pStyle w:val="TableContents"/>
              <w:bidi w:val="0"/>
              <w:spacing w:before="0" w:after="0"/>
              <w:jc w:val="left"/>
              <w:rPr>
                <w:rFonts w:ascii="ARIAL" w:hAnsi="ARIAL"/>
                <w:sz w:val="20"/>
              </w:rPr>
            </w:pPr>
            <w:r>
              <w:rPr>
                <w:rFonts w:ascii="ARIAL" w:hAnsi="ARIAL"/>
                <w:sz w:val="20"/>
              </w:rPr>
              <w:t>Miscellaneous expenses</w:t>
            </w:r>
          </w:p>
        </w:tc>
        <w:tc>
          <w:tcPr>
            <w:tcW w:w="441"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365" w:type="dxa"/>
            <w:tcBorders/>
            <w:vAlign w:val="bottom"/>
          </w:tcPr>
          <w:p>
            <w:pPr>
              <w:pStyle w:val="TableContents"/>
              <w:bidi w:val="0"/>
              <w:spacing w:before="0" w:after="283"/>
              <w:jc w:val="left"/>
              <w:rPr/>
            </w:pPr>
            <w:r>
              <w:rPr/>
              <w:t>(2) </w:t>
            </w:r>
          </w:p>
        </w:tc>
      </w:tr>
      <w:tr>
        <w:trPr/>
        <w:tc>
          <w:tcPr>
            <w:tcW w:w="5272"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441"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365" w:type="dxa"/>
            <w:tcBorders/>
            <w:shd w:fill="CCEEFF" w:val="clear"/>
            <w:vAlign w:val="bottom"/>
          </w:tcPr>
          <w:p>
            <w:pPr>
              <w:pStyle w:val="TableContents"/>
              <w:bidi w:val="0"/>
              <w:spacing w:before="0" w:after="283"/>
              <w:jc w:val="left"/>
              <w:rPr/>
            </w:pPr>
            <w:r>
              <w:rPr/>
              <w:t>(2)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20"/>
              </w:rPr>
            </w:pPr>
            <w:r>
              <w:rPr>
                <w:rFonts w:ascii="ARIAL" w:hAnsi="ARIAL"/>
                <w:sz w:val="20"/>
              </w:rPr>
              <w:t xml:space="preserve">In accordance with Rules 456(b) and 457(r) of the Securities Act of 1933, as amended, we are deferring payment of all of the registration fee for the securities offered by this registration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20"/>
              </w:rPr>
            </w:pPr>
            <w:r>
              <w:rPr>
                <w:rFonts w:ascii="ARIAL" w:hAnsi="ARIAL"/>
                <w:sz w:val="20"/>
              </w:rPr>
              <w:t xml:space="preserve">An estimate of the aggregate amount of these expenses will be reflected in the applicable prospectus supplement. </w:t>
            </w:r>
          </w:p>
        </w:tc>
      </w:tr>
    </w:tbl>
    <w:p>
      <w:pPr>
        <w:pStyle w:val="TextBody"/>
        <w:bidi w:val="0"/>
        <w:spacing w:before="360" w:after="0"/>
        <w:jc w:val="left"/>
        <w:rPr>
          <w:rFonts w:ascii="ARIAL" w:hAnsi="ARIAL"/>
          <w:sz w:val="20"/>
        </w:rPr>
      </w:pPr>
      <w:r>
        <w:rPr>
          <w:rFonts w:ascii="ARIAL" w:hAnsi="ARIAL"/>
          <w:b/>
          <w:sz w:val="20"/>
        </w:rPr>
        <w:t xml:space="preserve">Item 15. </w:t>
      </w:r>
      <w:r>
        <w:rPr>
          <w:rFonts w:ascii="ARIAL" w:hAnsi="ARIAL"/>
          <w:b/>
          <w:i/>
          <w:sz w:val="20"/>
        </w:rPr>
        <w:t>Indemnification of Directors and Officers</w:t>
      </w:r>
      <w:r>
        <w:rPr>
          <w:rFonts w:ascii="ARIAL" w:hAnsi="ARIAL"/>
          <w:b/>
          <w:sz w:val="20"/>
        </w:rPr>
        <w:t xml:space="preserve">. </w:t>
      </w:r>
    </w:p>
    <w:p>
      <w:pPr>
        <w:pStyle w:val="TextBody"/>
        <w:bidi w:val="0"/>
        <w:spacing w:before="120" w:after="0"/>
        <w:jc w:val="left"/>
        <w:rPr>
          <w:rFonts w:ascii="ARIAL" w:hAnsi="ARIAL"/>
          <w:sz w:val="20"/>
        </w:rPr>
      </w:pPr>
      <w:r>
        <w:rPr>
          <w:rFonts w:ascii="ARIAL" w:hAnsi="ARIAL"/>
          <w:sz w:val="20"/>
        </w:rPr>
        <w:t xml:space="preserve">Article 10 of the Articles of Incorporation and Article V of the Amended and Restated By-laws of SLB contain provisions providing for indemnification of SLBs directors, officers, employees and agents. Article 10 of the Articles of Incorporation permits (but does not require) SLB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SLBs Amended and Restated By-laws contains mandatory indemnification for current and former directors and officers as described below. </w:t>
      </w:r>
    </w:p>
    <w:p>
      <w:pPr>
        <w:pStyle w:val="TextBody"/>
        <w:bidi w:val="0"/>
        <w:spacing w:before="240" w:after="0"/>
        <w:jc w:val="left"/>
        <w:rPr>
          <w:rFonts w:ascii="ARIAL" w:hAnsi="ARIAL"/>
          <w:sz w:val="20"/>
        </w:rPr>
      </w:pPr>
      <w:r>
        <w:rPr>
          <w:rFonts w:ascii="ARIAL" w:hAnsi="ARIAL"/>
          <w:sz w:val="20"/>
        </w:rPr>
        <w:t xml:space="preserve">To the fullest extent permitted by applicable law, SLB will indemnify any person who was or is a party or is threatened to be made a party to any threatened, pending or completed action, suit or proceeding, whether civil, criminal, administrative or investigative (other than an action by or in the right of SLB) by reason of the fact that he or she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SLB,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SLB, and, with respect to any criminal action or proceeding, had reasonable cause to believe that such persons conduct was unlawful.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SLB is required to indemnify any current or former officer or director of SLB to the fullest extent allowed by the preceding paragraphs in the event of a Change of Control. Change of Control means a change in control of SLBSLB, which will be deemed to have occurred if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ARIAL" w:hAnsi="ARIAL"/>
                <w:sz w:val="20"/>
              </w:rPr>
            </w:pPr>
            <w:r>
              <w:rPr>
                <w:rFonts w:ascii="ARIAL" w:hAnsi="ARIAL"/>
                <w:sz w:val="20"/>
              </w:rPr>
              <w:t xml:space="preserve">any entity, person or organization is or becomes the legal or beneficial owner, directly or indirectly, of securities of SLB representing 30% or more of the combined voting power of SLBs then outstanding shares without the prior approval of at least two-thirds of the members of our board of directors in office immediately prior to such entity, person or organization attaining such percentage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SLB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ARIAL" w:hAnsi="ARIAL"/>
                <w:sz w:val="20"/>
              </w:rPr>
            </w:pPr>
            <w:r>
              <w:rPr>
                <w:rFonts w:ascii="ARIAL" w:hAnsi="ARIAL"/>
                <w:sz w:val="20"/>
              </w:rPr>
              <w:t xml:space="preserve">during any 15-month period, individuals who at the beginning of such period constituted our board of directors (including for this purpose any new director whose election or nomination for election by SLBs stockholders was approved by a vote of at least two-thirds of the directors then still in office who were directors at the beginning of such period) cease for any reason to constitute at least a majority of our board of directors. </w:t>
            </w:r>
          </w:p>
        </w:tc>
      </w:tr>
    </w:tbl>
    <w:p>
      <w:pPr>
        <w:pStyle w:val="TextBody"/>
        <w:bidi w:val="0"/>
        <w:spacing w:before="240" w:after="0"/>
        <w:jc w:val="left"/>
        <w:rPr>
          <w:rFonts w:ascii="ARIAL" w:hAnsi="ARIAL"/>
          <w:sz w:val="20"/>
        </w:rPr>
      </w:pPr>
      <w:r>
        <w:rPr>
          <w:rFonts w:ascii="ARIAL" w:hAnsi="ARIAL"/>
          <w:sz w:val="20"/>
        </w:rPr>
        <w:t xml:space="preserve">To the fullest extent permitted by applicable law, SLB will indemnify any current or former director or officer who was or is a party or is threatened to be made a party to any threatened, pending or completed action or suit by or in the right of SLB to procure a judgment in SLBs favor by reason of the fact that such person is or was a director, officer, employee or agent of SLB, or is or was serving at the request of SLB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SLB and except that no indemnification may be made with respect to any claim, issue or matter as to which such person has been finally adjudged to be liable to SLB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SLB is required to indemnify any present or former officer or director to the fullest extent allowed by this paragraph in the event of a Change of Control (as defined above). </w:t>
      </w:r>
    </w:p>
    <w:p>
      <w:pPr>
        <w:pStyle w:val="TextBody"/>
        <w:bidi w:val="0"/>
        <w:spacing w:before="240" w:after="0"/>
        <w:jc w:val="left"/>
        <w:rPr>
          <w:rFonts w:ascii="ARIAL" w:hAnsi="ARIAL"/>
          <w:sz w:val="20"/>
        </w:rPr>
      </w:pPr>
      <w:r>
        <w:rPr>
          <w:rFonts w:ascii="ARIAL" w:hAnsi="ARIAL"/>
          <w:sz w:val="20"/>
        </w:rPr>
        <w:t xml:space="preserve">Any indemnification under the preceding three paragraphs (unless ordered by a court) may be extended to current or former employees or agents of SLB only as authorized by the Chief Executive Officer or by contract approved, or by-laws, resolution or other action adopted or taken, by SLBs board of directors or by SLBs stockholders. </w:t>
      </w:r>
    </w:p>
    <w:p>
      <w:pPr>
        <w:pStyle w:val="TextBody"/>
        <w:bidi w:val="0"/>
        <w:spacing w:before="240" w:after="0"/>
        <w:jc w:val="left"/>
        <w:rPr>
          <w:rFonts w:ascii="ARIAL" w:hAnsi="ARIAL"/>
          <w:sz w:val="20"/>
        </w:rPr>
      </w:pPr>
      <w:r>
        <w:rPr>
          <w:rFonts w:ascii="ARIAL" w:hAnsi="ARIAL"/>
          <w:sz w:val="20"/>
        </w:rPr>
        <w:t xml:space="preserve">Expenses (including attorneys fees) incurred by a current or former director or a current officer in defending any civil or criminal, administrative or investigative action, suit or proceeding will be paid by SLB in advance of the final disposition of such action, suit or proceeding upon receipt of an undertaking by or on behalf of such person to repay such amount if it is ultimately determined that such person is not entitled to be indemnified by SLB. </w:t>
      </w:r>
    </w:p>
    <w:p>
      <w:pPr>
        <w:pStyle w:val="TextBody"/>
        <w:bidi w:val="0"/>
        <w:spacing w:before="240" w:after="0"/>
        <w:jc w:val="left"/>
        <w:rPr>
          <w:rFonts w:ascii="ARIAL" w:hAnsi="ARIAL"/>
          <w:sz w:val="20"/>
        </w:rPr>
      </w:pPr>
      <w:r>
        <w:rPr>
          <w:rFonts w:ascii="ARIAL" w:hAnsi="ARIAL"/>
          <w:sz w:val="20"/>
        </w:rPr>
        <w:t xml:space="preserve">SLB may pay such expenses (including attorneys fees) incurred by former officers or other employees and agents upon such terms and conditions, if any, it deems appropriate.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 </w:t>
      </w:r>
    </w:p>
    <w:p>
      <w:pPr>
        <w:pStyle w:val="TextBody"/>
        <w:bidi w:val="0"/>
        <w:spacing w:before="240" w:after="0"/>
        <w:jc w:val="left"/>
        <w:rPr>
          <w:rFonts w:ascii="ARIAL" w:hAnsi="ARIAL"/>
          <w:sz w:val="20"/>
        </w:rPr>
      </w:pPr>
      <w:r>
        <w:rPr>
          <w:rFonts w:ascii="ARIAL" w:hAnsi="ARIAL"/>
          <w:sz w:val="20"/>
        </w:rPr>
        <w:t xml:space="preserve">SLB has the power to purchase and maintain insurance on behalf of any person who is or was a director, officer, employee or agent of SLB, or is or was serving at the request of SLB in such a capacity for another corporation, partnership, joint venture, trust or other enterprise or entity against any liability asserted against that person and incurred by that person in any of those capacities or arising out of such persons status as such, whether or not SLB would have the power to indemnify such person against such liability. </w:t>
      </w:r>
    </w:p>
    <w:p>
      <w:pPr>
        <w:pStyle w:val="TextBody"/>
        <w:bidi w:val="0"/>
        <w:spacing w:before="240" w:after="0"/>
        <w:jc w:val="left"/>
        <w:rPr>
          <w:rFonts w:ascii="ARIAL" w:hAnsi="ARIAL"/>
          <w:sz w:val="20"/>
        </w:rPr>
      </w:pPr>
      <w:r>
        <w:rPr>
          <w:rFonts w:ascii="ARIAL" w:hAnsi="ARIAL"/>
          <w:sz w:val="20"/>
        </w:rPr>
        <w:t xml:space="preserve">References in this Item 15 to SLB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 </w:t>
      </w:r>
    </w:p>
    <w:p>
      <w:pPr>
        <w:pStyle w:val="TextBody"/>
        <w:bidi w:val="0"/>
        <w:spacing w:before="240" w:after="0"/>
        <w:jc w:val="left"/>
        <w:rPr>
          <w:rFonts w:ascii="ARIAL" w:hAnsi="ARIAL"/>
          <w:sz w:val="20"/>
        </w:rPr>
      </w:pPr>
      <w:r>
        <w:rPr>
          <w:rFonts w:ascii="ARIAL" w:hAnsi="ARIAL"/>
          <w:sz w:val="20"/>
        </w:rPr>
        <w:t xml:space="preserve">References in this Item 15 to other enterprises includes employee benefit plans; references to fines includes any excise taxes assessed on a person with respect to any employee benefit plan; and references to serving at the request of SLB includes any service as a director, officer, employee or agent of SLB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SLB. </w:t>
      </w:r>
    </w:p>
    <w:p>
      <w:pPr>
        <w:pStyle w:val="TextBody"/>
        <w:bidi w:val="0"/>
        <w:spacing w:before="240" w:after="0"/>
        <w:jc w:val="left"/>
        <w:rPr>
          <w:rFonts w:ascii="ARIAL" w:hAnsi="ARIAL"/>
          <w:sz w:val="20"/>
        </w:rPr>
      </w:pPr>
      <w:r>
        <w:rPr>
          <w:rFonts w:ascii="ARIAL" w:hAnsi="ARIAL"/>
          <w:sz w:val="20"/>
        </w:rPr>
        <w:t xml:space="preserve">A member of our board of directors, or a member of any committee designated by our board of directors, will, in the performance of such members duties, be fully protected in relying in good faith upon the records of SLB and upon such information, opinions, reports or statements presented to SLB by any of SLBs officers or employees, or committees of our board of directors, or by any other person as to matters the member reasonably believes are within such other persons professional or expert competence and who has been selected with reasonable care by or on behalf of SLB. </w:t>
      </w:r>
    </w:p>
    <w:p>
      <w:pPr>
        <w:pStyle w:val="TextBody"/>
        <w:bidi w:val="0"/>
        <w:spacing w:before="240" w:after="0"/>
        <w:jc w:val="left"/>
        <w:rPr>
          <w:rFonts w:ascii="ARIAL" w:hAnsi="ARIAL"/>
          <w:sz w:val="20"/>
        </w:rPr>
      </w:pPr>
      <w:r>
        <w:rPr>
          <w:rFonts w:ascii="ARIAL" w:hAnsi="ARIAL"/>
          <w:sz w:val="20"/>
        </w:rPr>
        <w:t xml:space="preserve">In addition, SLB maintains directors and officers liability insurance that insures against certain liabilities that the officers and directors of SLB may incur in such capacities.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b/>
          <w:sz w:val="20"/>
        </w:rPr>
        <w:t xml:space="preserve">Item 16. </w:t>
      </w:r>
      <w:r>
        <w:rPr>
          <w:rFonts w:ascii="ARIAL" w:hAnsi="ARIAL"/>
          <w:b/>
          <w:i/>
          <w:sz w:val="20"/>
        </w:rPr>
        <w:t>Exhibits</w:t>
      </w:r>
      <w:r>
        <w:rPr>
          <w:rFonts w:ascii="ARIAL" w:hAnsi="ARIAL"/>
          <w:b/>
          <w:sz w:val="20"/>
        </w:rPr>
        <w:t xml:space="preserve">. </w:t>
      </w:r>
    </w:p>
    <w:p>
      <w:pPr>
        <w:pStyle w:val="TextBody"/>
        <w:bidi w:val="0"/>
        <w:spacing w:before="120" w:after="0"/>
        <w:jc w:val="left"/>
        <w:rPr>
          <w:rFonts w:ascii="ARIAL" w:hAnsi="ARIAL"/>
          <w:sz w:val="20"/>
        </w:rPr>
      </w:pPr>
      <w:r>
        <w:rPr>
          <w:rFonts w:ascii="ARIAL" w:hAnsi="ARIAL"/>
          <w:sz w:val="20"/>
        </w:rPr>
        <w:t xml:space="preserve">Set forth below are the exhibits included as part of this Registration Statement. </w:t>
      </w:r>
    </w:p>
    <w:p>
      <w:pPr>
        <w:pStyle w:val="TextBody"/>
        <w:bidi w:val="0"/>
        <w:spacing w:before="480" w:after="0"/>
        <w:jc w:val="center"/>
        <w:rPr>
          <w:rFonts w:ascii="ARIAL" w:hAnsi="ARIAL"/>
          <w:b/>
          <w:sz w:val="20"/>
        </w:rPr>
      </w:pPr>
      <w:r>
        <w:rPr>
          <w:rFonts w:ascii="ARIAL" w:hAnsi="ARIAL"/>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
        <w:gridCol w:w="579"/>
        <w:gridCol w:w="8971"/>
      </w:tblGrid>
      <w:tr>
        <w:trPr/>
        <w:tc>
          <w:tcPr>
            <w:tcW w:w="655"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8971" w:type="dxa"/>
            <w:tcBorders/>
            <w:vAlign w:val="center"/>
          </w:tcPr>
          <w:p>
            <w:pPr>
              <w:pStyle w:val="TableContents"/>
              <w:bidi w:val="0"/>
              <w:spacing w:before="0" w:after="283"/>
              <w:jc w:val="left"/>
              <w:rPr>
                <w:sz w:val="4"/>
                <w:szCs w:val="4"/>
              </w:rPr>
            </w:pPr>
            <w:r>
              <w:rPr>
                <w:sz w:val="4"/>
                <w:szCs w:val="4"/>
              </w:rPr>
            </w:r>
          </w:p>
        </w:tc>
      </w:tr>
      <w:tr>
        <w:trPr/>
        <w:tc>
          <w:tcPr>
            <w:tcW w:w="655"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 xml:space="preserve">Exhibit </w:t>
              <w:br/>
              <w:t>Number</w:t>
            </w:r>
          </w:p>
        </w:tc>
        <w:tc>
          <w:tcPr>
            <w:tcW w:w="579" w:type="dxa"/>
            <w:tcBorders/>
            <w:vAlign w:val="bottom"/>
          </w:tcPr>
          <w:p>
            <w:pPr>
              <w:pStyle w:val="TableContents"/>
              <w:bidi w:val="0"/>
              <w:spacing w:before="0" w:after="283"/>
              <w:jc w:val="left"/>
              <w:rPr/>
            </w:pPr>
            <w:r>
              <w:rPr/>
              <w:t>  </w:t>
            </w:r>
          </w:p>
        </w:tc>
        <w:tc>
          <w:tcPr>
            <w:tcW w:w="8971"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Description</w:t>
            </w:r>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1.1</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r>
              <w:rPr/>
              <w:t>Form of Underwriting Agreement.*</w:t>
            </w:r>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3.1</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r:id="rId13">
              <w:r>
                <w:rPr>
                  <w:rStyle w:val="InternetLink"/>
                </w:rPr>
                <w:t xml:space="preserve">Articles of Incorporation of Schlumberger Limited (Schlumberger N.V.) (incorporated by reference to Exhibit 3.1 to SLBs Current Report on Form 8-K filed on April 6, 2016).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3.2</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r:id="rId14">
              <w:r>
                <w:rPr>
                  <w:rStyle w:val="InternetLink"/>
                </w:rPr>
                <w:t xml:space="preserve">Amended and Restated By-Laws of Schlumberger Limited (Schlumberger N.V.) (incorporated by reference to Exhibit 3 to SLBs Current Report on Form 8-K filed on April 21, 2023).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4.1</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r:id="rId15">
              <w:r>
                <w:rPr>
                  <w:rStyle w:val="InternetLink"/>
                </w:rPr>
                <w:t xml:space="preserve">Description of Common Stock of Schlumberger Limited (incorporated by reference to Exhibit 4.1 to SLBs Annual Report on Form 10-K filed on January 27, 2021).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4.2</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r:id="rId16">
              <w:r>
                <w:rPr>
                  <w:rStyle w:val="InternetLink"/>
                </w:rPr>
                <w:t xml:space="preserve">Form of Senior Indenture (incorporated by reference to Exhibit 4.2 to SLBs Registration Statement on Form S-3, filed on October 26, 2020).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4.3</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r:id="rId17">
              <w:r>
                <w:rPr>
                  <w:rStyle w:val="InternetLink"/>
                </w:rPr>
                <w:t xml:space="preserve">Form of Subordinated Indenture (incorporated by reference to Exhibit 4.3 to SLBs Registration Statement on Form S-3, filed on October 26, 2020).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4.4</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r>
              <w:rPr/>
              <w:t>Form of Debt Securities.*</w:t>
            </w:r>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5.1</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51.htm">
              <w:r>
                <w:rPr>
                  <w:rStyle w:val="InternetLink"/>
                </w:rPr>
                <w:t xml:space="preserve">Opinion of Gibson, Dunn &amp; Crutcher LLP.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5.2</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52.htm">
              <w:r>
                <w:rPr>
                  <w:rStyle w:val="InternetLink"/>
                </w:rPr>
                <w:t xml:space="preserve">Opinion of STvB Advocaten (Europe) N.V.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22</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r:id="rId18">
              <w:r>
                <w:rPr>
                  <w:rStyle w:val="InternetLink"/>
                </w:rPr>
                <w:t xml:space="preserve">Issuers of Registered Guaranteed Debt Securities (incorporated by reference to Exhibit 22 to SLBs Quarterly Report on Form 10-Q for the quarter ended June 30, 2023, filed on July 26, 2023).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23.1</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231.htm">
              <w:r>
                <w:rPr>
                  <w:rStyle w:val="InternetLink"/>
                </w:rPr>
                <w:t xml:space="preserve">Consent of PricewaterhouseCoopers LLP.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23.2</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51.htm">
              <w:r>
                <w:rPr>
                  <w:rStyle w:val="InternetLink"/>
                </w:rPr>
                <w:t xml:space="preserve">Consent of Gibson, Dunn &amp; Crutcher LLP (set forth in Exhibit 5.1).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23.3</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52.htm">
              <w:r>
                <w:rPr>
                  <w:rStyle w:val="InternetLink"/>
                </w:rPr>
                <w:t xml:space="preserve">Consent of STvB Advocaten (Europe) N.V. (set forth in Exhibit 5.2).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24</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24.htm">
              <w:r>
                <w:rPr>
                  <w:rStyle w:val="InternetLink"/>
                </w:rPr>
                <w:t xml:space="preserve">Power of Attorney. </w:t>
              </w:r>
            </w:hyperlink>
          </w:p>
        </w:tc>
      </w:tr>
      <w:tr>
        <w:trPr>
          <w:trHeight w:val="120" w:hRule="atLeast"/>
        </w:trPr>
        <w:tc>
          <w:tcPr>
            <w:tcW w:w="655" w:type="dxa"/>
            <w:tcBorders/>
            <w:vAlign w:val="center"/>
          </w:tcPr>
          <w:p>
            <w:pPr>
              <w:pStyle w:val="TableContents"/>
              <w:bidi w:val="0"/>
              <w:spacing w:before="0" w:after="283"/>
              <w:jc w:val="left"/>
              <w:rPr>
                <w:sz w:val="4"/>
                <w:szCs w:val="4"/>
              </w:rPr>
            </w:pPr>
            <w:r>
              <w:rPr>
                <w:sz w:val="4"/>
                <w:szCs w:val="4"/>
              </w:rPr>
            </w:r>
          </w:p>
        </w:tc>
        <w:tc>
          <w:tcPr>
            <w:tcW w:w="9550" w:type="dxa"/>
            <w:gridSpan w:val="2"/>
            <w:tcBorders/>
            <w:vAlign w:val="center"/>
          </w:tcPr>
          <w:p>
            <w:pPr>
              <w:pStyle w:val="TableContents"/>
              <w:bidi w:val="0"/>
              <w:spacing w:before="0" w:after="283"/>
              <w:jc w:val="left"/>
              <w:rPr>
                <w:sz w:val="4"/>
                <w:szCs w:val="4"/>
              </w:rPr>
            </w:pPr>
            <w:r>
              <w:rPr>
                <w:sz w:val="4"/>
                <w:szCs w:val="4"/>
              </w:rPr>
            </w:r>
          </w:p>
        </w:tc>
      </w:tr>
      <w:tr>
        <w:trPr/>
        <w:tc>
          <w:tcPr>
            <w:tcW w:w="655" w:type="dxa"/>
            <w:tcBorders/>
          </w:tcPr>
          <w:p>
            <w:pPr>
              <w:pStyle w:val="TableContents"/>
              <w:bidi w:val="0"/>
              <w:spacing w:before="0" w:after="283"/>
              <w:jc w:val="center"/>
              <w:rPr/>
            </w:pPr>
            <w:r>
              <w:rPr/>
              <w:t>107</w:t>
            </w:r>
          </w:p>
        </w:tc>
        <w:tc>
          <w:tcPr>
            <w:tcW w:w="579" w:type="dxa"/>
            <w:tcBorders/>
            <w:vAlign w:val="bottom"/>
          </w:tcPr>
          <w:p>
            <w:pPr>
              <w:pStyle w:val="TableContents"/>
              <w:bidi w:val="0"/>
              <w:spacing w:before="0" w:after="283"/>
              <w:jc w:val="left"/>
              <w:rPr/>
            </w:pPr>
            <w:r>
              <w:rPr/>
              <w:t>  </w:t>
            </w:r>
          </w:p>
        </w:tc>
        <w:tc>
          <w:tcPr>
            <w:tcW w:w="8971" w:type="dxa"/>
            <w:tcBorders/>
          </w:tcPr>
          <w:p>
            <w:pPr>
              <w:pStyle w:val="TableContents"/>
              <w:bidi w:val="0"/>
              <w:spacing w:before="0" w:after="283"/>
              <w:jc w:val="left"/>
              <w:rPr/>
            </w:pPr>
            <w:hyperlink w:anchor="d526977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To be filed by amendment or as an exhibit to a Current Report on Form 8-K and incorporated by reference in the registration statement. </w:t>
            </w:r>
          </w:p>
        </w:tc>
      </w:tr>
    </w:tbl>
    <w:p>
      <w:pPr>
        <w:pStyle w:val="TextBody"/>
        <w:bidi w:val="0"/>
        <w:spacing w:before="360" w:after="0"/>
        <w:jc w:val="left"/>
        <w:rPr>
          <w:rFonts w:ascii="ARIAL" w:hAnsi="ARIAL"/>
          <w:sz w:val="20"/>
        </w:rPr>
      </w:pPr>
      <w:r>
        <w:rPr>
          <w:rFonts w:ascii="ARIAL" w:hAnsi="ARIAL"/>
          <w:b/>
          <w:sz w:val="20"/>
        </w:rPr>
        <w:t xml:space="preserve">Item 17. </w:t>
      </w:r>
      <w:r>
        <w:rPr>
          <w:rFonts w:ascii="ARIAL" w:hAnsi="ARIAL"/>
          <w:b/>
          <w:i/>
          <w:sz w:val="20"/>
        </w:rPr>
        <w:t>Undertakings</w:t>
      </w:r>
      <w:r>
        <w:rPr>
          <w:rFonts w:ascii="ARIAL" w:hAnsi="ARIAL"/>
          <w:b/>
          <w:sz w:val="20"/>
        </w:rPr>
        <w:t xml:space="preserve">. </w:t>
      </w:r>
    </w:p>
    <w:p>
      <w:pPr>
        <w:pStyle w:val="TextBody"/>
        <w:bidi w:val="0"/>
        <w:spacing w:before="120" w:after="0"/>
        <w:jc w:val="left"/>
        <w:rPr>
          <w:rFonts w:ascii="ARIAL" w:hAnsi="ARIAL"/>
          <w:sz w:val="20"/>
        </w:rPr>
      </w:pPr>
      <w:r>
        <w:rPr>
          <w:rFonts w:ascii="ARIAL" w:hAnsi="ARIAL"/>
          <w:sz w:val="20"/>
        </w:rPr>
        <w:t xml:space="preserve">(a) The undersigned registrant hereby undertakes: </w:t>
      </w:r>
    </w:p>
    <w:p>
      <w:pPr>
        <w:pStyle w:val="TextBody"/>
        <w:bidi w:val="0"/>
        <w:spacing w:before="120" w:after="0"/>
        <w:jc w:val="left"/>
        <w:rPr>
          <w:rFonts w:ascii="ARIAL" w:hAnsi="ARIAL"/>
          <w:sz w:val="20"/>
        </w:rPr>
      </w:pPr>
      <w:r>
        <w:rPr>
          <w:rFonts w:ascii="ARIAL" w:hAnsi="ARIAL"/>
          <w:sz w:val="20"/>
        </w:rPr>
        <w:t xml:space="preserve">(1) To file, during any period in which offers or sales are being made, a post-effective amendment to this registration statement: </w:t>
      </w:r>
    </w:p>
    <w:p>
      <w:pPr>
        <w:pStyle w:val="TextBody"/>
        <w:bidi w:val="0"/>
        <w:spacing w:before="120" w:after="0"/>
        <w:jc w:val="left"/>
        <w:rPr>
          <w:rFonts w:ascii="ARIAL" w:hAnsi="ARIAL"/>
          <w:sz w:val="20"/>
        </w:rPr>
      </w:pPr>
      <w:r>
        <w:rPr>
          <w:rFonts w:ascii="ARIAL" w:hAnsi="ARIAL"/>
          <w:sz w:val="20"/>
        </w:rPr>
        <w:t xml:space="preserve">(A) to include any prospectus required by Section 10(a)(3) of the Securities Act of 1933, as amended (the Securities Act); </w:t>
      </w:r>
    </w:p>
    <w:p>
      <w:pPr>
        <w:pStyle w:val="TextBody"/>
        <w:bidi w:val="0"/>
        <w:spacing w:before="120" w:after="0"/>
        <w:jc w:val="left"/>
        <w:rPr>
          <w:rFonts w:ascii="ARIAL" w:hAnsi="ARIAL"/>
          <w:sz w:val="20"/>
        </w:rPr>
      </w:pPr>
      <w:r>
        <w:rPr>
          <w:rFonts w:ascii="ARIAL" w:hAnsi="ARIAL"/>
          <w:sz w:val="20"/>
        </w:rPr>
        <w:t xml:space="preserve">(B) to reflect in the prospectus any facts or events arising after the effective date of the registration statement (or the most recent post-effective amendment thereof) which,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w:t>
      </w:r>
    </w:p>
    <w:p>
      <w:pPr>
        <w:pStyle w:val="TextBody"/>
        <w:bidi w:val="0"/>
        <w:spacing w:before="120" w:after="0"/>
        <w:jc w:val="left"/>
        <w:rPr>
          <w:rFonts w:ascii="ARIAL" w:hAnsi="ARIAL"/>
          <w:sz w:val="20"/>
        </w:rPr>
      </w:pPr>
      <w:r>
        <w:rPr>
          <w:rFonts w:ascii="ARIAL" w:hAnsi="ARIAL"/>
          <w:i/>
          <w:sz w:val="20"/>
        </w:rPr>
        <w:t>provided, however</w:t>
      </w:r>
      <w:r>
        <w:rPr>
          <w:rFonts w:ascii="ARIAL" w:hAnsi="ARIAL"/>
          <w:sz w:val="20"/>
        </w:rPr>
        <w:t xml:space="preserve">, that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 </w:t>
      </w:r>
    </w:p>
    <w:p>
      <w:pPr>
        <w:pStyle w:val="TextBody"/>
        <w:bidi w:val="0"/>
        <w:spacing w:before="120" w:after="0"/>
        <w:jc w:val="left"/>
        <w:rPr>
          <w:rFonts w:ascii="ARIAL" w:hAnsi="ARIAL"/>
          <w:sz w:val="20"/>
        </w:rPr>
      </w:pPr>
      <w:r>
        <w:rPr>
          <w:rFonts w:ascii="ARIAL" w:hAnsi="ARIAL"/>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ARIAL" w:hAnsi="ARIAL"/>
          <w:sz w:val="20"/>
        </w:rPr>
      </w:pPr>
      <w:r>
        <w:rPr>
          <w:rFonts w:ascii="ARIAL" w:hAnsi="ARIAL"/>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ARIAL" w:hAnsi="ARIAL"/>
          <w:sz w:val="20"/>
        </w:rPr>
      </w:pPr>
      <w:r>
        <w:rPr>
          <w:rFonts w:ascii="ARIAL" w:hAnsi="ARIAL"/>
          <w:sz w:val="20"/>
        </w:rPr>
        <w:t xml:space="preserve">(4) That, for the purpose of determining liability under the Securities Act to any purchaser: </w:t>
      </w:r>
    </w:p>
    <w:p>
      <w:pPr>
        <w:pStyle w:val="TextBody"/>
        <w:bidi w:val="0"/>
        <w:spacing w:before="120" w:after="0"/>
        <w:jc w:val="left"/>
        <w:rPr>
          <w:rFonts w:ascii="ARIAL" w:hAnsi="ARIAL"/>
          <w:sz w:val="20"/>
        </w:rPr>
      </w:pPr>
      <w:r>
        <w:rPr>
          <w:rFonts w:ascii="ARIAL" w:hAnsi="ARIAL"/>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ARIAL" w:hAnsi="ARIAL"/>
          <w:sz w:val="20"/>
        </w:rPr>
      </w:pPr>
      <w:r>
        <w:rPr>
          <w:rFonts w:ascii="ARIAL" w:hAnsi="ARIAL"/>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hAnsi="ARIAL"/>
          <w:i/>
          <w:sz w:val="20"/>
        </w:rPr>
        <w:t xml:space="preserve">bona fide </w:t>
      </w:r>
      <w:r>
        <w:rPr>
          <w:rFonts w:ascii="ARIAL" w:hAnsi="ARIAL"/>
          <w:sz w:val="20"/>
        </w:rPr>
        <w:t xml:space="preserve">offering thereof. </w:t>
      </w:r>
    </w:p>
    <w:p>
      <w:pPr>
        <w:pStyle w:val="TextBody"/>
        <w:bidi w:val="0"/>
        <w:spacing w:before="120" w:after="0"/>
        <w:jc w:val="left"/>
        <w:rPr>
          <w:rFonts w:ascii="ARIAL" w:hAnsi="ARIAL"/>
          <w:sz w:val="20"/>
        </w:rPr>
      </w:pPr>
      <w:r>
        <w:rPr>
          <w:rFonts w:ascii="ARIAL" w:hAnsi="ARIAL"/>
          <w:i/>
          <w:sz w:val="20"/>
        </w:rPr>
        <w:t>Provided, however</w:t>
      </w:r>
      <w:r>
        <w:rPr>
          <w:rFonts w:ascii="ARIAL" w:hAnsi="ARIAL"/>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ARIAL" w:hAnsi="ARIAL"/>
          <w:sz w:val="20"/>
        </w:rPr>
      </w:pPr>
      <w:r>
        <w:rPr>
          <w:rFonts w:ascii="ARIAL" w:hAnsi="ARIAL"/>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ARIAL" w:hAnsi="ARIAL"/>
          <w:sz w:val="20"/>
        </w:rPr>
      </w:pPr>
      <w:r>
        <w:rPr>
          <w:rFonts w:ascii="ARIAL" w:hAnsi="ARIAL"/>
          <w:sz w:val="20"/>
        </w:rPr>
        <w:t xml:space="preserve">(A) Any preliminary prospectus or prospectus of the undersigned registrant relating to the offering required to be filed pursuant to Rule 424; </w:t>
      </w:r>
    </w:p>
    <w:p>
      <w:pPr>
        <w:pStyle w:val="TextBody"/>
        <w:bidi w:val="0"/>
        <w:spacing w:before="120" w:after="0"/>
        <w:jc w:val="left"/>
        <w:rPr>
          <w:rFonts w:ascii="ARIAL" w:hAnsi="ARIAL"/>
          <w:sz w:val="20"/>
        </w:rPr>
      </w:pPr>
      <w:r>
        <w:rPr>
          <w:rFonts w:ascii="ARIAL" w:hAnsi="ARIAL"/>
          <w:sz w:val="20"/>
        </w:rPr>
        <w:t xml:space="preserve">(B) Any free writing prospectus relating to the offering prepared by or on behalf of the undersigned registrant or used or referred to by the undersigned registrant; </w:t>
      </w:r>
    </w:p>
    <w:p>
      <w:pPr>
        <w:pStyle w:val="TextBody"/>
        <w:bidi w:val="0"/>
        <w:spacing w:before="120" w:after="0"/>
        <w:jc w:val="left"/>
        <w:rPr>
          <w:rFonts w:ascii="ARIAL" w:hAnsi="ARIAL"/>
          <w:sz w:val="20"/>
        </w:rPr>
      </w:pPr>
      <w:r>
        <w:rPr>
          <w:rFonts w:ascii="ARIAL" w:hAnsi="ARIAL"/>
          <w:sz w:val="20"/>
        </w:rPr>
        <w:t xml:space="preserve">(C)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ARIAL" w:hAnsi="ARIAL"/>
          <w:sz w:val="20"/>
        </w:rPr>
      </w:pPr>
      <w:r>
        <w:rPr>
          <w:rFonts w:ascii="ARIAL" w:hAnsi="ARIAL"/>
          <w:sz w:val="20"/>
        </w:rPr>
        <w:t xml:space="preserve">(D) Any other communication that is an offer in the offering made by the undersigned registrant to the purchaser. </w:t>
      </w:r>
    </w:p>
    <w:p>
      <w:pPr>
        <w:pStyle w:val="TextBody"/>
        <w:bidi w:val="0"/>
        <w:spacing w:before="240" w:after="0"/>
        <w:jc w:val="left"/>
        <w:rPr>
          <w:rFonts w:ascii="ARIAL" w:hAnsi="ARIAL"/>
          <w:sz w:val="20"/>
        </w:rPr>
      </w:pPr>
      <w:r>
        <w:rPr>
          <w:rFonts w:ascii="ARIAL" w:hAnsi="ARIAL"/>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ARIAL" w:hAnsi="ARIAL"/>
          <w:sz w:val="20"/>
        </w:rPr>
      </w:pPr>
      <w:r>
        <w:rPr>
          <w:rFonts w:ascii="ARIAL" w:hAnsi="ARIAL"/>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ARIAL" w:hAnsi="ARIAL"/>
          <w:sz w:val="20"/>
        </w:rPr>
      </w:pPr>
      <w:r>
        <w:rPr>
          <w:rFonts w:ascii="ARIAL" w:hAnsi="ARIAL"/>
          <w:sz w:val="20"/>
        </w:rPr>
        <w:t xml:space="preserve">(d) 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6" w:name="sig"/>
      <w:bookmarkEnd w:id="16"/>
      <w:r>
        <w:rPr>
          <w:rFonts w:ascii="ARIAL" w:hAnsi="ARIAL"/>
          <w:b/>
          <w:sz w:val="20"/>
        </w:rPr>
        <w:t xml:space="preserve">SIGNATURES </w:t>
      </w:r>
    </w:p>
    <w:p>
      <w:pPr>
        <w:pStyle w:val="TextBody"/>
        <w:bidi w:val="0"/>
        <w:spacing w:before="240" w:after="0"/>
        <w:jc w:val="left"/>
        <w:rPr>
          <w:rFonts w:ascii="ARIAL" w:hAnsi="ARIAL"/>
          <w:sz w:val="20"/>
        </w:rPr>
      </w:pPr>
      <w:r>
        <w:rPr>
          <w:rFonts w:ascii="ARIAL" w:hAnsi="ARIAL"/>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14th day of August,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1"/>
        <w:gridCol w:w="60"/>
        <w:gridCol w:w="3671"/>
      </w:tblGrid>
      <w:tr>
        <w:trPr/>
        <w:tc>
          <w:tcPr>
            <w:tcW w:w="35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ARIAL" w:hAnsi="ARIAL"/>
                <w:b/>
                <w:sz w:val="20"/>
              </w:rPr>
            </w:pPr>
            <w:r>
              <w:rPr>
                <w:rFonts w:ascii="ARIAL" w:hAnsi="ARIAL"/>
                <w:b/>
                <w:sz w:val="20"/>
              </w:rPr>
              <w:t>SCHLUMBERGER N.V.</w:t>
            </w:r>
          </w:p>
          <w:p>
            <w:pPr>
              <w:pStyle w:val="TableContents"/>
              <w:bidi w:val="0"/>
              <w:spacing w:before="0" w:after="20"/>
              <w:jc w:val="left"/>
              <w:rPr>
                <w:rFonts w:ascii="ARIAL" w:hAnsi="ARIAL"/>
                <w:b/>
                <w:sz w:val="20"/>
              </w:rPr>
            </w:pPr>
            <w:r>
              <w:rPr>
                <w:rFonts w:ascii="ARIAL" w:hAnsi="ARIAL"/>
                <w:b/>
                <w:sz w:val="20"/>
              </w:rPr>
              <w:t>(Schlumberger Limited)</w:t>
            </w:r>
          </w:p>
        </w:tc>
      </w:tr>
      <w:tr>
        <w:trPr>
          <w:trHeight w:val="240" w:hRule="atLeast"/>
        </w:trPr>
        <w:tc>
          <w:tcPr>
            <w:tcW w:w="351"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r>
      <w:tr>
        <w:trPr/>
        <w:tc>
          <w:tcPr>
            <w:tcW w:w="35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Howard Guild</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Howard Guild</w:t>
            </w:r>
          </w:p>
        </w:tc>
      </w:tr>
      <w:tr>
        <w:trPr/>
        <w:tc>
          <w:tcPr>
            <w:tcW w:w="35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1" w:type="dxa"/>
            <w:tcBorders/>
            <w:vAlign w:val="bottom"/>
          </w:tcPr>
          <w:p>
            <w:pPr>
              <w:pStyle w:val="TableContents"/>
              <w:bidi w:val="0"/>
              <w:spacing w:before="0" w:after="283"/>
              <w:jc w:val="left"/>
              <w:rPr/>
            </w:pPr>
            <w:r>
              <w:rPr/>
              <w:t>Chief Accounting Officer</w:t>
            </w:r>
          </w:p>
        </w:tc>
      </w:tr>
    </w:tbl>
    <w:p>
      <w:pPr>
        <w:pStyle w:val="TextBody"/>
        <w:bidi w:val="0"/>
        <w:spacing w:before="240" w:after="0"/>
        <w:jc w:val="left"/>
        <w:rPr>
          <w:rFonts w:ascii="ARIAL" w:hAnsi="ARIAL"/>
          <w:sz w:val="20"/>
        </w:rPr>
      </w:pPr>
      <w:r>
        <w:rPr>
          <w:rFonts w:ascii="ARIAL" w:hAnsi="ARIAL"/>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56"/>
        <w:gridCol w:w="120"/>
        <w:gridCol w:w="3682"/>
        <w:gridCol w:w="200"/>
        <w:gridCol w:w="1947"/>
      </w:tblGrid>
      <w:tr>
        <w:trPr/>
        <w:tc>
          <w:tcPr>
            <w:tcW w:w="42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Signature</w:t>
            </w:r>
          </w:p>
        </w:tc>
        <w:tc>
          <w:tcPr>
            <w:tcW w:w="120" w:type="dxa"/>
            <w:tcBorders/>
            <w:vAlign w:val="bottom"/>
          </w:tcPr>
          <w:p>
            <w:pPr>
              <w:pStyle w:val="TableContents"/>
              <w:bidi w:val="0"/>
              <w:spacing w:before="0" w:after="283"/>
              <w:jc w:val="left"/>
              <w:rPr/>
            </w:pPr>
            <w:r>
              <w:rPr/>
              <w:t>  </w:t>
            </w:r>
          </w:p>
        </w:tc>
        <w:tc>
          <w:tcPr>
            <w:tcW w:w="3682"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Title</w:t>
            </w:r>
          </w:p>
        </w:tc>
        <w:tc>
          <w:tcPr>
            <w:tcW w:w="200" w:type="dxa"/>
            <w:tcBorders/>
            <w:vAlign w:val="bottom"/>
          </w:tcPr>
          <w:p>
            <w:pPr>
              <w:pStyle w:val="TableContents"/>
              <w:bidi w:val="0"/>
              <w:spacing w:before="0" w:after="283"/>
              <w:jc w:val="left"/>
              <w:rPr/>
            </w:pPr>
            <w:r>
              <w:rPr/>
              <w:t> </w:t>
            </w:r>
          </w:p>
        </w:tc>
        <w:tc>
          <w:tcPr>
            <w:tcW w:w="1947"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Date</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(Olivier Le Peuch)</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0"/>
              <w:jc w:val="center"/>
              <w:rPr>
                <w:rFonts w:ascii="ARIAL" w:hAnsi="ARIAL"/>
                <w:sz w:val="20"/>
              </w:rPr>
            </w:pPr>
            <w:r>
              <w:rPr>
                <w:rFonts w:ascii="ARIAL" w:hAnsi="ARIAL"/>
                <w:sz w:val="20"/>
              </w:rPr>
              <w:t>Chief Executive Officer and Director</w:t>
            </w:r>
          </w:p>
          <w:p>
            <w:pPr>
              <w:pStyle w:val="TableContents"/>
              <w:bidi w:val="0"/>
              <w:spacing w:before="0" w:after="20"/>
              <w:jc w:val="center"/>
              <w:rPr>
                <w:rFonts w:ascii="ARIAL" w:hAnsi="ARIAL"/>
                <w:sz w:val="20"/>
              </w:rPr>
            </w:pPr>
            <w:r>
              <w:rPr>
                <w:rFonts w:ascii="ARIAL" w:hAnsi="ARIAL"/>
                <w:sz w:val="20"/>
              </w:rPr>
              <w:t>(Principal Executive Officer)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(Stephane Biguet)</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0"/>
              <w:jc w:val="center"/>
              <w:rPr>
                <w:rFonts w:ascii="ARIAL" w:hAnsi="ARIAL"/>
                <w:sz w:val="20"/>
              </w:rPr>
            </w:pPr>
            <w:r>
              <w:rPr>
                <w:rFonts w:ascii="ARIAL" w:hAnsi="ARIAL"/>
                <w:sz w:val="20"/>
              </w:rPr>
              <w:t>Executive Vice President and Chief</w:t>
            </w:r>
          </w:p>
          <w:p>
            <w:pPr>
              <w:pStyle w:val="TableContents"/>
              <w:bidi w:val="0"/>
              <w:spacing w:before="0" w:after="0"/>
              <w:jc w:val="center"/>
              <w:rPr>
                <w:rFonts w:ascii="ARIAL" w:hAnsi="ARIAL"/>
                <w:sz w:val="20"/>
              </w:rPr>
            </w:pPr>
            <w:r>
              <w:rPr>
                <w:rFonts w:ascii="ARIAL" w:hAnsi="ARIAL"/>
                <w:sz w:val="20"/>
              </w:rPr>
              <w:t>Financial Officer</w:t>
            </w:r>
          </w:p>
          <w:p>
            <w:pPr>
              <w:pStyle w:val="TableContents"/>
              <w:bidi w:val="0"/>
              <w:spacing w:before="0" w:after="20"/>
              <w:jc w:val="center"/>
              <w:rPr>
                <w:rFonts w:ascii="ARIAL" w:hAnsi="ARIAL"/>
                <w:sz w:val="20"/>
              </w:rPr>
            </w:pPr>
            <w:r>
              <w:rPr>
                <w:rFonts w:ascii="ARIAL" w:hAnsi="ARIAL"/>
                <w:sz w:val="20"/>
              </w:rPr>
              <w:t>(Principal Financial Officer)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/s/ Howard Guild</w:t>
            </w:r>
          </w:p>
          <w:p>
            <w:pPr>
              <w:pStyle w:val="TableContents"/>
              <w:bidi w:val="0"/>
              <w:spacing w:before="0" w:after="20"/>
              <w:jc w:val="center"/>
              <w:rPr>
                <w:rFonts w:ascii="ARIAL" w:hAnsi="ARIAL"/>
                <w:sz w:val="20"/>
              </w:rPr>
            </w:pPr>
            <w:r>
              <w:rPr>
                <w:rFonts w:ascii="ARIAL" w:hAnsi="ARIAL"/>
                <w:sz w:val="20"/>
              </w:rPr>
              <w:t>(Howard Guild)</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0"/>
              <w:jc w:val="center"/>
              <w:rPr>
                <w:rFonts w:ascii="ARIAL" w:hAnsi="ARIAL"/>
                <w:sz w:val="20"/>
              </w:rPr>
            </w:pPr>
            <w:r>
              <w:rPr>
                <w:rFonts w:ascii="ARIAL" w:hAnsi="ARIAL"/>
                <w:sz w:val="20"/>
              </w:rPr>
              <w:t>Chief Accounting Officer</w:t>
            </w:r>
          </w:p>
          <w:p>
            <w:pPr>
              <w:pStyle w:val="TableContents"/>
              <w:bidi w:val="0"/>
              <w:spacing w:before="0" w:after="20"/>
              <w:jc w:val="center"/>
              <w:rPr>
                <w:rFonts w:ascii="ARIAL" w:hAnsi="ARIAL"/>
                <w:sz w:val="20"/>
              </w:rPr>
            </w:pPr>
            <w:r>
              <w:rPr>
                <w:rFonts w:ascii="ARIAL" w:hAnsi="ARIAL"/>
                <w:sz w:val="20"/>
              </w:rPr>
              <w:t>(Principal Accounting Officer)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(Peter Coleman)</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(Patrick de La Chevardière)</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(Miguel Galuccio)</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(James Hackett)</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Chairman of the Board</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(Samuel Leupold)</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(Tatiana Mitrova)</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(Maria Moræus Hanssen)</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r>
        <w:trPr>
          <w:trHeight w:val="240" w:hRule="atLeast"/>
        </w:trPr>
        <w:tc>
          <w:tcPr>
            <w:tcW w:w="4256" w:type="dxa"/>
            <w:tcBorders/>
            <w:vAlign w:val="center"/>
          </w:tcPr>
          <w:p>
            <w:pPr>
              <w:pStyle w:val="TableContents"/>
              <w:bidi w:val="0"/>
              <w:spacing w:before="0" w:after="283"/>
              <w:jc w:val="left"/>
              <w:rPr>
                <w:sz w:val="4"/>
                <w:szCs w:val="4"/>
              </w:rPr>
            </w:pPr>
            <w:r>
              <w:rPr>
                <w:sz w:val="4"/>
                <w:szCs w:val="4"/>
              </w:rPr>
            </w:r>
          </w:p>
        </w:tc>
        <w:tc>
          <w:tcPr>
            <w:tcW w:w="3802" w:type="dxa"/>
            <w:gridSpan w:val="2"/>
            <w:tcBorders/>
            <w:vAlign w:val="center"/>
          </w:tcPr>
          <w:p>
            <w:pPr>
              <w:pStyle w:val="TableContents"/>
              <w:bidi w:val="0"/>
              <w:spacing w:before="0" w:after="283"/>
              <w:jc w:val="left"/>
              <w:rPr>
                <w:sz w:val="4"/>
                <w:szCs w:val="4"/>
              </w:rPr>
            </w:pPr>
            <w:r>
              <w:rPr>
                <w:sz w:val="4"/>
                <w:szCs w:val="4"/>
              </w:rPr>
            </w:r>
          </w:p>
        </w:tc>
        <w:tc>
          <w:tcPr>
            <w:tcW w:w="2147" w:type="dxa"/>
            <w:gridSpan w:val="2"/>
            <w:tcBorders/>
            <w:vAlign w:val="center"/>
          </w:tcPr>
          <w:p>
            <w:pPr>
              <w:pStyle w:val="TableContents"/>
              <w:bidi w:val="0"/>
              <w:spacing w:before="0" w:after="283"/>
              <w:jc w:val="left"/>
              <w:rPr>
                <w:sz w:val="4"/>
                <w:szCs w:val="4"/>
              </w:rPr>
            </w:pPr>
            <w:r>
              <w:rPr>
                <w:sz w:val="4"/>
                <w:szCs w:val="4"/>
              </w:rPr>
            </w:r>
          </w:p>
        </w:tc>
      </w:tr>
      <w:tr>
        <w:trPr/>
        <w:tc>
          <w:tcPr>
            <w:tcW w:w="4256"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(Vanitha Narayanan)</w:t>
            </w:r>
          </w:p>
        </w:tc>
        <w:tc>
          <w:tcPr>
            <w:tcW w:w="120" w:type="dxa"/>
            <w:tcBorders/>
            <w:vAlign w:val="bottom"/>
          </w:tcPr>
          <w:p>
            <w:pPr>
              <w:pStyle w:val="TableContents"/>
              <w:bidi w:val="0"/>
              <w:spacing w:before="0" w:after="283"/>
              <w:jc w:val="left"/>
              <w:rPr/>
            </w:pPr>
            <w:r>
              <w:rPr/>
              <w:t>  </w:t>
            </w:r>
          </w:p>
        </w:tc>
        <w:tc>
          <w:tcPr>
            <w:tcW w:w="3682" w:type="dxa"/>
            <w:tcBorders/>
          </w:tcPr>
          <w:p>
            <w:pPr>
              <w:pStyle w:val="TableContents"/>
              <w:bidi w:val="0"/>
              <w:spacing w:before="0" w:after="283"/>
              <w:jc w:val="center"/>
              <w:rPr/>
            </w:pPr>
            <w:r>
              <w:rPr/>
              <w:t>Director</w:t>
            </w:r>
          </w:p>
        </w:tc>
        <w:tc>
          <w:tcPr>
            <w:tcW w:w="200" w:type="dxa"/>
            <w:tcBorders/>
            <w:vAlign w:val="bottom"/>
          </w:tcPr>
          <w:p>
            <w:pPr>
              <w:pStyle w:val="TableContents"/>
              <w:bidi w:val="0"/>
              <w:spacing w:before="0" w:after="283"/>
              <w:jc w:val="left"/>
              <w:rPr/>
            </w:pPr>
            <w:r>
              <w:rPr/>
              <w:t> </w:t>
            </w:r>
          </w:p>
        </w:tc>
        <w:tc>
          <w:tcPr>
            <w:tcW w:w="1947" w:type="dxa"/>
            <w:tcBorders/>
          </w:tcPr>
          <w:p>
            <w:pPr>
              <w:pStyle w:val="TableContents"/>
              <w:bidi w:val="0"/>
              <w:spacing w:before="0" w:after="283"/>
              <w:jc w:val="center"/>
              <w:rPr/>
            </w:pPr>
            <w:r>
              <w:rPr/>
              <w:t>August 14, 2023</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270"/>
        <w:gridCol w:w="120"/>
        <w:gridCol w:w="3650"/>
        <w:gridCol w:w="201"/>
        <w:gridCol w:w="1964"/>
      </w:tblGrid>
      <w:tr>
        <w:trPr/>
        <w:tc>
          <w:tcPr>
            <w:tcW w:w="42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r>
      <w:tr>
        <w:trPr/>
        <w:tc>
          <w:tcPr>
            <w:tcW w:w="4270"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Signature</w:t>
            </w:r>
          </w:p>
        </w:tc>
        <w:tc>
          <w:tcPr>
            <w:tcW w:w="120" w:type="dxa"/>
            <w:tcBorders/>
            <w:vAlign w:val="bottom"/>
          </w:tcPr>
          <w:p>
            <w:pPr>
              <w:pStyle w:val="TableContents"/>
              <w:bidi w:val="0"/>
              <w:spacing w:before="0" w:after="283"/>
              <w:jc w:val="left"/>
              <w:rPr/>
            </w:pPr>
            <w:r>
              <w:rPr/>
              <w:t>  </w:t>
            </w:r>
          </w:p>
        </w:tc>
        <w:tc>
          <w:tcPr>
            <w:tcW w:w="3650"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Title</w:t>
            </w:r>
          </w:p>
        </w:tc>
        <w:tc>
          <w:tcPr>
            <w:tcW w:w="201" w:type="dxa"/>
            <w:tcBorders/>
            <w:vAlign w:val="bottom"/>
          </w:tcPr>
          <w:p>
            <w:pPr>
              <w:pStyle w:val="TableContents"/>
              <w:bidi w:val="0"/>
              <w:spacing w:before="0" w:after="283"/>
              <w:jc w:val="left"/>
              <w:rPr/>
            </w:pPr>
            <w:r>
              <w:rPr/>
              <w:t> </w:t>
            </w:r>
          </w:p>
        </w:tc>
        <w:tc>
          <w:tcPr>
            <w:tcW w:w="1964" w:type="dxa"/>
            <w:tcBorders/>
            <w:vAlign w:val="bottom"/>
          </w:tcPr>
          <w:p>
            <w:pPr>
              <w:pStyle w:val="TableContents"/>
              <w:pBdr>
                <w:bottom w:val="single" w:sz="8" w:space="1" w:color="000000"/>
              </w:pBdr>
              <w:bidi w:val="0"/>
              <w:spacing w:before="0" w:after="0"/>
              <w:jc w:val="center"/>
              <w:rPr>
                <w:rFonts w:ascii="ARIAL" w:hAnsi="ARIAL"/>
                <w:b/>
                <w:sz w:val="16"/>
              </w:rPr>
            </w:pPr>
            <w:r>
              <w:rPr>
                <w:rFonts w:ascii="ARIAL" w:hAnsi="ARIAL"/>
                <w:b/>
                <w:sz w:val="16"/>
              </w:rPr>
              <w:t>Date</w:t>
            </w:r>
          </w:p>
        </w:tc>
      </w:tr>
      <w:tr>
        <w:trPr>
          <w:trHeight w:val="240" w:hRule="atLeast"/>
        </w:trPr>
        <w:tc>
          <w:tcPr>
            <w:tcW w:w="4270" w:type="dxa"/>
            <w:tcBorders/>
            <w:vAlign w:val="center"/>
          </w:tcPr>
          <w:p>
            <w:pPr>
              <w:pStyle w:val="TableContents"/>
              <w:bidi w:val="0"/>
              <w:spacing w:before="0" w:after="283"/>
              <w:jc w:val="left"/>
              <w:rPr>
                <w:sz w:val="4"/>
                <w:szCs w:val="4"/>
              </w:rPr>
            </w:pPr>
            <w:r>
              <w:rPr>
                <w:sz w:val="4"/>
                <w:szCs w:val="4"/>
              </w:rPr>
            </w:r>
          </w:p>
        </w:tc>
        <w:tc>
          <w:tcPr>
            <w:tcW w:w="37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270"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(Jeff Sheets)</w:t>
            </w:r>
          </w:p>
        </w:tc>
        <w:tc>
          <w:tcPr>
            <w:tcW w:w="12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64" w:type="dxa"/>
            <w:tcBorders/>
          </w:tcPr>
          <w:p>
            <w:pPr>
              <w:pStyle w:val="TableContents"/>
              <w:bidi w:val="0"/>
              <w:spacing w:before="0" w:after="283"/>
              <w:jc w:val="center"/>
              <w:rPr/>
            </w:pPr>
            <w:r>
              <w:rPr/>
              <w:t>August 14, 2023</w:t>
            </w:r>
          </w:p>
        </w:tc>
      </w:tr>
      <w:tr>
        <w:trPr>
          <w:trHeight w:val="240" w:hRule="atLeast"/>
        </w:trPr>
        <w:tc>
          <w:tcPr>
            <w:tcW w:w="4270" w:type="dxa"/>
            <w:tcBorders/>
            <w:vAlign w:val="center"/>
          </w:tcPr>
          <w:p>
            <w:pPr>
              <w:pStyle w:val="TableContents"/>
              <w:bidi w:val="0"/>
              <w:spacing w:before="0" w:after="283"/>
              <w:jc w:val="left"/>
              <w:rPr>
                <w:sz w:val="4"/>
                <w:szCs w:val="4"/>
              </w:rPr>
            </w:pPr>
            <w:r>
              <w:rPr>
                <w:sz w:val="4"/>
                <w:szCs w:val="4"/>
              </w:rPr>
            </w:r>
          </w:p>
        </w:tc>
        <w:tc>
          <w:tcPr>
            <w:tcW w:w="3770" w:type="dxa"/>
            <w:gridSpan w:val="2"/>
            <w:tcBorders/>
            <w:vAlign w:val="center"/>
          </w:tcPr>
          <w:p>
            <w:pPr>
              <w:pStyle w:val="TableContents"/>
              <w:bidi w:val="0"/>
              <w:spacing w:before="0" w:after="283"/>
              <w:jc w:val="left"/>
              <w:rPr>
                <w:sz w:val="4"/>
                <w:szCs w:val="4"/>
              </w:rPr>
            </w:pPr>
            <w:r>
              <w:rPr>
                <w:sz w:val="4"/>
                <w:szCs w:val="4"/>
              </w:rPr>
            </w:r>
          </w:p>
        </w:tc>
        <w:tc>
          <w:tcPr>
            <w:tcW w:w="2165" w:type="dxa"/>
            <w:gridSpan w:val="2"/>
            <w:tcBorders/>
            <w:vAlign w:val="center"/>
          </w:tcPr>
          <w:p>
            <w:pPr>
              <w:pStyle w:val="TableContents"/>
              <w:bidi w:val="0"/>
              <w:spacing w:before="0" w:after="283"/>
              <w:jc w:val="left"/>
              <w:rPr>
                <w:sz w:val="4"/>
                <w:szCs w:val="4"/>
              </w:rPr>
            </w:pPr>
            <w:r>
              <w:rPr>
                <w:sz w:val="4"/>
                <w:szCs w:val="4"/>
              </w:rPr>
            </w:r>
          </w:p>
        </w:tc>
      </w:tr>
      <w:tr>
        <w:trPr/>
        <w:tc>
          <w:tcPr>
            <w:tcW w:w="4270" w:type="dxa"/>
            <w:tcBorders/>
          </w:tcPr>
          <w:p>
            <w:pPr>
              <w:pStyle w:val="TableContents"/>
              <w:pBdr>
                <w:bottom w:val="single" w:sz="2" w:space="1" w:color="000000"/>
              </w:pBdr>
              <w:bidi w:val="0"/>
              <w:spacing w:before="0" w:after="0"/>
              <w:jc w:val="center"/>
              <w:rPr>
                <w:rFonts w:ascii="ARIAL" w:hAnsi="ARIAL"/>
                <w:sz w:val="20"/>
              </w:rPr>
            </w:pPr>
            <w:r>
              <w:rPr>
                <w:rFonts w:ascii="ARIAL" w:hAnsi="ARIAL"/>
                <w:sz w:val="20"/>
              </w:rPr>
              <w:t>*</w:t>
            </w:r>
          </w:p>
          <w:p>
            <w:pPr>
              <w:pStyle w:val="TableContents"/>
              <w:bidi w:val="0"/>
              <w:spacing w:before="0" w:after="20"/>
              <w:jc w:val="center"/>
              <w:rPr>
                <w:rFonts w:ascii="ARIAL" w:hAnsi="ARIAL"/>
                <w:sz w:val="20"/>
              </w:rPr>
            </w:pPr>
            <w:r>
              <w:rPr>
                <w:rFonts w:ascii="ARIAL" w:hAnsi="ARIAL"/>
                <w:sz w:val="20"/>
              </w:rPr>
              <w:t>(Ulrich Spiesshofer)</w:t>
            </w:r>
          </w:p>
        </w:tc>
        <w:tc>
          <w:tcPr>
            <w:tcW w:w="12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964" w:type="dxa"/>
            <w:tcBorders/>
          </w:tcPr>
          <w:p>
            <w:pPr>
              <w:pStyle w:val="TableContents"/>
              <w:bidi w:val="0"/>
              <w:spacing w:before="0" w:after="283"/>
              <w:jc w:val="center"/>
              <w:rPr/>
            </w:pPr>
            <w:r>
              <w:rPr/>
              <w:t>August 14, 2023</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82"/>
        <w:gridCol w:w="60"/>
        <w:gridCol w:w="3540"/>
      </w:tblGrid>
      <w:tr>
        <w:trPr/>
        <w:tc>
          <w:tcPr>
            <w:tcW w:w="4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40" w:type="dxa"/>
            <w:tcBorders/>
            <w:vAlign w:val="center"/>
          </w:tcPr>
          <w:p>
            <w:pPr>
              <w:pStyle w:val="TableContents"/>
              <w:bidi w:val="0"/>
              <w:spacing w:before="0" w:after="283"/>
              <w:jc w:val="left"/>
              <w:rPr>
                <w:sz w:val="4"/>
                <w:szCs w:val="4"/>
              </w:rPr>
            </w:pPr>
            <w:r>
              <w:rPr>
                <w:sz w:val="4"/>
                <w:szCs w:val="4"/>
              </w:rPr>
            </w:r>
          </w:p>
        </w:tc>
      </w:tr>
      <w:tr>
        <w:trPr/>
        <w:tc>
          <w:tcPr>
            <w:tcW w:w="48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40" w:type="dxa"/>
            <w:tcBorders/>
            <w:vAlign w:val="bottom"/>
          </w:tcPr>
          <w:p>
            <w:pPr>
              <w:pStyle w:val="TableContents"/>
              <w:pBdr>
                <w:bottom w:val="single" w:sz="2" w:space="1" w:color="000000"/>
              </w:pBdr>
              <w:bidi w:val="0"/>
              <w:spacing w:before="0" w:after="20"/>
              <w:jc w:val="left"/>
              <w:rPr>
                <w:rFonts w:ascii="ARIAL" w:hAnsi="ARIAL"/>
                <w:sz w:val="20"/>
              </w:rPr>
            </w:pPr>
            <w:r>
              <w:rPr>
                <w:rFonts w:ascii="ARIAL" w:hAnsi="ARIAL"/>
                <w:sz w:val="20"/>
              </w:rPr>
              <w:t>/s/ Dianne B. Ralston</w:t>
            </w:r>
          </w:p>
        </w:tc>
      </w:tr>
      <w:tr>
        <w:trPr/>
        <w:tc>
          <w:tcPr>
            <w:tcW w:w="4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40" w:type="dxa"/>
            <w:tcBorders/>
            <w:vAlign w:val="bottom"/>
          </w:tcPr>
          <w:p>
            <w:pPr>
              <w:pStyle w:val="TableContents"/>
              <w:bidi w:val="0"/>
              <w:spacing w:before="0" w:after="283"/>
              <w:jc w:val="left"/>
              <w:rPr/>
            </w:pPr>
            <w:r>
              <w:rPr/>
              <w:t>Dianne B. Ralston</w:t>
            </w:r>
          </w:p>
        </w:tc>
      </w:tr>
      <w:tr>
        <w:trPr/>
        <w:tc>
          <w:tcPr>
            <w:tcW w:w="48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40" w:type="dxa"/>
            <w:tcBorders/>
            <w:vAlign w:val="bottom"/>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II-8 </w:t>
      </w:r>
    </w:p>
    <w:p>
      <w:pPr>
        <w:pStyle w:val="TextBody"/>
        <w:bidi w:val="0"/>
        <w:spacing w:before="0" w:after="0"/>
        <w:jc w:val="right"/>
        <w:rPr>
          <w:rFonts w:ascii="ARIAL" w:hAnsi="ARIAL"/>
          <w:b/>
          <w:sz w:val="20"/>
        </w:rPr>
      </w:pPr>
      <w:bookmarkStart w:id="17" w:name="d526977dex51.htm"/>
      <w:bookmarkStart w:id="18" w:name="ksd526977dex51"/>
      <w:bookmarkEnd w:id="17"/>
      <w:bookmarkEnd w:id="18"/>
      <w:r>
        <w:rPr>
          <w:rFonts w:ascii="ARIAL" w:hAnsi="ARIAL"/>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35"/>
        <w:gridCol w:w="120"/>
        <w:gridCol w:w="2350"/>
      </w:tblGrid>
      <w:tr>
        <w:trPr/>
        <w:tc>
          <w:tcPr>
            <w:tcW w:w="77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r>
      <w:tr>
        <w:trPr/>
        <w:tc>
          <w:tcPr>
            <w:tcW w:w="7735" w:type="dxa"/>
            <w:tcBorders/>
          </w:tcPr>
          <w:p>
            <w:pPr>
              <w:pStyle w:val="TableContents"/>
              <w:bidi w:val="0"/>
              <w:spacing w:before="0" w:after="283"/>
              <w:jc w:val="left"/>
              <w:rPr/>
            </w:pPr>
            <w:r>
              <w:rPr/>
              <w:drawing>
                <wp:inline distT="0" distB="0" distL="0" distR="0">
                  <wp:extent cx="197167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1971675" cy="27622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2350" w:type="dxa"/>
            <w:tcBorders/>
          </w:tcPr>
          <w:p>
            <w:pPr>
              <w:pStyle w:val="TableContents"/>
              <w:bidi w:val="0"/>
              <w:spacing w:before="0" w:after="0"/>
              <w:jc w:val="left"/>
              <w:rPr>
                <w:rFonts w:ascii="ARIAL" w:hAnsi="ARIAL"/>
                <w:sz w:val="16"/>
              </w:rPr>
            </w:pPr>
            <w:r>
              <w:rPr>
                <w:rFonts w:ascii="ARIAL" w:hAnsi="ARIAL"/>
                <w:sz w:val="16"/>
              </w:rPr>
              <w:t>Gibson, Dunn &amp; Crutcher LLP</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200 Part Avenue</w:t>
            </w:r>
          </w:p>
          <w:p>
            <w:pPr>
              <w:pStyle w:val="TableContents"/>
              <w:bidi w:val="0"/>
              <w:spacing w:before="0" w:after="0"/>
              <w:jc w:val="left"/>
              <w:rPr>
                <w:rFonts w:ascii="ARIAL" w:hAnsi="ARIAL"/>
                <w:sz w:val="16"/>
              </w:rPr>
            </w:pPr>
            <w:r>
              <w:rPr>
                <w:rFonts w:ascii="ARIAL" w:hAnsi="ARIAL"/>
                <w:sz w:val="16"/>
              </w:rPr>
              <w:t>New York, NY 10166-0193</w:t>
            </w:r>
          </w:p>
          <w:p>
            <w:pPr>
              <w:pStyle w:val="TableContents"/>
              <w:bidi w:val="0"/>
              <w:spacing w:before="0" w:after="0"/>
              <w:jc w:val="left"/>
              <w:rPr>
                <w:rFonts w:ascii="ARIAL" w:hAnsi="ARIAL"/>
                <w:sz w:val="16"/>
              </w:rPr>
            </w:pPr>
            <w:r>
              <w:rPr>
                <w:rFonts w:ascii="ARIAL" w:hAnsi="ARIAL"/>
                <w:sz w:val="16"/>
              </w:rPr>
              <w:t>Tel 212.351.4000</w:t>
            </w:r>
          </w:p>
          <w:p>
            <w:pPr>
              <w:pStyle w:val="TableContents"/>
              <w:bidi w:val="0"/>
              <w:spacing w:before="0" w:after="20"/>
              <w:jc w:val="left"/>
              <w:rPr>
                <w:rFonts w:ascii="ARIAL" w:hAnsi="ARIAL"/>
                <w:sz w:val="16"/>
              </w:rPr>
            </w:pPr>
            <w:r>
              <w:rPr>
                <w:rFonts w:ascii="ARIAL" w:hAnsi="ARIAL"/>
                <w:sz w:val="16"/>
              </w:rPr>
              <w:t>www.gibsondunn.com</w:t>
            </w:r>
          </w:p>
        </w:tc>
      </w:tr>
    </w:tbl>
    <w:p>
      <w:pPr>
        <w:pStyle w:val="TextBody"/>
        <w:bidi w:val="0"/>
        <w:spacing w:before="240" w:after="0"/>
        <w:jc w:val="left"/>
        <w:rPr>
          <w:rFonts w:ascii="ARIAL" w:hAnsi="ARIAL"/>
          <w:sz w:val="20"/>
        </w:rPr>
      </w:pPr>
      <w:r>
        <w:rPr>
          <w:rFonts w:ascii="ARIAL" w:hAnsi="ARIAL"/>
          <w:sz w:val="20"/>
        </w:rPr>
        <w:t xml:space="preserve">August 14, 2023 </w:t>
      </w:r>
    </w:p>
    <w:p>
      <w:pPr>
        <w:pStyle w:val="TextBody"/>
        <w:bidi w:val="0"/>
        <w:spacing w:before="360" w:after="0"/>
        <w:jc w:val="left"/>
        <w:rPr>
          <w:rFonts w:ascii="ARIAL" w:hAnsi="ARIAL"/>
          <w:sz w:val="20"/>
        </w:rPr>
      </w:pPr>
      <w:r>
        <w:rPr>
          <w:rFonts w:ascii="ARIAL" w:hAnsi="ARIAL"/>
          <w:sz w:val="20"/>
        </w:rPr>
        <w:t xml:space="preserve">Schlumberger N.V. (Schlumberger Limited) </w:t>
      </w:r>
    </w:p>
    <w:p>
      <w:pPr>
        <w:pStyle w:val="TextBody"/>
        <w:bidi w:val="0"/>
        <w:spacing w:before="0" w:after="0"/>
        <w:jc w:val="left"/>
        <w:rPr>
          <w:rFonts w:ascii="ARIAL" w:hAnsi="ARIAL"/>
          <w:sz w:val="20"/>
        </w:rPr>
      </w:pPr>
      <w:r>
        <w:rPr>
          <w:rFonts w:ascii="ARIAL" w:hAnsi="ARIAL"/>
          <w:sz w:val="20"/>
        </w:rPr>
        <w:t xml:space="preserve">5599 San Felipe </w:t>
      </w:r>
    </w:p>
    <w:p>
      <w:pPr>
        <w:pStyle w:val="TextBody"/>
        <w:bidi w:val="0"/>
        <w:spacing w:before="0" w:after="0"/>
        <w:jc w:val="left"/>
        <w:rPr>
          <w:rFonts w:ascii="ARIAL" w:hAnsi="ARIAL"/>
          <w:sz w:val="20"/>
        </w:rPr>
      </w:pPr>
      <w:r>
        <w:rPr>
          <w:rFonts w:ascii="ARIAL" w:hAnsi="ARIAL"/>
          <w:sz w:val="20"/>
        </w:rPr>
        <w:t xml:space="preserve">Houston, Texas 77056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ARIAL" w:hAnsi="ARIAL"/>
                <w:sz w:val="20"/>
              </w:rPr>
            </w:pPr>
            <w:r>
              <w:rPr>
                <w:rFonts w:ascii="ARIAL" w:hAnsi="ARIAL"/>
                <w:i/>
                <w:sz w:val="20"/>
              </w:rPr>
              <w:t>Schlumberger N.V. (Schlumberger Limited)</w:t>
            </w:r>
            <w:r>
              <w:rPr>
                <w:rFonts w:ascii="ARIAL" w:hAnsi="ARIAL"/>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ARIAL" w:hAnsi="ARIAL"/>
                <w:i/>
                <w:sz w:val="20"/>
              </w:rPr>
            </w:pPr>
            <w:r>
              <w:rPr>
                <w:rFonts w:ascii="ARIAL" w:hAnsi="ARIAL"/>
                <w:i/>
                <w:sz w:val="20"/>
              </w:rPr>
              <w:t xml:space="preserve">Registration Statement on Form S-3 </w:t>
            </w:r>
          </w:p>
        </w:tc>
      </w:tr>
    </w:tbl>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left"/>
        <w:rPr>
          <w:rFonts w:ascii="ARIAL" w:hAnsi="ARIAL"/>
          <w:sz w:val="20"/>
        </w:rPr>
      </w:pPr>
      <w:r>
        <w:rPr>
          <w:rFonts w:ascii="ARIAL" w:hAnsi="ARIAL"/>
          <w:sz w:val="20"/>
        </w:rPr>
        <w:t>We have acted as counsel to Schlumberger N.V. (Schlumberger Limited), a Curaçao company (the </w:t>
      </w:r>
      <w:r>
        <w:rPr>
          <w:rFonts w:ascii="ARIAL" w:hAnsi="ARIAL"/>
          <w:b/>
          <w:sz w:val="20"/>
        </w:rPr>
        <w:t>Company</w:t>
      </w:r>
      <w:r>
        <w:rPr>
          <w:rFonts w:ascii="ARIAL" w:hAnsi="ARIAL"/>
          <w:sz w:val="20"/>
        </w:rPr>
        <w:t>), in connection with the preparation and filing with the Securities and Exchange Commission (the </w:t>
      </w:r>
      <w:r>
        <w:rPr>
          <w:rFonts w:ascii="ARIAL" w:hAnsi="ARIAL"/>
          <w:b/>
          <w:sz w:val="20"/>
        </w:rPr>
        <w:t>Commission</w:t>
      </w:r>
      <w:r>
        <w:rPr>
          <w:rFonts w:ascii="ARIAL" w:hAnsi="ARIAL"/>
          <w:sz w:val="20"/>
        </w:rPr>
        <w:t>) of a Registration Statement on Form S-3 (the </w:t>
      </w:r>
      <w:r>
        <w:rPr>
          <w:rFonts w:ascii="ARIAL" w:hAnsi="ARIAL"/>
          <w:b/>
          <w:sz w:val="20"/>
        </w:rPr>
        <w:t>Registration Statement</w:t>
      </w:r>
      <w:r>
        <w:rPr>
          <w:rFonts w:ascii="ARIAL" w:hAnsi="ARIAL"/>
          <w:sz w:val="20"/>
        </w:rPr>
        <w:t>) under the Securities Act of 1933, as amended (the </w:t>
      </w:r>
      <w:r>
        <w:rPr>
          <w:rFonts w:ascii="ARIAL" w:hAnsi="ARIAL"/>
          <w:b/>
          <w:sz w:val="20"/>
        </w:rPr>
        <w:t>Securities Act</w:t>
      </w:r>
      <w:r>
        <w:rPr>
          <w:rFonts w:ascii="ARIAL" w:hAnsi="ARIAL"/>
          <w:sz w:val="20"/>
        </w:rPr>
        <w:t xml:space="preserve">), relating to the registration under the Securities Act and the proposed issuance and sale from time to time pursuant to Rule 415 under the Securities Act, together or separately and in one or more series (if applicable) of: </w:t>
      </w:r>
    </w:p>
    <w:p>
      <w:pPr>
        <w:pStyle w:val="TextBody"/>
        <w:bidi w:val="0"/>
        <w:spacing w:before="120" w:after="0"/>
        <w:jc w:val="left"/>
        <w:rPr>
          <w:rFonts w:ascii="ARIAL" w:hAnsi="ARIAL"/>
          <w:sz w:val="20"/>
        </w:rPr>
      </w:pPr>
      <w:r>
        <w:rPr>
          <w:rFonts w:ascii="ARIAL" w:hAnsi="ARIAL"/>
          <w:sz w:val="20"/>
        </w:rPr>
        <w:t>(i)    the Companys debt securities, which may either be senior debt securities (the </w:t>
      </w:r>
      <w:r>
        <w:rPr>
          <w:rFonts w:ascii="ARIAL" w:hAnsi="ARIAL"/>
          <w:b/>
          <w:sz w:val="20"/>
        </w:rPr>
        <w:t>Senior Debt Securities</w:t>
      </w:r>
      <w:r>
        <w:rPr>
          <w:rFonts w:ascii="ARIAL" w:hAnsi="ARIAL"/>
          <w:sz w:val="20"/>
        </w:rPr>
        <w:t>) or subordinated debt securities (the </w:t>
      </w:r>
      <w:r>
        <w:rPr>
          <w:rFonts w:ascii="ARIAL" w:hAnsi="ARIAL"/>
          <w:b/>
          <w:sz w:val="20"/>
        </w:rPr>
        <w:t>Subordinated Debt Securities</w:t>
      </w:r>
      <w:r>
        <w:rPr>
          <w:rFonts w:ascii="ARIAL" w:hAnsi="ARIAL"/>
          <w:sz w:val="20"/>
        </w:rPr>
        <w:t> and, collectively with the Senior Debt Securities, the </w:t>
      </w:r>
      <w:r>
        <w:rPr>
          <w:rFonts w:ascii="ARIAL" w:hAnsi="ARIAL"/>
          <w:b/>
          <w:sz w:val="20"/>
        </w:rPr>
        <w:t>Debt Securities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(ii)    guarantees of debt securities (the </w:t>
      </w:r>
      <w:r>
        <w:rPr>
          <w:rFonts w:ascii="ARIAL" w:hAnsi="ARIAL"/>
          <w:b/>
          <w:sz w:val="20"/>
        </w:rPr>
        <w:t>Guarantees</w:t>
      </w:r>
      <w:r>
        <w:rPr>
          <w:rFonts w:ascii="ARIAL" w:hAnsi="ARIAL"/>
          <w:sz w:val="20"/>
        </w:rPr>
        <w:t xml:space="preserve">); and </w:t>
      </w:r>
    </w:p>
    <w:p>
      <w:pPr>
        <w:pStyle w:val="TextBody"/>
        <w:bidi w:val="0"/>
        <w:spacing w:before="240" w:after="0"/>
        <w:jc w:val="left"/>
        <w:rPr>
          <w:rFonts w:ascii="ARIAL" w:hAnsi="ARIAL"/>
          <w:sz w:val="20"/>
        </w:rPr>
      </w:pPr>
      <w:r>
        <w:rPr>
          <w:rFonts w:ascii="ARIAL" w:hAnsi="ARIAL"/>
          <w:sz w:val="20"/>
        </w:rPr>
        <w:t>(iii)    shares of the Companys common stock, par value $0.01 per share (the </w:t>
      </w:r>
      <w:r>
        <w:rPr>
          <w:rFonts w:ascii="ARIAL" w:hAnsi="ARIAL"/>
          <w:b/>
          <w:sz w:val="20"/>
        </w:rPr>
        <w:t>Common Stock</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The Debt Securities, Guarantees and Common Stock are collectively referred to herein as the </w:t>
      </w:r>
      <w:r>
        <w:rPr>
          <w:rFonts w:ascii="ARIAL" w:hAnsi="ARIAL"/>
          <w:b/>
          <w:sz w:val="20"/>
        </w:rPr>
        <w:t>Securities.</w:t>
      </w:r>
      <w:r>
        <w:rPr>
          <w:rFonts w:ascii="ARIAL" w:hAnsi="ARIAL"/>
          <w:sz w:val="20"/>
        </w:rPr>
        <w:t> Any Senior Debt Securities are to be issued under an indenture to be entered into between the Company and a financial institution to be named at the time such indenture is executed (the </w:t>
      </w:r>
      <w:r>
        <w:rPr>
          <w:rFonts w:ascii="ARIAL" w:hAnsi="ARIAL"/>
          <w:b/>
          <w:sz w:val="20"/>
        </w:rPr>
        <w:t>Trust Company</w:t>
      </w:r>
      <w:r>
        <w:rPr>
          <w:rFonts w:ascii="ARIAL" w:hAnsi="ARIAL"/>
          <w:sz w:val="20"/>
        </w:rPr>
        <w:t>), as indenture trustee (the </w:t>
      </w:r>
      <w:r>
        <w:rPr>
          <w:rFonts w:ascii="ARIAL" w:hAnsi="ARIAL"/>
          <w:b/>
          <w:sz w:val="20"/>
        </w:rPr>
        <w:t>Senior Base Indenture</w:t>
      </w:r>
      <w:r>
        <w:rPr>
          <w:rFonts w:ascii="ARIAL" w:hAnsi="ARIAL"/>
          <w:sz w:val="20"/>
        </w:rPr>
        <w:t>). Any Subordinated Debt Securities are to be issued under an indenture to be entered into between the Company and Trust Company, as indenture trustee (the </w:t>
      </w:r>
      <w:r>
        <w:rPr>
          <w:rFonts w:ascii="ARIAL" w:hAnsi="ARIAL"/>
          <w:b/>
          <w:sz w:val="20"/>
        </w:rPr>
        <w:t>Subordinated Base Indenture</w:t>
      </w:r>
      <w:r>
        <w:rPr>
          <w:rFonts w:ascii="ARIAL" w:hAnsi="ARIAL"/>
          <w:sz w:val="20"/>
        </w:rPr>
        <w:t> and, together with the Senior Base Indenture, the </w:t>
      </w:r>
      <w:r>
        <w:rPr>
          <w:rFonts w:ascii="ARIAL" w:hAnsi="ARIAL"/>
          <w:b/>
          <w:sz w:val="20"/>
        </w:rPr>
        <w:t>Base Indentures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16"/>
        </w:rPr>
      </w:pPr>
      <w:r>
        <w:rPr>
          <w:rFonts w:ascii="ARIAL" w:hAnsi="ARIAL"/>
          <w:sz w:val="16"/>
        </w:rPr>
        <w:t xml:space="preserve">Abu Dhabi  Beijing  Brussels  Century City  Dallas  Denver  Dubai  Frankfurt  Hong Kong  Houston  London  Los Angeles </w:t>
      </w:r>
    </w:p>
    <w:p>
      <w:pPr>
        <w:pStyle w:val="TextBody"/>
        <w:bidi w:val="0"/>
        <w:spacing w:before="0" w:after="0"/>
        <w:jc w:val="center"/>
        <w:rPr>
          <w:rFonts w:ascii="ARIAL" w:hAnsi="ARIAL"/>
          <w:sz w:val="16"/>
        </w:rPr>
      </w:pPr>
      <w:r>
        <w:rPr>
          <w:rFonts w:ascii="ARIAL" w:hAnsi="ARIAL"/>
          <w:sz w:val="16"/>
        </w:rPr>
        <w:t xml:space="preserve">Munich  New York  Orange County  Palo Alto  Paris  San Francisco  Singapore  Washington, D.C.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7167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0"/>
                    <a:stretch>
                      <a:fillRect/>
                    </a:stretch>
                  </pic:blipFill>
                  <pic:spPr bwMode="auto">
                    <a:xfrm>
                      <a:off x="0" y="0"/>
                      <a:ext cx="1971675" cy="2762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Schlumberger N.V. (Schlumberger Limited) </w:t>
      </w:r>
    </w:p>
    <w:p>
      <w:pPr>
        <w:pStyle w:val="TextBody"/>
        <w:bidi w:val="0"/>
        <w:spacing w:before="0" w:after="0"/>
        <w:jc w:val="left"/>
        <w:rPr>
          <w:rFonts w:ascii="ARIAL" w:hAnsi="ARIAL"/>
          <w:sz w:val="20"/>
        </w:rPr>
      </w:pPr>
      <w:r>
        <w:rPr>
          <w:rFonts w:ascii="ARIAL" w:hAnsi="ARIAL"/>
          <w:sz w:val="20"/>
        </w:rPr>
        <w:t xml:space="preserve">August 14, 2023 </w:t>
      </w:r>
    </w:p>
    <w:p>
      <w:pPr>
        <w:pStyle w:val="TextBody"/>
        <w:bidi w:val="0"/>
        <w:spacing w:before="0" w:after="0"/>
        <w:jc w:val="left"/>
        <w:rPr>
          <w:rFonts w:ascii="ARIAL" w:hAnsi="ARIAL"/>
          <w:sz w:val="20"/>
        </w:rPr>
      </w:pPr>
      <w:r>
        <w:rPr>
          <w:rFonts w:ascii="ARIAL" w:hAnsi="ARIAL"/>
          <w:sz w:val="20"/>
        </w:rPr>
        <w:t xml:space="preserve">Page 2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arriving at the opinions expressed below, we have examined originals, or copies certified or otherwise identified to our satisfaction as being true and complete copies of the originals, of the form of Senior Base Indenture filed as Exhibit 4.2 to the Registration Statement, the form of Subordinated Base Indenture filed as Exhibit 4.3 to the Registration Statement,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 </w:t>
      </w:r>
    </w:p>
    <w:p>
      <w:pPr>
        <w:pStyle w:val="TextBody"/>
        <w:bidi w:val="0"/>
        <w:spacing w:before="240" w:after="0"/>
        <w:jc w:val="left"/>
        <w:rPr>
          <w:rFonts w:ascii="ARIAL" w:hAnsi="ARIAL"/>
          <w:sz w:val="20"/>
        </w:rPr>
      </w:pPr>
      <w:r>
        <w:rPr>
          <w:rFonts w:ascii="ARIAL" w:hAnsi="ARIAL"/>
          <w:sz w:val="20"/>
        </w:rPr>
        <w:t xml:space="preserve">We are not admitted or qualified to practice law in Curaçao. Therefore, we have relied upon the opinion of STvB Advocaten (Europe) N.V., filed as an exhibit to the Registration Statement, with respect to matters governed by the laws of Curaçao. </w:t>
      </w:r>
    </w:p>
    <w:p>
      <w:pPr>
        <w:pStyle w:val="TextBody"/>
        <w:bidi w:val="0"/>
        <w:spacing w:before="240" w:after="0"/>
        <w:jc w:val="left"/>
        <w:rPr>
          <w:rFonts w:ascii="ARIAL" w:hAnsi="ARIAL"/>
          <w:sz w:val="20"/>
        </w:rPr>
      </w:pPr>
      <w:r>
        <w:rPr>
          <w:rFonts w:ascii="ARIAL" w:hAnsi="ARIAL"/>
          <w:sz w:val="20"/>
        </w:rPr>
        <w:t xml:space="preserve">We have assumed without independent investigation that: </w:t>
      </w:r>
    </w:p>
    <w:p>
      <w:pPr>
        <w:pStyle w:val="TextBody"/>
        <w:bidi w:val="0"/>
        <w:spacing w:before="120" w:after="0"/>
        <w:jc w:val="left"/>
        <w:rPr>
          <w:rFonts w:ascii="ARIAL" w:hAnsi="ARIAL"/>
          <w:sz w:val="20"/>
        </w:rPr>
      </w:pPr>
      <w:r>
        <w:rPr>
          <w:rFonts w:ascii="ARIAL" w:hAnsi="ARIAL"/>
          <w:sz w:val="20"/>
        </w:rPr>
        <w:t>(i)    at the time any Securities are sold pursuant to the Registration Statement (the </w:t>
      </w:r>
      <w:r>
        <w:rPr>
          <w:rFonts w:ascii="ARIAL" w:hAnsi="ARIAL"/>
          <w:b/>
          <w:sz w:val="20"/>
        </w:rPr>
        <w:t>Relevant Time</w:t>
      </w:r>
      <w:r>
        <w:rPr>
          <w:rFonts w:ascii="ARIAL" w:hAnsi="ARIAL"/>
          <w:sz w:val="20"/>
        </w:rPr>
        <w:t xml:space="preserve">), the Registration Statement and any supplements and amendments thereto (including post-effective amendments) will be effective and will comply with all applicable laws; </w:t>
      </w:r>
    </w:p>
    <w:p>
      <w:pPr>
        <w:pStyle w:val="TextBody"/>
        <w:bidi w:val="0"/>
        <w:spacing w:before="240" w:after="0"/>
        <w:jc w:val="left"/>
        <w:rPr>
          <w:rFonts w:ascii="ARIAL" w:hAnsi="ARIAL"/>
          <w:sz w:val="20"/>
        </w:rPr>
      </w:pPr>
      <w:r>
        <w:rPr>
          <w:rFonts w:ascii="ARIAL" w:hAnsi="ARIAL"/>
          <w:sz w:val="20"/>
        </w:rPr>
        <w:t xml:space="preserve">(ii)    at the Relevant Time, a prospectus supplement will have been prepared and filed with the Commission describing the Securities offered thereby and all related documentation and will comply with all applicable laws; </w:t>
      </w:r>
    </w:p>
    <w:p>
      <w:pPr>
        <w:pStyle w:val="TextBody"/>
        <w:bidi w:val="0"/>
        <w:spacing w:before="240" w:after="0"/>
        <w:jc w:val="left"/>
        <w:rPr>
          <w:rFonts w:ascii="ARIAL" w:hAnsi="ARIAL"/>
          <w:sz w:val="20"/>
        </w:rPr>
      </w:pPr>
      <w:r>
        <w:rPr>
          <w:rFonts w:ascii="ARIAL" w:hAnsi="ARIAL"/>
          <w:sz w:val="20"/>
        </w:rPr>
        <w:t xml:space="preserve">(iii)    all Securities will be issued and sold in the manner stated in the Registration Statement and the applicable prospectus supplement; </w:t>
      </w:r>
    </w:p>
    <w:p>
      <w:pPr>
        <w:pStyle w:val="TextBody"/>
        <w:bidi w:val="0"/>
        <w:spacing w:before="240" w:after="0"/>
        <w:jc w:val="left"/>
        <w:rPr>
          <w:rFonts w:ascii="ARIAL" w:hAnsi="ARIAL"/>
          <w:sz w:val="20"/>
        </w:rPr>
      </w:pPr>
      <w:r>
        <w:rPr>
          <w:rFonts w:ascii="ARIAL" w:hAnsi="ARIAL"/>
          <w:sz w:val="20"/>
        </w:rPr>
        <w:t xml:space="preserve">(iv)    at the Relevant Time, all corporate or other action required to be taken by the Company to duly authorize each proposed issuance of Securities and any related documentation (including the execution (in the case of certificated Securities), delivery and performance of the Securities and any related documentation referred to in paragraphs 1 and 2 below) shall have been duly completed and shall remain in full force and effect; </w:t>
      </w:r>
    </w:p>
    <w:p>
      <w:pPr>
        <w:pStyle w:val="TextBody"/>
        <w:bidi w:val="0"/>
        <w:spacing w:before="240" w:after="0"/>
        <w:jc w:val="left"/>
        <w:rPr>
          <w:rFonts w:ascii="ARIAL" w:hAnsi="ARIAL"/>
          <w:sz w:val="20"/>
        </w:rPr>
      </w:pPr>
      <w:r>
        <w:rPr>
          <w:rFonts w:ascii="ARIAL" w:hAnsi="ARIAL"/>
          <w:sz w:val="20"/>
        </w:rPr>
        <w:t>(v)    in the case of Debt Securities and Guarantees, at the Relevant Time, the relevant trustee shall have been qualified under the Trust Indenture Act of 1939, as amended (the </w:t>
      </w:r>
      <w:r>
        <w:rPr>
          <w:rFonts w:ascii="ARIAL" w:hAnsi="ARIAL"/>
          <w:b/>
          <w:sz w:val="20"/>
        </w:rPr>
        <w:t>TIA</w:t>
      </w:r>
      <w:r>
        <w:rPr>
          <w:rFonts w:ascii="ARIAL" w:hAnsi="ARIAL"/>
          <w:sz w:val="20"/>
        </w:rPr>
        <w:t xml:space="preserve">), a Statement of Eligibility of the Trustee on Form T-1 shall have been properly filed with the Commission and the relevant Base Indenture shall have been duly executed and delivered by the Company and all other parties thereto and duly qualified under the TIA; and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7167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1"/>
                    <a:stretch>
                      <a:fillRect/>
                    </a:stretch>
                  </pic:blipFill>
                  <pic:spPr bwMode="auto">
                    <a:xfrm>
                      <a:off x="0" y="0"/>
                      <a:ext cx="1971675" cy="2762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Schlumberger N.V. (Schlumberger Limited) </w:t>
      </w:r>
    </w:p>
    <w:p>
      <w:pPr>
        <w:pStyle w:val="TextBody"/>
        <w:bidi w:val="0"/>
        <w:spacing w:before="0" w:after="0"/>
        <w:jc w:val="left"/>
        <w:rPr>
          <w:rFonts w:ascii="ARIAL" w:hAnsi="ARIAL"/>
          <w:sz w:val="20"/>
        </w:rPr>
      </w:pPr>
      <w:r>
        <w:rPr>
          <w:rFonts w:ascii="ARIAL" w:hAnsi="ARIAL"/>
          <w:sz w:val="20"/>
        </w:rPr>
        <w:t xml:space="preserve">August 14, 2023 </w:t>
      </w:r>
    </w:p>
    <w:p>
      <w:pPr>
        <w:pStyle w:val="TextBody"/>
        <w:bidi w:val="0"/>
        <w:spacing w:before="0" w:after="0"/>
        <w:jc w:val="left"/>
        <w:rPr>
          <w:rFonts w:ascii="ARIAL" w:hAnsi="ARIAL"/>
          <w:sz w:val="20"/>
        </w:rPr>
      </w:pPr>
      <w:r>
        <w:rPr>
          <w:rFonts w:ascii="ARIAL" w:hAnsi="ARIAL"/>
          <w:sz w:val="20"/>
        </w:rPr>
        <w:t xml:space="preserve">Page 3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(vi)    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 </w:t>
      </w:r>
    </w:p>
    <w:p>
      <w:pPr>
        <w:pStyle w:val="TextBody"/>
        <w:bidi w:val="0"/>
        <w:spacing w:before="240" w:after="0"/>
        <w:jc w:val="left"/>
        <w:rPr>
          <w:rFonts w:ascii="ARIAL" w:hAnsi="ARIAL"/>
          <w:sz w:val="20"/>
        </w:rPr>
      </w:pPr>
      <w:r>
        <w:rPr>
          <w:rFonts w:ascii="ARIAL" w:hAnsi="ARIAL"/>
          <w:sz w:val="20"/>
        </w:rPr>
        <w:t xml:space="preserve">Based on the foregoing and in reliance thereon, and subject to the assumptions, exceptions, qualifications and limitations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With respect to any Debt Securities,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508"/>
        <w:gridCol w:w="9190"/>
      </w:tblGrid>
      <w:tr>
        <w:trPr/>
        <w:tc>
          <w:tcPr>
            <w:tcW w:w="5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190" w:type="dxa"/>
            <w:tcBorders/>
          </w:tcPr>
          <w:p>
            <w:pPr>
              <w:pStyle w:val="TableContents"/>
              <w:bidi w:val="0"/>
              <w:spacing w:before="0" w:after="0"/>
              <w:jc w:val="left"/>
              <w:rPr>
                <w:rFonts w:ascii="ARIAL" w:hAnsi="ARIAL"/>
                <w:sz w:val="20"/>
              </w:rPr>
            </w:pPr>
            <w:r>
              <w:rPr>
                <w:rFonts w:ascii="ARIAL" w:hAnsi="ARIAL"/>
                <w:sz w:val="20"/>
              </w:rPr>
              <w:t xml:space="preserve">the relevant Base Indenture has been duly executed and delivered by the Company and the relevant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510"/>
        <w:gridCol w:w="9185"/>
      </w:tblGrid>
      <w:tr>
        <w:trPr/>
        <w:tc>
          <w:tcPr>
            <w:tcW w:w="510"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185" w:type="dxa"/>
            <w:tcBorders/>
          </w:tcPr>
          <w:p>
            <w:pPr>
              <w:pStyle w:val="TableContents"/>
              <w:bidi w:val="0"/>
              <w:spacing w:before="0" w:after="0"/>
              <w:jc w:val="left"/>
              <w:rPr>
                <w:rFonts w:ascii="ARIAL" w:hAnsi="ARIAL"/>
                <w:sz w:val="20"/>
              </w:rPr>
            </w:pPr>
            <w:r>
              <w:rPr>
                <w:rFonts w:ascii="ARIAL" w:hAnsi="ARIAL"/>
                <w:sz w:val="20"/>
              </w:rPr>
              <w:t xml:space="preserve">the terms and conditions of such Debt Securities have been duly established by supplemental indenture or officers certificate in accordance with the terms and conditions of the relevant Base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8"/>
        <w:gridCol w:w="9189"/>
      </w:tblGrid>
      <w:tr>
        <w:trPr/>
        <w:tc>
          <w:tcPr>
            <w:tcW w:w="5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189" w:type="dxa"/>
            <w:tcBorders/>
          </w:tcPr>
          <w:p>
            <w:pPr>
              <w:pStyle w:val="TableContents"/>
              <w:bidi w:val="0"/>
              <w:spacing w:before="0" w:after="0"/>
              <w:jc w:val="left"/>
              <w:rPr>
                <w:rFonts w:ascii="ARIAL" w:hAnsi="ARIAL"/>
                <w:sz w:val="20"/>
              </w:rPr>
            </w:pPr>
            <w:r>
              <w:rPr>
                <w:rFonts w:ascii="ARIAL" w:hAnsi="ARIAL"/>
                <w:sz w:val="20"/>
              </w:rPr>
              <w:t>any such supplemental indenture has been duly executed and delivered by the Company and the relevant trustee (together with the relevant Base Indenture, the relevant </w:t>
            </w:r>
            <w:r>
              <w:rPr>
                <w:rFonts w:ascii="ARIAL" w:hAnsi="ARIAL"/>
                <w:b/>
                <w:sz w:val="20"/>
              </w:rPr>
              <w:t>Indenture</w:t>
            </w:r>
            <w:r>
              <w:rPr>
                <w:rFonts w:ascii="ARIAL" w:hAnsi="ARIAL"/>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509"/>
        <w:gridCol w:w="9187"/>
      </w:tblGrid>
      <w:tr>
        <w:trPr/>
        <w:tc>
          <w:tcPr>
            <w:tcW w:w="509"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187" w:type="dxa"/>
            <w:tcBorders/>
          </w:tcPr>
          <w:p>
            <w:pPr>
              <w:pStyle w:val="TableContents"/>
              <w:bidi w:val="0"/>
              <w:spacing w:before="0" w:after="0"/>
              <w:jc w:val="left"/>
              <w:rPr>
                <w:rFonts w:ascii="ARIAL" w:hAnsi="ARIAL"/>
                <w:sz w:val="20"/>
              </w:rPr>
            </w:pPr>
            <w:r>
              <w:rPr>
                <w:rFonts w:ascii="ARIAL" w:hAnsi="ARIAL"/>
                <w:sz w:val="20"/>
              </w:rPr>
              <w:t xml:space="preserve">such Debt Securities have been executed (in the case of certificated Debt Securities), delivered and authenticated in accordance with the terms of the relevant Indenture and issued and sold for the consideration set forth in the applicable definitive purchase, underwriting or similar agreement, such Debt Securities will be legal, valid and binding obligations of the Company, enforceable against the Company in accordance with their respective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ARIAL" w:hAnsi="ARIAL"/>
                <w:sz w:val="20"/>
              </w:rPr>
            </w:pPr>
            <w:r>
              <w:rPr>
                <w:rFonts w:ascii="ARIAL" w:hAnsi="ARIAL"/>
                <w:sz w:val="20"/>
              </w:rPr>
              <w:t xml:space="preserve">With respect to any Guarantees, when: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8"/>
        <w:gridCol w:w="9189"/>
      </w:tblGrid>
      <w:tr>
        <w:trPr/>
        <w:tc>
          <w:tcPr>
            <w:tcW w:w="5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189" w:type="dxa"/>
            <w:tcBorders/>
          </w:tcPr>
          <w:p>
            <w:pPr>
              <w:pStyle w:val="TableContents"/>
              <w:bidi w:val="0"/>
              <w:spacing w:before="0" w:after="0"/>
              <w:jc w:val="left"/>
              <w:rPr>
                <w:rFonts w:ascii="ARIAL" w:hAnsi="ARIAL"/>
                <w:sz w:val="20"/>
              </w:rPr>
            </w:pPr>
            <w:r>
              <w:rPr>
                <w:rFonts w:ascii="ARIAL" w:hAnsi="ARIAL"/>
                <w:sz w:val="20"/>
              </w:rPr>
              <w:t>a guarantee agreement relating to such Guarantees (</w:t>
            </w:r>
            <w:r>
              <w:rPr>
                <w:rFonts w:ascii="ARIAL" w:hAnsi="ARIAL"/>
                <w:b/>
                <w:sz w:val="20"/>
              </w:rPr>
              <w:t>Guarantee Agreement</w:t>
            </w:r>
            <w:r>
              <w:rPr>
                <w:rFonts w:ascii="ARIAL" w:hAnsi="ARIAL"/>
                <w:sz w:val="20"/>
              </w:rPr>
              <w:t xml:space="preserve">) has been duly executed and delivered by the Company and each other party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8"/>
        <w:gridCol w:w="9189"/>
      </w:tblGrid>
      <w:tr>
        <w:trPr/>
        <w:tc>
          <w:tcPr>
            <w:tcW w:w="5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189" w:type="dxa"/>
            <w:tcBorders/>
          </w:tcPr>
          <w:p>
            <w:pPr>
              <w:pStyle w:val="TableContents"/>
              <w:bidi w:val="0"/>
              <w:spacing w:before="0" w:after="0"/>
              <w:jc w:val="left"/>
              <w:rPr>
                <w:rFonts w:ascii="ARIAL" w:hAnsi="ARIAL"/>
                <w:sz w:val="20"/>
              </w:rPr>
            </w:pPr>
            <w:r>
              <w:rPr>
                <w:rFonts w:ascii="ARIAL" w:hAnsi="ARIAL"/>
                <w:sz w:val="20"/>
              </w:rPr>
              <w:t xml:space="preserve">the terms and conditions of such Guarantees have been duly established in accordance with the terms and conditions of the Guarantee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508"/>
        <w:gridCol w:w="9189"/>
      </w:tblGrid>
      <w:tr>
        <w:trPr/>
        <w:tc>
          <w:tcPr>
            <w:tcW w:w="5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189" w:type="dxa"/>
            <w:tcBorders/>
          </w:tcPr>
          <w:p>
            <w:pPr>
              <w:pStyle w:val="TableContents"/>
              <w:bidi w:val="0"/>
              <w:spacing w:before="0" w:after="0"/>
              <w:jc w:val="left"/>
              <w:rPr>
                <w:rFonts w:ascii="ARIAL" w:hAnsi="ARIAL"/>
                <w:sz w:val="20"/>
              </w:rPr>
            </w:pPr>
            <w:r>
              <w:rPr>
                <w:rFonts w:ascii="ARIAL" w:hAnsi="ARIAL"/>
                <w:sz w:val="20"/>
              </w:rPr>
              <w:t xml:space="preserve">such Guarantees have been duly executed and delivered in accordance with the terms of the applicable Guarantee Agreement and issued and sold for the consideration set forth in the applicable definitive purchase, underwriting or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971675"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2"/>
                    <a:stretch>
                      <a:fillRect/>
                    </a:stretch>
                  </pic:blipFill>
                  <pic:spPr bwMode="auto">
                    <a:xfrm>
                      <a:off x="0" y="0"/>
                      <a:ext cx="1971675" cy="2762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Schlumberger N.V. (Schlumberger Limited) </w:t>
      </w:r>
    </w:p>
    <w:p>
      <w:pPr>
        <w:pStyle w:val="TextBody"/>
        <w:bidi w:val="0"/>
        <w:spacing w:before="0" w:after="0"/>
        <w:jc w:val="left"/>
        <w:rPr>
          <w:rFonts w:ascii="ARIAL" w:hAnsi="ARIAL"/>
          <w:sz w:val="20"/>
        </w:rPr>
      </w:pPr>
      <w:r>
        <w:rPr>
          <w:rFonts w:ascii="ARIAL" w:hAnsi="ARIAL"/>
          <w:sz w:val="20"/>
        </w:rPr>
        <w:t xml:space="preserve">August 14, 2023 </w:t>
      </w:r>
    </w:p>
    <w:p>
      <w:pPr>
        <w:pStyle w:val="TextBody"/>
        <w:bidi w:val="0"/>
        <w:spacing w:before="0" w:after="0"/>
        <w:jc w:val="left"/>
        <w:rPr>
          <w:rFonts w:ascii="ARIAL" w:hAnsi="ARIAL"/>
          <w:sz w:val="20"/>
        </w:rPr>
      </w:pPr>
      <w:r>
        <w:rPr>
          <w:rFonts w:ascii="ARIAL" w:hAnsi="ARIAL"/>
          <w:sz w:val="20"/>
        </w:rPr>
        <w:t xml:space="preserve">Page 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4"/>
        <w:gridCol w:w="9191"/>
      </w:tblGrid>
      <w:tr>
        <w:trPr/>
        <w:tc>
          <w:tcPr>
            <w:tcW w:w="1014" w:type="dxa"/>
            <w:tcBorders/>
            <w:vAlign w:val="center"/>
          </w:tcPr>
          <w:p>
            <w:pPr>
              <w:pStyle w:val="TableContents"/>
              <w:bidi w:val="0"/>
              <w:spacing w:before="0" w:after="283"/>
              <w:jc w:val="left"/>
              <w:rPr/>
            </w:pPr>
            <w:r>
              <w:rPr/>
              <w:t> </w:t>
            </w:r>
          </w:p>
        </w:tc>
        <w:tc>
          <w:tcPr>
            <w:tcW w:w="9191" w:type="dxa"/>
            <w:tcBorders/>
          </w:tcPr>
          <w:p>
            <w:pPr>
              <w:pStyle w:val="TableContents"/>
              <w:bidi w:val="0"/>
              <w:spacing w:before="0" w:after="283"/>
              <w:jc w:val="left"/>
              <w:rPr/>
            </w:pPr>
            <w:r>
              <w:rPr/>
              <w:t xml:space="preserve">similar agreement, such Guarantees will be legal, valid and binding obligations of the Company, enforceable against the Company in accordance with their respective terms. </w:t>
            </w:r>
          </w:p>
        </w:tc>
      </w:tr>
    </w:tbl>
    <w:p>
      <w:pPr>
        <w:pStyle w:val="TextBody"/>
        <w:bidi w:val="0"/>
        <w:spacing w:before="240" w:after="0"/>
        <w:jc w:val="left"/>
        <w:rPr>
          <w:rFonts w:ascii="ARIAL" w:hAnsi="ARIAL"/>
          <w:sz w:val="20"/>
        </w:rPr>
      </w:pPr>
      <w:r>
        <w:rPr>
          <w:rFonts w:ascii="ARIAL" w:hAnsi="ARIAL"/>
          <w:sz w:val="20"/>
        </w:rPr>
        <w:t xml:space="preserve">The opinions expressed above are subject to the following exceptions, qualifications, limitations and assumptions: </w:t>
      </w:r>
    </w:p>
    <w:p>
      <w:pPr>
        <w:pStyle w:val="TextBody"/>
        <w:bidi w:val="0"/>
        <w:spacing w:before="120" w:after="0"/>
        <w:jc w:val="left"/>
        <w:rPr>
          <w:rFonts w:ascii="ARIAL" w:hAnsi="ARIAL"/>
          <w:sz w:val="20"/>
        </w:rPr>
      </w:pPr>
      <w:r>
        <w:rPr>
          <w:rFonts w:ascii="ARIAL" w:hAnsi="ARIAL"/>
          <w:sz w:val="20"/>
        </w:rPr>
        <w:t xml:space="preserve">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 </w:t>
      </w:r>
    </w:p>
    <w:p>
      <w:pPr>
        <w:pStyle w:val="TextBody"/>
        <w:bidi w:val="0"/>
        <w:spacing w:before="240" w:after="0"/>
        <w:jc w:val="left"/>
        <w:rPr>
          <w:rFonts w:ascii="ARIAL" w:hAnsi="ARIAL"/>
          <w:sz w:val="20"/>
        </w:rPr>
      </w:pPr>
      <w:r>
        <w:rPr>
          <w:rFonts w:ascii="ARIAL" w:hAnsi="ARIAL"/>
          <w:sz w:val="20"/>
        </w:rPr>
        <w:t>B.    The opinions above with respect to the Indentures, the Debt Securities and the Guarantees (collectively, the </w:t>
      </w:r>
      <w:r>
        <w:rPr>
          <w:rFonts w:ascii="ARIAL" w:hAnsi="ARIAL"/>
          <w:b/>
          <w:sz w:val="20"/>
        </w:rPr>
        <w:t>Documents</w:t>
      </w:r>
      <w:r>
        <w:rPr>
          <w:rFonts w:ascii="ARIAL" w:hAnsi="ARIAL"/>
          <w:sz w:val="20"/>
        </w:rPr>
        <w:t xml:space="preserve">)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 </w:t>
      </w:r>
    </w:p>
    <w:p>
      <w:pPr>
        <w:pStyle w:val="TextBody"/>
        <w:bidi w:val="0"/>
        <w:spacing w:before="240" w:after="0"/>
        <w:jc w:val="left"/>
        <w:rPr>
          <w:rFonts w:ascii="ARIAL" w:hAnsi="ARIAL"/>
          <w:sz w:val="20"/>
        </w:rPr>
      </w:pPr>
      <w:r>
        <w:rPr>
          <w:rFonts w:ascii="ARIAL" w:hAnsi="ARIAL"/>
          <w:sz w:val="20"/>
        </w:rPr>
        <w:t>C.    We express no opinion regarding the effectiveness of (i) any waiver of stay, extension or usury laws or of unknown future rights; (ii) any waiver (whether or not stated as such) under any Indenture or any other Document of, or any consent thereunder relating to, unknown future rights or the rights of any party thereto existing, or duties owing to it, as a matter of law; (iii) any waiver (whether or not stated as such) contained in any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w:t>
      </w:r>
      <w:r>
        <w:rPr>
          <w:rFonts w:ascii="ARIAL" w:hAnsi="ARIAL"/>
          <w:b/>
          <w:sz w:val="20"/>
        </w:rPr>
        <w:t>savings</w:t>
      </w:r>
      <w:r>
        <w:rPr>
          <w:rFonts w:ascii="ARIAL" w:hAnsi="ARIAL"/>
          <w:sz w:val="20"/>
        </w:rPr>
        <w:t xml:space="preserve"> clause; (vi) any provision in any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971675"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3"/>
                    <a:stretch>
                      <a:fillRect/>
                    </a:stretch>
                  </pic:blipFill>
                  <pic:spPr bwMode="auto">
                    <a:xfrm>
                      <a:off x="0" y="0"/>
                      <a:ext cx="1971675" cy="27622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Schlumberger N.V. (Schlumberger Limited) </w:t>
      </w:r>
    </w:p>
    <w:p>
      <w:pPr>
        <w:pStyle w:val="TextBody"/>
        <w:bidi w:val="0"/>
        <w:spacing w:before="0" w:after="0"/>
        <w:jc w:val="left"/>
        <w:rPr>
          <w:rFonts w:ascii="ARIAL" w:hAnsi="ARIAL"/>
          <w:sz w:val="20"/>
        </w:rPr>
      </w:pPr>
      <w:r>
        <w:rPr>
          <w:rFonts w:ascii="ARIAL" w:hAnsi="ARIAL"/>
          <w:sz w:val="20"/>
        </w:rPr>
        <w:t xml:space="preserve">August 14, 2023 </w:t>
      </w:r>
    </w:p>
    <w:p>
      <w:pPr>
        <w:pStyle w:val="TextBody"/>
        <w:bidi w:val="0"/>
        <w:spacing w:before="0" w:after="0"/>
        <w:jc w:val="left"/>
        <w:rPr>
          <w:rFonts w:ascii="ARIAL" w:hAnsi="ARIAL"/>
          <w:sz w:val="20"/>
        </w:rPr>
      </w:pPr>
      <w:r>
        <w:rPr>
          <w:rFonts w:ascii="ARIAL" w:hAnsi="ARIAL"/>
          <w:sz w:val="20"/>
        </w:rPr>
        <w:t xml:space="preserve">Page 5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D.    To the extent relevant to our opinions in paragraph 2, we have assumed that the debt underlying any Guarantee is a legal, valid and binding obligation of the issuer thereof, enforceable against such issuer in accordance with its terms. </w:t>
      </w:r>
    </w:p>
    <w:p>
      <w:pPr>
        <w:pStyle w:val="TextBody"/>
        <w:bidi w:val="0"/>
        <w:spacing w:before="240" w:after="0"/>
        <w:jc w:val="left"/>
        <w:rPr>
          <w:rFonts w:ascii="ARIAL" w:hAnsi="ARIAL"/>
          <w:sz w:val="20"/>
        </w:rPr>
      </w:pPr>
      <w:r>
        <w:rPr>
          <w:rFonts w:ascii="ARIAL" w:hAnsi="ARIAL"/>
          <w:sz w:val="20"/>
        </w:rPr>
        <w:t xml:space="preserve">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 </w:t>
      </w:r>
    </w:p>
    <w:p>
      <w:pPr>
        <w:pStyle w:val="TextBody"/>
        <w:bidi w:val="0"/>
        <w:spacing w:before="240" w:after="0"/>
        <w:jc w:val="left"/>
        <w:rPr>
          <w:rFonts w:ascii="ARIAL" w:hAnsi="ARIAL"/>
          <w:sz w:val="20"/>
        </w:rPr>
      </w:pPr>
      <w:r>
        <w:rPr>
          <w:rFonts w:ascii="ARIAL" w:hAnsi="ARIAL"/>
          <w:sz w:val="20"/>
        </w:rPr>
        <w:t>We consent to the filing of this opinion as an exhibit to the Registration Statement, and we further consent to the use of our name under the caption </w:t>
      </w:r>
      <w:r>
        <w:rPr>
          <w:rFonts w:ascii="ARIAL" w:hAnsi="ARIAL"/>
          <w:b/>
          <w:sz w:val="20"/>
        </w:rPr>
        <w:t>Validity of the Securities</w:t>
      </w:r>
      <w:r>
        <w:rPr>
          <w:rFonts w:ascii="ARIAL" w:hAnsi="ARIAL"/>
          <w:sz w:val="20"/>
        </w:rPr>
        <w:t xml:space="preserve">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 </w:t>
      </w:r>
    </w:p>
    <w:p>
      <w:pPr>
        <w:pStyle w:val="TextBody"/>
        <w:bidi w:val="0"/>
        <w:spacing w:before="240" w:after="0"/>
        <w:jc w:val="left"/>
        <w:rPr>
          <w:rFonts w:ascii="ARIAL" w:hAnsi="ARIAL"/>
          <w:sz w:val="20"/>
        </w:rPr>
      </w:pPr>
      <w:r>
        <w:rPr>
          <w:rFonts w:ascii="ARIAL" w:hAnsi="ARIAL"/>
          <w:sz w:val="20"/>
        </w:rPr>
        <w:t xml:space="preserve">Very truly yours, </w:t>
      </w:r>
    </w:p>
    <w:p>
      <w:pPr>
        <w:pStyle w:val="TextBody"/>
        <w:bidi w:val="0"/>
        <w:spacing w:before="240" w:after="0"/>
        <w:jc w:val="left"/>
        <w:rPr>
          <w:rFonts w:ascii="ARIAL" w:hAnsi="ARIAL"/>
          <w:sz w:val="20"/>
        </w:rPr>
      </w:pPr>
      <w:r>
        <w:rPr>
          <w:rFonts w:ascii="ARIAL" w:hAnsi="ARIAL"/>
          <w:sz w:val="20"/>
        </w:rPr>
        <w:t xml:space="preserve">/s/ Gibson, Dunn &amp; Crutcher LLP </w:t>
      </w:r>
    </w:p>
    <w:p>
      <w:pPr>
        <w:pStyle w:val="TextBody"/>
        <w:bidi w:val="0"/>
        <w:spacing w:before="0" w:after="0"/>
        <w:jc w:val="right"/>
        <w:rPr>
          <w:rFonts w:ascii="ARIAL" w:hAnsi="ARIAL"/>
          <w:b/>
          <w:sz w:val="20"/>
        </w:rPr>
      </w:pPr>
      <w:bookmarkStart w:id="19" w:name="d526977dex52.htm"/>
      <w:bookmarkStart w:id="20" w:name="ksd526977dex52"/>
      <w:bookmarkEnd w:id="19"/>
      <w:bookmarkEnd w:id="20"/>
      <w:r>
        <w:rPr>
          <w:rFonts w:ascii="ARIAL" w:hAnsi="ARIAL"/>
          <w:b/>
          <w:sz w:val="20"/>
        </w:rPr>
        <w:t xml:space="preserve">Exhibit 5.2 </w:t>
      </w:r>
      <w:r>
        <w:br w:type="page"/>
      </w:r>
    </w:p>
    <w:p>
      <w:pPr>
        <w:pStyle w:val="TextBody"/>
        <w:bidi w:val="0"/>
        <w:spacing w:before="240" w:after="0"/>
        <w:jc w:val="left"/>
        <w:rPr>
          <w:rFonts w:ascii="ARIAL" w:hAnsi="ARIAL"/>
          <w:sz w:val="20"/>
        </w:rPr>
      </w:pPr>
      <w:r>
        <w:rPr>
          <w:rFonts w:ascii="ARIAL" w:hAnsi="ARIAL"/>
          <w:sz w:val="20"/>
        </w:rPr>
        <w:t xml:space="preserve">Schlumberger N.V. </w:t>
      </w:r>
    </w:p>
    <w:p>
      <w:pPr>
        <w:pStyle w:val="TextBody"/>
        <w:bidi w:val="0"/>
        <w:spacing w:before="0" w:after="0"/>
        <w:jc w:val="left"/>
        <w:rPr>
          <w:rFonts w:ascii="ARIAL" w:hAnsi="ARIAL"/>
          <w:sz w:val="20"/>
        </w:rPr>
      </w:pPr>
      <w:r>
        <w:rPr>
          <w:rFonts w:ascii="ARIAL" w:hAnsi="ARIAL"/>
          <w:sz w:val="20"/>
        </w:rPr>
        <w:t xml:space="preserve">(Schlumberger Limited) </w:t>
      </w:r>
    </w:p>
    <w:p>
      <w:pPr>
        <w:pStyle w:val="TextBody"/>
        <w:bidi w:val="0"/>
        <w:spacing w:before="0" w:after="0"/>
        <w:jc w:val="left"/>
        <w:rPr>
          <w:rFonts w:ascii="ARIAL" w:hAnsi="ARIAL"/>
          <w:sz w:val="20"/>
        </w:rPr>
      </w:pPr>
      <w:r>
        <w:rPr>
          <w:rFonts w:ascii="ARIAL" w:hAnsi="ARIAL"/>
          <w:sz w:val="20"/>
        </w:rPr>
        <w:t xml:space="preserve">5599 San Felipe </w:t>
      </w:r>
    </w:p>
    <w:p>
      <w:pPr>
        <w:pStyle w:val="TextBody"/>
        <w:bidi w:val="0"/>
        <w:spacing w:before="0" w:after="0"/>
        <w:jc w:val="left"/>
        <w:rPr>
          <w:rFonts w:ascii="ARIAL" w:hAnsi="ARIAL"/>
          <w:sz w:val="20"/>
        </w:rPr>
      </w:pPr>
      <w:r>
        <w:rPr>
          <w:rFonts w:ascii="ARIAL" w:hAnsi="ARIAL"/>
          <w:sz w:val="20"/>
        </w:rPr>
        <w:t xml:space="preserve">Houston, Texas 77056 </w:t>
      </w:r>
    </w:p>
    <w:p>
      <w:pPr>
        <w:pStyle w:val="TextBody"/>
        <w:bidi w:val="0"/>
        <w:spacing w:before="240" w:after="0"/>
        <w:jc w:val="right"/>
        <w:rPr>
          <w:rFonts w:ascii="ARIAL" w:hAnsi="ARIAL"/>
          <w:sz w:val="20"/>
        </w:rPr>
      </w:pPr>
      <w:r>
        <w:rPr>
          <w:rFonts w:ascii="ARIAL" w:hAnsi="ARIAL"/>
          <w:sz w:val="20"/>
        </w:rPr>
        <w:t xml:space="preserve">14 August 2023 </w:t>
      </w:r>
    </w:p>
    <w:p>
      <w:pPr>
        <w:pStyle w:val="TextBody"/>
        <w:bidi w:val="0"/>
        <w:spacing w:before="240" w:after="0"/>
        <w:jc w:val="left"/>
        <w:rPr>
          <w:rFonts w:ascii="ARIAL" w:hAnsi="ARIAL"/>
          <w:sz w:val="20"/>
        </w:rPr>
      </w:pPr>
      <w:r>
        <w:rPr>
          <w:rFonts w:ascii="ARIAL" w:hAnsi="ARIAL"/>
          <w:sz w:val="20"/>
        </w:rPr>
        <w:t xml:space="preserve">Ladies and Gentlemen: </w:t>
      </w:r>
    </w:p>
    <w:p>
      <w:pPr>
        <w:pStyle w:val="TextBody"/>
        <w:bidi w:val="0"/>
        <w:spacing w:before="120" w:after="0"/>
        <w:jc w:val="left"/>
        <w:rPr>
          <w:rFonts w:ascii="ARIAL" w:hAnsi="ARIAL"/>
          <w:sz w:val="20"/>
        </w:rPr>
      </w:pPr>
      <w:r>
        <w:rPr>
          <w:rFonts w:ascii="ARIAL" w:hAnsi="ARIAL"/>
          <w:sz w:val="20"/>
        </w:rPr>
        <w:t>We have acted as legal counsel to Schlumberger N.V. (also referred to as Schlumberger Limited), a limited liability company organized under the laws of Curaçao (the </w:t>
      </w:r>
      <w:r>
        <w:rPr>
          <w:rFonts w:ascii="ARIAL" w:hAnsi="ARIAL"/>
          <w:b/>
          <w:sz w:val="20"/>
        </w:rPr>
        <w:t>Company</w:t>
      </w:r>
      <w:r>
        <w:rPr>
          <w:rFonts w:ascii="ARIAL" w:hAnsi="ARIAL"/>
          <w:sz w:val="20"/>
        </w:rPr>
        <w:t>), in connection with the registration under the Securities Act of 1933, as amended (the </w:t>
      </w:r>
      <w:r>
        <w:rPr>
          <w:rFonts w:ascii="ARIAL" w:hAnsi="ARIAL"/>
          <w:b/>
          <w:sz w:val="20"/>
        </w:rPr>
        <w:t>Act</w:t>
      </w:r>
      <w:r>
        <w:rPr>
          <w:rFonts w:ascii="ARIAL" w:hAnsi="ARIAL"/>
          <w:sz w:val="20"/>
        </w:rPr>
        <w:t>) and the proposed issuance and sale from time to time pursuant to Rule 415 under the Act of (i) the Companys debt securities, which may either be senior debt securities or subordinated debt securities (together the </w:t>
      </w:r>
      <w:r>
        <w:rPr>
          <w:rFonts w:ascii="ARIAL" w:hAnsi="ARIAL"/>
          <w:b/>
          <w:sz w:val="20"/>
        </w:rPr>
        <w:t>Debt Securities</w:t>
      </w:r>
      <w:r>
        <w:rPr>
          <w:rFonts w:ascii="ARIAL" w:hAnsi="ARIAL"/>
          <w:sz w:val="20"/>
        </w:rPr>
        <w:t>), (ii) guarantees of debt securities (the </w:t>
      </w:r>
      <w:r>
        <w:rPr>
          <w:rFonts w:ascii="ARIAL" w:hAnsi="ARIAL"/>
          <w:b/>
          <w:sz w:val="20"/>
        </w:rPr>
        <w:t>Guarantees</w:t>
      </w:r>
      <w:r>
        <w:rPr>
          <w:rFonts w:ascii="ARIAL" w:hAnsi="ARIAL"/>
          <w:sz w:val="20"/>
        </w:rPr>
        <w:t>), and (iii) shares of the Companys common stock, par value $0.01 per share (the </w:t>
      </w:r>
      <w:r>
        <w:rPr>
          <w:rFonts w:ascii="ARIAL" w:hAnsi="ARIAL"/>
          <w:b/>
          <w:sz w:val="20"/>
        </w:rPr>
        <w:t>Shares</w:t>
      </w:r>
      <w:r>
        <w:rPr>
          <w:rFonts w:ascii="ARIAL" w:hAnsi="ARIAL"/>
          <w:sz w:val="20"/>
        </w:rPr>
        <w:t> and, together with the Debt Securities and the Guarantees, the </w:t>
      </w:r>
      <w:r>
        <w:rPr>
          <w:rFonts w:ascii="ARIAL" w:hAnsi="ARIAL"/>
          <w:b/>
          <w:sz w:val="20"/>
        </w:rPr>
        <w:t>Securities</w:t>
      </w:r>
      <w:r>
        <w:rPr>
          <w:rFonts w:ascii="ARIAL" w:hAnsi="ARIAL"/>
          <w:sz w:val="20"/>
        </w:rPr>
        <w:t>) that may be issued by the Company pursuant to applicable provisions of the articles of incorporation of the Company (the </w:t>
      </w:r>
      <w:r>
        <w:rPr>
          <w:rFonts w:ascii="ARIAL" w:hAnsi="ARIAL"/>
          <w:b/>
          <w:sz w:val="20"/>
        </w:rPr>
        <w:t>Articles of Incorporation</w:t>
      </w:r>
      <w:r>
        <w:rPr>
          <w:rFonts w:ascii="ARIAL" w:hAnsi="ARIAL"/>
          <w:sz w:val="20"/>
        </w:rPr>
        <w:t>). We understand that a registration statement on Form S-3 relating to the Debt Securities, the Guarantees and the Shares (the </w:t>
      </w:r>
      <w:r>
        <w:rPr>
          <w:rFonts w:ascii="ARIAL" w:hAnsi="ARIAL"/>
          <w:b/>
          <w:sz w:val="20"/>
        </w:rPr>
        <w:t>Registration Statement</w:t>
      </w:r>
      <w:r>
        <w:rPr>
          <w:rFonts w:ascii="ARIAL" w:hAnsi="ARIAL"/>
          <w:sz w:val="20"/>
        </w:rPr>
        <w:t>) is being filed by the Company with the Securities and Exchange Commission (the </w:t>
      </w:r>
      <w:r>
        <w:rPr>
          <w:rFonts w:ascii="ARIAL" w:hAnsi="ARIAL"/>
          <w:b/>
          <w:sz w:val="20"/>
        </w:rPr>
        <w:t>Commission</w:t>
      </w:r>
      <w:r>
        <w:rPr>
          <w:rFonts w:ascii="ARIAL" w:hAnsi="ARIAL"/>
          <w:sz w:val="20"/>
        </w:rPr>
        <w:t xml:space="preserve">) under the Act on 14 August 2023. At your request, this opinion is being furnished to you for filing as an exhibit to the Registration Statement. </w:t>
      </w:r>
    </w:p>
    <w:p>
      <w:pPr>
        <w:pStyle w:val="TextBody"/>
        <w:bidi w:val="0"/>
        <w:spacing w:before="240" w:after="0"/>
        <w:jc w:val="left"/>
        <w:rPr>
          <w:rFonts w:ascii="ARIAL" w:hAnsi="ARIAL"/>
          <w:sz w:val="20"/>
        </w:rPr>
      </w:pPr>
      <w:r>
        <w:rPr>
          <w:rFonts w:ascii="ARIAL" w:hAnsi="ARIAL"/>
          <w:sz w:val="20"/>
        </w:rPr>
        <w:t xml:space="preserve">This opinion is limited to matters governed by the laws of Curaçao. </w:t>
      </w:r>
    </w:p>
    <w:p>
      <w:pPr>
        <w:pStyle w:val="TextBody"/>
        <w:bidi w:val="0"/>
        <w:spacing w:before="240" w:after="0"/>
        <w:jc w:val="left"/>
        <w:rPr>
          <w:rFonts w:ascii="ARIAL" w:hAnsi="ARIAL"/>
          <w:sz w:val="20"/>
        </w:rPr>
      </w:pPr>
      <w:r>
        <w:rPr>
          <w:rFonts w:ascii="ARIAL" w:hAnsi="ARIAL"/>
          <w:sz w:val="20"/>
        </w:rPr>
        <w:t xml:space="preserve">We have examined and relied upon the following documents in original, photo static or facsimile form: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 copy of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ARIAL" w:hAnsi="ARIAL"/>
                <w:sz w:val="20"/>
              </w:rPr>
            </w:pPr>
            <w:r>
              <w:rPr>
                <w:rFonts w:ascii="ARIAL" w:hAnsi="ARIAL"/>
                <w:sz w:val="20"/>
              </w:rPr>
              <w:t xml:space="preserve">a certified copy of the Articles of Incorporation, as presently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Amended and Restated Bylaws of the Company, as presently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ARIAL" w:hAnsi="ARIAL"/>
                <w:sz w:val="20"/>
              </w:rPr>
            </w:pPr>
            <w:r>
              <w:rPr>
                <w:rFonts w:ascii="ARIAL" w:hAnsi="ARIAL"/>
                <w:sz w:val="20"/>
              </w:rPr>
              <w:t xml:space="preserve">an extract obtained online on 14 August 2023 from the Curaçao Commercial Register, relating to the registration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ARIAL" w:hAnsi="ARIAL"/>
                <w:sz w:val="20"/>
              </w:rPr>
            </w:pPr>
            <w:r>
              <w:rPr>
                <w:rFonts w:ascii="ARIAL" w:hAnsi="ARIAL"/>
                <w:sz w:val="20"/>
              </w:rPr>
              <w:t>a certified copy of the resolutions of the board of directors of the Company (the </w:t>
            </w:r>
            <w:r>
              <w:rPr>
                <w:rFonts w:ascii="ARIAL" w:hAnsi="ARIAL"/>
                <w:b/>
                <w:sz w:val="20"/>
              </w:rPr>
              <w:t>Board</w:t>
            </w:r>
            <w:r>
              <w:rPr>
                <w:rFonts w:ascii="ARIAL" w:hAnsi="ARIAL"/>
                <w:sz w:val="20"/>
              </w:rPr>
              <w:t xml:space="preserve">) providing for the registration of the Securities. </w:t>
            </w:r>
          </w:p>
        </w:tc>
      </w:tr>
    </w:tbl>
    <w:p>
      <w:pPr>
        <w:pStyle w:val="TextBody"/>
        <w:bidi w:val="0"/>
        <w:spacing w:before="240" w:after="0"/>
        <w:jc w:val="left"/>
        <w:rPr>
          <w:rFonts w:ascii="ARIAL" w:hAnsi="ARIAL"/>
          <w:sz w:val="20"/>
        </w:rPr>
      </w:pPr>
      <w:r>
        <w:rPr>
          <w:rFonts w:ascii="ARIAL" w:hAnsi="ARIAL"/>
          <w:sz w:val="20"/>
        </w:rPr>
        <w:t xml:space="preserve">In our examination of the documents referred to above and in expressing our opinion, we have assumed without independent verification of any kind: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ARIAL" w:hAnsi="ARIAL"/>
                <w:sz w:val="20"/>
              </w:rPr>
            </w:pPr>
            <w:r>
              <w:rPr>
                <w:rFonts w:ascii="ARIAL" w:hAnsi="ARIAL"/>
                <w:sz w:val="20"/>
              </w:rPr>
              <w:t xml:space="preserve">the genuineness of all signatures on all documents we have reviewed;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authenticity of all such documents submitted to us as originals, and that each of the documents has been duly executed in the form, or substantially in the form submitted to us as execution copies; and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7" w:type="dxa"/>
            <w:tcBorders/>
          </w:tcPr>
          <w:p>
            <w:pPr>
              <w:pStyle w:val="TableContents"/>
              <w:bidi w:val="0"/>
              <w:spacing w:before="0" w:after="0"/>
              <w:jc w:val="left"/>
              <w:rPr>
                <w:rFonts w:ascii="ARIAL" w:hAnsi="ARIAL"/>
                <w:sz w:val="20"/>
              </w:rPr>
            </w:pPr>
            <w:r>
              <w:rPr>
                <w:rFonts w:ascii="ARIAL" w:hAnsi="ARIAL"/>
                <w:sz w:val="20"/>
              </w:rPr>
              <w:t xml:space="preserve">the conformity with originals of all documents submitted to us as copies. </w:t>
            </w:r>
          </w:p>
        </w:tc>
      </w:tr>
    </w:tbl>
    <w:p>
      <w:pPr>
        <w:pStyle w:val="TextBody"/>
        <w:bidi w:val="0"/>
        <w:spacing w:before="240" w:after="0"/>
        <w:jc w:val="left"/>
        <w:rPr>
          <w:rFonts w:ascii="ARIAL" w:hAnsi="ARIAL"/>
          <w:sz w:val="20"/>
        </w:rPr>
      </w:pPr>
      <w:r>
        <w:rPr>
          <w:rFonts w:ascii="ARIAL" w:hAnsi="ARIAL"/>
          <w:sz w:val="20"/>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ARIAL" w:hAnsi="ARIAL"/>
          <w:i/>
          <w:sz w:val="20"/>
        </w:rPr>
        <w:t>Hoge Raad der Nederlanden</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Based upon and subject to the foregoing and subject to the qualifications set forth below and having due regard for such legal considerations as we deem relevant,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ARIAL" w:hAnsi="ARIAL"/>
                <w:sz w:val="20"/>
              </w:rPr>
            </w:pPr>
            <w:r>
              <w:rPr>
                <w:rFonts w:ascii="ARIAL" w:hAnsi="ARIAL"/>
                <w:sz w:val="20"/>
              </w:rPr>
              <w:t xml:space="preserve">The Company has been duly incorporated under the laws of the former Netherlands Antilles, is currently validly existing under the laws of Curaçao.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The Company has been duly registered with the Curaçao Commercial Register under number 1674.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The Company has all requisite corporate power and authority to own its properties, to conduct its business within the limits of its objects clause as set forth in article 2 of the Articles of Incorporation and to execute, deliver and perform its obligations under the Debt Securities and the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ARIAL" w:hAnsi="ARIAL"/>
                <w:sz w:val="20"/>
              </w:rPr>
            </w:pPr>
            <w:r>
              <w:rPr>
                <w:rFonts w:ascii="ARIAL" w:hAnsi="ARIAL"/>
                <w:sz w:val="20"/>
              </w:rPr>
              <w:t xml:space="preserve">With respect to the Shares, when (a) the Board has taken all necessary corporate action to approve the issuance of and the terms of the offering of such Shares and (b) such Shares have been duly authorized and delivered in accordance with the applicable definitive purchase, underwriting or similar agreement for the consideration provided for therein, such Shares will be validly issued, fully paid and non-assessable.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ARIAL" w:hAnsi="ARIAL"/>
                <w:sz w:val="20"/>
              </w:rPr>
            </w:pPr>
            <w:r>
              <w:rPr>
                <w:rFonts w:ascii="ARIAL" w:hAnsi="ARIAL"/>
                <w:sz w:val="20"/>
              </w:rPr>
              <w:t xml:space="preserve">No personal liability will attach to the holders of the Shares under the laws of Curaçao by reason of their being stockholders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1" w:type="dxa"/>
            <w:tcBorders/>
          </w:tcPr>
          <w:p>
            <w:pPr>
              <w:pStyle w:val="TableContents"/>
              <w:bidi w:val="0"/>
              <w:spacing w:before="0" w:after="0"/>
              <w:jc w:val="left"/>
              <w:rPr>
                <w:rFonts w:ascii="ARIAL" w:hAnsi="ARIAL"/>
                <w:sz w:val="20"/>
              </w:rPr>
            </w:pPr>
            <w:r>
              <w:rPr>
                <w:rFonts w:ascii="ARIAL" w:hAnsi="ARIAL"/>
                <w:sz w:val="20"/>
              </w:rPr>
              <w:t xml:space="preserve">No consents, approvals, authorizations or other orders of Curaçao governmental authorities are legally required for the issuance of the Shares by the Company. </w:t>
            </w:r>
          </w:p>
        </w:tc>
      </w:tr>
    </w:tbl>
    <w:p>
      <w:pPr>
        <w:pStyle w:val="TextBody"/>
        <w:bidi w:val="0"/>
        <w:spacing w:before="240" w:after="0"/>
        <w:jc w:val="left"/>
        <w:rPr>
          <w:rFonts w:ascii="ARIAL" w:hAnsi="ARIAL"/>
          <w:sz w:val="20"/>
        </w:rPr>
      </w:pPr>
      <w:r>
        <w:rPr>
          <w:rFonts w:ascii="ARIAL" w:hAnsi="ARIAL"/>
          <w:sz w:val="20"/>
        </w:rPr>
        <w:t xml:space="preserve">This opinion is strictly limited to the matters stated herein and may not read as extending by implication to any matters not specifically referred to herein, including tax matters. </w:t>
      </w:r>
    </w:p>
    <w:p>
      <w:pPr>
        <w:pStyle w:val="TextBody"/>
        <w:bidi w:val="0"/>
        <w:spacing w:before="240" w:after="0"/>
        <w:jc w:val="left"/>
        <w:rPr>
          <w:rFonts w:ascii="ARIAL" w:hAnsi="ARIAL"/>
          <w:sz w:val="20"/>
        </w:rPr>
      </w:pPr>
      <w:r>
        <w:rPr>
          <w:rFonts w:ascii="ARIAL" w:hAnsi="ARIAL"/>
          <w:sz w:val="20"/>
        </w:rPr>
        <w:t xml:space="preserve">We hereby consent to the filing of this opinion as an exhibit to the Registration Statement. In giving this consent, we do not thereby admit that we are within the category of persons whose consent is required under Section 7 of the Act or the rules and regulations of the Commission thereunder. </w:t>
      </w:r>
    </w:p>
    <w:p>
      <w:pPr>
        <w:pStyle w:val="TextBody"/>
        <w:bidi w:val="0"/>
        <w:spacing w:before="240" w:after="0"/>
        <w:jc w:val="left"/>
        <w:rPr>
          <w:rFonts w:ascii="ARIAL" w:hAnsi="ARIAL"/>
          <w:sz w:val="20"/>
        </w:rPr>
      </w:pPr>
      <w:r>
        <w:rPr>
          <w:rFonts w:ascii="ARIAL" w:hAnsi="ARIAL"/>
          <w:sz w:val="20"/>
        </w:rPr>
        <w:t xml:space="preserve">We understand that Gibson, Dunn &amp; Crutcher L.L.P. intends to rely upon this opinion for purposes of the opinion such firm expects to deliver in connection with the Registration Statement, and we hereby consent to such reliance as though this opinion were addressed to such firm. </w:t>
      </w:r>
    </w:p>
    <w:p>
      <w:pPr>
        <w:pStyle w:val="TextBody"/>
        <w:bidi w:val="0"/>
        <w:spacing w:before="240" w:after="0"/>
        <w:jc w:val="left"/>
        <w:rPr>
          <w:rFonts w:ascii="ARIAL" w:hAnsi="ARIAL"/>
          <w:sz w:val="20"/>
        </w:rPr>
      </w:pPr>
      <w:r>
        <w:rPr>
          <w:rFonts w:ascii="ARIAL" w:hAnsi="ARIAL"/>
          <w:sz w:val="20"/>
        </w:rPr>
        <w:t xml:space="preserve">Sincerely yours, </w:t>
      </w:r>
    </w:p>
    <w:p>
      <w:pPr>
        <w:pStyle w:val="TextBody"/>
        <w:bidi w:val="0"/>
        <w:spacing w:before="240" w:after="0"/>
        <w:jc w:val="left"/>
        <w:rPr>
          <w:rFonts w:ascii="ARIAL" w:hAnsi="ARIAL"/>
          <w:sz w:val="20"/>
        </w:rPr>
      </w:pPr>
      <w:r>
        <w:rPr>
          <w:rFonts w:ascii="ARIAL" w:hAnsi="ARIAL"/>
          <w:sz w:val="20"/>
        </w:rPr>
        <w:t xml:space="preserve">/s/ STvB Advocaten (Europe) N.V.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- 2 - </w:t>
      </w:r>
    </w:p>
    <w:p>
      <w:pPr>
        <w:pStyle w:val="TextBody"/>
        <w:bidi w:val="0"/>
        <w:spacing w:before="0" w:after="0"/>
        <w:jc w:val="right"/>
        <w:rPr>
          <w:rFonts w:ascii="ARIAL" w:hAnsi="ARIAL"/>
          <w:b/>
          <w:sz w:val="20"/>
        </w:rPr>
      </w:pPr>
      <w:bookmarkStart w:id="21" w:name="d526977dex231.htm"/>
      <w:bookmarkStart w:id="22" w:name="ksd526977dex231"/>
      <w:bookmarkEnd w:id="21"/>
      <w:bookmarkEnd w:id="22"/>
      <w:r>
        <w:rPr>
          <w:rFonts w:ascii="ARIAL" w:hAnsi="ARIAL"/>
          <w:b/>
          <w:sz w:val="20"/>
        </w:rPr>
        <w:t xml:space="preserve">Exhibit 23.1 </w:t>
      </w:r>
      <w:r>
        <w:br w:type="page"/>
      </w:r>
    </w:p>
    <w:p>
      <w:pPr>
        <w:pStyle w:val="TextBody"/>
        <w:bidi w:val="0"/>
        <w:spacing w:before="240" w:after="0"/>
        <w:jc w:val="center"/>
        <w:rPr>
          <w:rFonts w:ascii="ARIAL" w:hAnsi="ARIAL"/>
          <w:sz w:val="20"/>
        </w:rPr>
      </w:pPr>
      <w:r>
        <w:rPr>
          <w:rFonts w:ascii="ARIAL" w:hAnsi="ARIAL"/>
          <w:sz w:val="20"/>
        </w:rPr>
        <w:t xml:space="preserve">CONSENT OF INDEPENDENT REGISTERED PUBLIC ACCOUNTING FIRM </w:t>
      </w:r>
    </w:p>
    <w:p>
      <w:pPr>
        <w:pStyle w:val="TextBody"/>
        <w:bidi w:val="0"/>
        <w:spacing w:before="240" w:after="0"/>
        <w:jc w:val="left"/>
        <w:rPr>
          <w:rFonts w:ascii="ARIAL" w:hAnsi="ARIAL"/>
          <w:sz w:val="20"/>
        </w:rPr>
      </w:pPr>
      <w:r>
        <w:rPr>
          <w:rFonts w:ascii="ARIAL" w:hAnsi="ARIAL"/>
          <w:sz w:val="20"/>
        </w:rPr>
        <w:t xml:space="preserve">We hereby consent to the incorporation by reference in this Registration Statement on Form S-3 of Schlumberger Limited of our report dated January 25, 2023 relating to the financial statements and the effectiveness of internal control over financial reporting, which appears in Schlumberger Limiteds Annual Report on Form 10-K for the year ended December 31, 2022. We also consent to the reference to us under the heading Experts in such Registration Statement. </w:t>
      </w:r>
    </w:p>
    <w:p>
      <w:pPr>
        <w:pStyle w:val="TextBody"/>
        <w:bidi w:val="0"/>
        <w:spacing w:before="360" w:after="0"/>
        <w:jc w:val="left"/>
        <w:rPr>
          <w:rFonts w:ascii="ARIAL" w:hAnsi="ARIAL"/>
          <w:sz w:val="20"/>
        </w:rPr>
      </w:pPr>
      <w:r>
        <w:rPr>
          <w:rFonts w:ascii="ARIAL" w:hAnsi="ARIAL"/>
          <w:sz w:val="20"/>
        </w:rPr>
        <w:t xml:space="preserve">/s/ PricewaterhouseCoopers LLP </w:t>
      </w:r>
    </w:p>
    <w:p>
      <w:pPr>
        <w:pStyle w:val="TextBody"/>
        <w:bidi w:val="0"/>
        <w:spacing w:before="0" w:after="0"/>
        <w:jc w:val="left"/>
        <w:rPr>
          <w:rFonts w:ascii="ARIAL" w:hAnsi="ARIAL"/>
          <w:sz w:val="20"/>
        </w:rPr>
      </w:pPr>
      <w:r>
        <w:rPr>
          <w:rFonts w:ascii="ARIAL" w:hAnsi="ARIAL"/>
          <w:sz w:val="20"/>
        </w:rPr>
        <w:t xml:space="preserve">Houston, Texas </w:t>
      </w:r>
    </w:p>
    <w:p>
      <w:pPr>
        <w:pStyle w:val="TextBody"/>
        <w:bidi w:val="0"/>
        <w:spacing w:before="0" w:after="0"/>
        <w:jc w:val="left"/>
        <w:rPr>
          <w:rFonts w:ascii="ARIAL" w:hAnsi="ARIAL"/>
          <w:sz w:val="20"/>
        </w:rPr>
      </w:pPr>
      <w:r>
        <w:rPr>
          <w:rFonts w:ascii="ARIAL" w:hAnsi="ARIAL"/>
          <w:sz w:val="20"/>
        </w:rPr>
        <w:t xml:space="preserve">August 14, 2023 </w:t>
      </w:r>
    </w:p>
    <w:p>
      <w:pPr>
        <w:pStyle w:val="TextBody"/>
        <w:bidi w:val="0"/>
        <w:spacing w:before="0" w:after="0"/>
        <w:jc w:val="right"/>
        <w:rPr>
          <w:rFonts w:ascii="ARIAL" w:hAnsi="ARIAL"/>
          <w:b/>
          <w:sz w:val="20"/>
        </w:rPr>
      </w:pPr>
      <w:bookmarkStart w:id="23" w:name="ii526977_a"/>
      <w:bookmarkStart w:id="24" w:name="d526977dex24.htm"/>
      <w:bookmarkStart w:id="25" w:name="ksd526977dex24"/>
      <w:bookmarkEnd w:id="23"/>
      <w:bookmarkEnd w:id="24"/>
      <w:bookmarkEnd w:id="25"/>
      <w:r>
        <w:rPr>
          <w:rFonts w:ascii="ARIAL" w:hAnsi="ARIAL"/>
          <w:b/>
          <w:sz w:val="20"/>
        </w:rPr>
        <w:t xml:space="preserve">Exhibit 24 </w:t>
      </w:r>
      <w:r>
        <w:br w:type="page"/>
      </w:r>
    </w:p>
    <w:p>
      <w:pPr>
        <w:pStyle w:val="TextBody"/>
        <w:bidi w:val="0"/>
        <w:spacing w:before="360" w:after="0"/>
        <w:jc w:val="center"/>
        <w:rPr>
          <w:rFonts w:ascii="ARIAL" w:hAnsi="ARIAL"/>
          <w:b/>
          <w:sz w:val="20"/>
        </w:rPr>
      </w:pPr>
      <w:r>
        <w:rPr>
          <w:rFonts w:ascii="ARIAL" w:hAnsi="ARIAL"/>
          <w:b/>
          <w:sz w:val="20"/>
        </w:rPr>
        <w:t xml:space="preserve">Power of Attorney </w:t>
      </w:r>
    </w:p>
    <w:p>
      <w:pPr>
        <w:pStyle w:val="TextBody"/>
        <w:bidi w:val="0"/>
        <w:spacing w:before="240" w:after="0"/>
        <w:jc w:val="left"/>
        <w:rPr>
          <w:rFonts w:ascii="ARIAL" w:hAnsi="ARIAL"/>
          <w:sz w:val="20"/>
        </w:rPr>
      </w:pPr>
      <w:r>
        <w:rPr>
          <w:rFonts w:ascii="ARIAL" w:hAnsi="ARIAL"/>
          <w:sz w:val="20"/>
        </w:rPr>
        <w:t xml:space="preserve">Each of the undersigned, being a director or officer, or both, of Schlumberger Limited, a Curaçao corporation (the Company), hereby constitutes and appoints Howard Guild and Dianne B. Ralston,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(the Securities Act), on Form S-3, any amendments thereto, and all post-effective amendments and supplements to this Registration Statement for the registration of the Companys securities;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 </w:t>
      </w:r>
    </w:p>
    <w:p>
      <w:pPr>
        <w:pStyle w:val="TextBody"/>
        <w:bidi w:val="0"/>
        <w:spacing w:before="240" w:after="0"/>
        <w:jc w:val="left"/>
        <w:rPr>
          <w:rFonts w:ascii="ARIAL" w:hAnsi="ARIAL"/>
          <w:sz w:val="20"/>
        </w:rPr>
      </w:pPr>
      <w:r>
        <w:rPr>
          <w:rFonts w:ascii="ARIAL" w:hAnsi="ARIAL"/>
          <w:sz w:val="20"/>
        </w:rPr>
        <w:t xml:space="preserve">This Power of Attorney may be signed in any number of counterparts, each of which will constitute an original and all of which, taken together, will constitute one Power of Attorney.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65"/>
        <w:gridCol w:w="109"/>
        <w:gridCol w:w="244"/>
        <w:gridCol w:w="122"/>
        <w:gridCol w:w="4765"/>
      </w:tblGrid>
      <w:tr>
        <w:trPr/>
        <w:tc>
          <w:tcPr>
            <w:tcW w:w="496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6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965" w:type="dxa"/>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c>
          <w:tcPr>
            <w:tcW w:w="4887" w:type="dxa"/>
            <w:gridSpan w:val="2"/>
            <w:tcBorders/>
            <w:vAlign w:val="center"/>
          </w:tcPr>
          <w:p>
            <w:pPr>
              <w:pStyle w:val="TableContents"/>
              <w:bidi w:val="0"/>
              <w:spacing w:before="0" w:after="283"/>
              <w:jc w:val="left"/>
              <w:rPr>
                <w:sz w:val="4"/>
                <w:szCs w:val="4"/>
              </w:rPr>
            </w:pPr>
            <w:r>
              <w:rPr>
                <w:sz w:val="4"/>
                <w:szCs w:val="4"/>
              </w:rPr>
            </w:r>
          </w:p>
        </w:tc>
      </w:tr>
      <w:tr>
        <w:trPr/>
        <w:tc>
          <w:tcPr>
            <w:tcW w:w="4965" w:type="dxa"/>
            <w:tcBorders>
              <w:bottom w:val="single" w:sz="2" w:space="0" w:color="000000"/>
            </w:tcBorders>
            <w:tcMar>
              <w:bottom w:w="28" w:type="dxa"/>
            </w:tcMar>
          </w:tcPr>
          <w:p>
            <w:pPr>
              <w:pStyle w:val="TableContents"/>
              <w:bidi w:val="0"/>
              <w:spacing w:before="0" w:after="283"/>
              <w:jc w:val="center"/>
              <w:rPr/>
            </w:pPr>
            <w:r>
              <w:rPr/>
              <w:t>/s/ Peter Coleman</w:t>
            </w:r>
          </w:p>
        </w:tc>
        <w:tc>
          <w:tcPr>
            <w:tcW w:w="109"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283"/>
              <w:jc w:val="center"/>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765" w:type="dxa"/>
            <w:tcBorders>
              <w:bottom w:val="single" w:sz="2" w:space="0" w:color="000000"/>
            </w:tcBorders>
            <w:tcMar>
              <w:bottom w:w="28" w:type="dxa"/>
            </w:tcMar>
          </w:tcPr>
          <w:p>
            <w:pPr>
              <w:pStyle w:val="TableContents"/>
              <w:bidi w:val="0"/>
              <w:spacing w:before="0" w:after="283"/>
              <w:jc w:val="center"/>
              <w:rPr/>
            </w:pPr>
            <w:r>
              <w:rPr/>
              <w:t>/s/ Tatiana Mitrova</w:t>
            </w:r>
          </w:p>
        </w:tc>
      </w:tr>
      <w:tr>
        <w:trPr/>
        <w:tc>
          <w:tcPr>
            <w:tcW w:w="4965" w:type="dxa"/>
            <w:tcBorders/>
            <w:vAlign w:val="bottom"/>
          </w:tcPr>
          <w:p>
            <w:pPr>
              <w:pStyle w:val="TableContents"/>
              <w:bidi w:val="0"/>
              <w:spacing w:before="0" w:after="283"/>
              <w:jc w:val="center"/>
              <w:rPr/>
            </w:pPr>
            <w:r>
              <w:rPr/>
              <w:t>Peter Coleman</w:t>
              <w:br/>
              <w:t>Director</w:t>
            </w:r>
          </w:p>
        </w:tc>
        <w:tc>
          <w:tcPr>
            <w:tcW w:w="10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65" w:type="dxa"/>
            <w:tcBorders/>
            <w:vAlign w:val="bottom"/>
          </w:tcPr>
          <w:p>
            <w:pPr>
              <w:pStyle w:val="TableContents"/>
              <w:bidi w:val="0"/>
              <w:spacing w:before="0" w:after="283"/>
              <w:jc w:val="center"/>
              <w:rPr/>
            </w:pPr>
            <w:r>
              <w:rPr/>
              <w:t>Tatiana Mitrova</w:t>
              <w:br/>
              <w:t>Director</w:t>
            </w:r>
          </w:p>
        </w:tc>
      </w:tr>
      <w:tr>
        <w:trPr>
          <w:trHeight w:val="240" w:hRule="atLeast"/>
        </w:trPr>
        <w:tc>
          <w:tcPr>
            <w:tcW w:w="4965" w:type="dxa"/>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c>
          <w:tcPr>
            <w:tcW w:w="4887" w:type="dxa"/>
            <w:gridSpan w:val="2"/>
            <w:tcBorders/>
            <w:vAlign w:val="center"/>
          </w:tcPr>
          <w:p>
            <w:pPr>
              <w:pStyle w:val="TableContents"/>
              <w:bidi w:val="0"/>
              <w:spacing w:before="0" w:after="283"/>
              <w:jc w:val="left"/>
              <w:rPr>
                <w:sz w:val="4"/>
                <w:szCs w:val="4"/>
              </w:rPr>
            </w:pPr>
            <w:r>
              <w:rPr>
                <w:sz w:val="4"/>
                <w:szCs w:val="4"/>
              </w:rPr>
            </w:r>
          </w:p>
        </w:tc>
      </w:tr>
      <w:tr>
        <w:trPr/>
        <w:tc>
          <w:tcPr>
            <w:tcW w:w="4965" w:type="dxa"/>
            <w:tcBorders>
              <w:bottom w:val="single" w:sz="2" w:space="0" w:color="000000"/>
            </w:tcBorders>
            <w:tcMar>
              <w:bottom w:w="28" w:type="dxa"/>
            </w:tcMar>
          </w:tcPr>
          <w:p>
            <w:pPr>
              <w:pStyle w:val="TableContents"/>
              <w:bidi w:val="0"/>
              <w:spacing w:before="0" w:after="283"/>
              <w:jc w:val="center"/>
              <w:rPr/>
            </w:pPr>
            <w:r>
              <w:rPr/>
              <w:t>/s/ Patrick de La Chevardière</w:t>
            </w:r>
          </w:p>
        </w:tc>
        <w:tc>
          <w:tcPr>
            <w:tcW w:w="109"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765" w:type="dxa"/>
            <w:tcBorders>
              <w:bottom w:val="single" w:sz="2" w:space="0" w:color="000000"/>
            </w:tcBorders>
            <w:tcMar>
              <w:bottom w:w="28" w:type="dxa"/>
            </w:tcMar>
          </w:tcPr>
          <w:p>
            <w:pPr>
              <w:pStyle w:val="TableContents"/>
              <w:bidi w:val="0"/>
              <w:spacing w:before="0" w:after="283"/>
              <w:jc w:val="center"/>
              <w:rPr/>
            </w:pPr>
            <w:r>
              <w:rPr/>
              <w:t>/s/ Maria Moræus Hanssen</w:t>
            </w:r>
          </w:p>
        </w:tc>
      </w:tr>
      <w:tr>
        <w:trPr/>
        <w:tc>
          <w:tcPr>
            <w:tcW w:w="4965" w:type="dxa"/>
            <w:tcBorders/>
            <w:vAlign w:val="bottom"/>
          </w:tcPr>
          <w:p>
            <w:pPr>
              <w:pStyle w:val="TableContents"/>
              <w:bidi w:val="0"/>
              <w:spacing w:before="0" w:after="283"/>
              <w:jc w:val="center"/>
              <w:rPr/>
            </w:pPr>
            <w:r>
              <w:rPr/>
              <w:t>Patrick de La Chevardière</w:t>
              <w:br/>
              <w:t>Director</w:t>
            </w:r>
          </w:p>
        </w:tc>
        <w:tc>
          <w:tcPr>
            <w:tcW w:w="10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65" w:type="dxa"/>
            <w:tcBorders/>
            <w:vAlign w:val="bottom"/>
          </w:tcPr>
          <w:p>
            <w:pPr>
              <w:pStyle w:val="TableContents"/>
              <w:bidi w:val="0"/>
              <w:spacing w:before="0" w:after="283"/>
              <w:jc w:val="center"/>
              <w:rPr/>
            </w:pPr>
            <w:r>
              <w:rPr/>
              <w:t>Maria Moræus Hanssen</w:t>
              <w:br/>
              <w:t>Director</w:t>
            </w:r>
          </w:p>
        </w:tc>
      </w:tr>
      <w:tr>
        <w:trPr>
          <w:trHeight w:val="240" w:hRule="atLeast"/>
        </w:trPr>
        <w:tc>
          <w:tcPr>
            <w:tcW w:w="4965" w:type="dxa"/>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c>
          <w:tcPr>
            <w:tcW w:w="4887" w:type="dxa"/>
            <w:gridSpan w:val="2"/>
            <w:tcBorders/>
            <w:vAlign w:val="center"/>
          </w:tcPr>
          <w:p>
            <w:pPr>
              <w:pStyle w:val="TableContents"/>
              <w:bidi w:val="0"/>
              <w:spacing w:before="0" w:after="283"/>
              <w:jc w:val="left"/>
              <w:rPr>
                <w:sz w:val="4"/>
                <w:szCs w:val="4"/>
              </w:rPr>
            </w:pPr>
            <w:r>
              <w:rPr>
                <w:sz w:val="4"/>
                <w:szCs w:val="4"/>
              </w:rPr>
            </w:r>
          </w:p>
        </w:tc>
      </w:tr>
      <w:tr>
        <w:trPr/>
        <w:tc>
          <w:tcPr>
            <w:tcW w:w="4965" w:type="dxa"/>
            <w:tcBorders>
              <w:bottom w:val="single" w:sz="2" w:space="0" w:color="000000"/>
            </w:tcBorders>
            <w:tcMar>
              <w:bottom w:w="28" w:type="dxa"/>
            </w:tcMar>
          </w:tcPr>
          <w:p>
            <w:pPr>
              <w:pStyle w:val="TableContents"/>
              <w:bidi w:val="0"/>
              <w:spacing w:before="0" w:after="283"/>
              <w:jc w:val="center"/>
              <w:rPr/>
            </w:pPr>
            <w:r>
              <w:rPr/>
              <w:t>/s/ Miguel Galuccio</w:t>
            </w:r>
          </w:p>
        </w:tc>
        <w:tc>
          <w:tcPr>
            <w:tcW w:w="109"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765" w:type="dxa"/>
            <w:tcBorders>
              <w:bottom w:val="single" w:sz="2" w:space="0" w:color="000000"/>
            </w:tcBorders>
            <w:tcMar>
              <w:bottom w:w="28" w:type="dxa"/>
            </w:tcMar>
          </w:tcPr>
          <w:p>
            <w:pPr>
              <w:pStyle w:val="TableContents"/>
              <w:bidi w:val="0"/>
              <w:spacing w:before="0" w:after="283"/>
              <w:jc w:val="center"/>
              <w:rPr/>
            </w:pPr>
            <w:r>
              <w:rPr/>
              <w:t>/s/ Vanitha Narayanan</w:t>
            </w:r>
          </w:p>
        </w:tc>
      </w:tr>
      <w:tr>
        <w:trPr/>
        <w:tc>
          <w:tcPr>
            <w:tcW w:w="4965" w:type="dxa"/>
            <w:tcBorders/>
            <w:vAlign w:val="bottom"/>
          </w:tcPr>
          <w:p>
            <w:pPr>
              <w:pStyle w:val="TableContents"/>
              <w:bidi w:val="0"/>
              <w:spacing w:before="0" w:after="283"/>
              <w:jc w:val="center"/>
              <w:rPr/>
            </w:pPr>
            <w:r>
              <w:rPr/>
              <w:t>Miguel Galuccio</w:t>
              <w:br/>
              <w:t>Director</w:t>
            </w:r>
          </w:p>
        </w:tc>
        <w:tc>
          <w:tcPr>
            <w:tcW w:w="10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65" w:type="dxa"/>
            <w:tcBorders/>
            <w:vAlign w:val="bottom"/>
          </w:tcPr>
          <w:p>
            <w:pPr>
              <w:pStyle w:val="TableContents"/>
              <w:bidi w:val="0"/>
              <w:spacing w:before="0" w:after="283"/>
              <w:jc w:val="center"/>
              <w:rPr/>
            </w:pPr>
            <w:r>
              <w:rPr/>
              <w:t>Vanitha Narayanan</w:t>
              <w:br/>
              <w:t>Director</w:t>
            </w:r>
          </w:p>
        </w:tc>
      </w:tr>
      <w:tr>
        <w:trPr>
          <w:trHeight w:val="240" w:hRule="atLeast"/>
        </w:trPr>
        <w:tc>
          <w:tcPr>
            <w:tcW w:w="4965" w:type="dxa"/>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c>
          <w:tcPr>
            <w:tcW w:w="4887" w:type="dxa"/>
            <w:gridSpan w:val="2"/>
            <w:tcBorders/>
            <w:vAlign w:val="center"/>
          </w:tcPr>
          <w:p>
            <w:pPr>
              <w:pStyle w:val="TableContents"/>
              <w:bidi w:val="0"/>
              <w:spacing w:before="0" w:after="283"/>
              <w:jc w:val="left"/>
              <w:rPr>
                <w:sz w:val="4"/>
                <w:szCs w:val="4"/>
              </w:rPr>
            </w:pPr>
            <w:r>
              <w:rPr>
                <w:sz w:val="4"/>
                <w:szCs w:val="4"/>
              </w:rPr>
            </w:r>
          </w:p>
        </w:tc>
      </w:tr>
      <w:tr>
        <w:trPr/>
        <w:tc>
          <w:tcPr>
            <w:tcW w:w="4965" w:type="dxa"/>
            <w:tcBorders>
              <w:bottom w:val="single" w:sz="2" w:space="0" w:color="000000"/>
            </w:tcBorders>
            <w:tcMar>
              <w:bottom w:w="28" w:type="dxa"/>
            </w:tcMar>
          </w:tcPr>
          <w:p>
            <w:pPr>
              <w:pStyle w:val="TableContents"/>
              <w:bidi w:val="0"/>
              <w:spacing w:before="0" w:after="283"/>
              <w:jc w:val="center"/>
              <w:rPr/>
            </w:pPr>
            <w:r>
              <w:rPr/>
              <w:t>/s/ James Hackett</w:t>
            </w:r>
          </w:p>
        </w:tc>
        <w:tc>
          <w:tcPr>
            <w:tcW w:w="109"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765" w:type="dxa"/>
            <w:tcBorders>
              <w:bottom w:val="single" w:sz="2" w:space="0" w:color="000000"/>
            </w:tcBorders>
            <w:tcMar>
              <w:bottom w:w="28" w:type="dxa"/>
            </w:tcMar>
          </w:tcPr>
          <w:p>
            <w:pPr>
              <w:pStyle w:val="TableContents"/>
              <w:bidi w:val="0"/>
              <w:spacing w:before="0" w:after="283"/>
              <w:jc w:val="center"/>
              <w:rPr/>
            </w:pPr>
            <w:r>
              <w:rPr/>
              <w:t>/s/ Jeff Sheets</w:t>
            </w:r>
          </w:p>
        </w:tc>
      </w:tr>
      <w:tr>
        <w:trPr/>
        <w:tc>
          <w:tcPr>
            <w:tcW w:w="4965" w:type="dxa"/>
            <w:tcBorders/>
            <w:vAlign w:val="bottom"/>
          </w:tcPr>
          <w:p>
            <w:pPr>
              <w:pStyle w:val="TableContents"/>
              <w:bidi w:val="0"/>
              <w:spacing w:before="0" w:after="283"/>
              <w:jc w:val="center"/>
              <w:rPr/>
            </w:pPr>
            <w:r>
              <w:rPr/>
              <w:t>James Hackett</w:t>
              <w:br/>
              <w:t>Chairman of the Board</w:t>
            </w:r>
          </w:p>
        </w:tc>
        <w:tc>
          <w:tcPr>
            <w:tcW w:w="10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65" w:type="dxa"/>
            <w:tcBorders/>
            <w:vAlign w:val="bottom"/>
          </w:tcPr>
          <w:p>
            <w:pPr>
              <w:pStyle w:val="TableContents"/>
              <w:bidi w:val="0"/>
              <w:spacing w:before="0" w:after="283"/>
              <w:jc w:val="center"/>
              <w:rPr/>
            </w:pPr>
            <w:r>
              <w:rPr/>
              <w:t>Jeff Sheets</w:t>
              <w:br/>
              <w:t>Director</w:t>
            </w:r>
          </w:p>
        </w:tc>
      </w:tr>
      <w:tr>
        <w:trPr>
          <w:trHeight w:val="240" w:hRule="atLeast"/>
        </w:trPr>
        <w:tc>
          <w:tcPr>
            <w:tcW w:w="4965" w:type="dxa"/>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c>
          <w:tcPr>
            <w:tcW w:w="4887" w:type="dxa"/>
            <w:gridSpan w:val="2"/>
            <w:tcBorders/>
            <w:vAlign w:val="center"/>
          </w:tcPr>
          <w:p>
            <w:pPr>
              <w:pStyle w:val="TableContents"/>
              <w:bidi w:val="0"/>
              <w:spacing w:before="0" w:after="283"/>
              <w:jc w:val="left"/>
              <w:rPr>
                <w:sz w:val="4"/>
                <w:szCs w:val="4"/>
              </w:rPr>
            </w:pPr>
            <w:r>
              <w:rPr>
                <w:sz w:val="4"/>
                <w:szCs w:val="4"/>
              </w:rPr>
            </w:r>
          </w:p>
        </w:tc>
      </w:tr>
      <w:tr>
        <w:trPr/>
        <w:tc>
          <w:tcPr>
            <w:tcW w:w="4965" w:type="dxa"/>
            <w:tcBorders>
              <w:bottom w:val="single" w:sz="2" w:space="0" w:color="000000"/>
            </w:tcBorders>
            <w:tcMar>
              <w:bottom w:w="28" w:type="dxa"/>
            </w:tcMar>
          </w:tcPr>
          <w:p>
            <w:pPr>
              <w:pStyle w:val="TableContents"/>
              <w:bidi w:val="0"/>
              <w:spacing w:before="0" w:after="283"/>
              <w:jc w:val="center"/>
              <w:rPr/>
            </w:pPr>
            <w:r>
              <w:rPr/>
              <w:t>/s/ Olivier Le Peuch</w:t>
            </w:r>
          </w:p>
        </w:tc>
        <w:tc>
          <w:tcPr>
            <w:tcW w:w="109"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765" w:type="dxa"/>
            <w:tcBorders>
              <w:bottom w:val="single" w:sz="2" w:space="0" w:color="000000"/>
            </w:tcBorders>
            <w:tcMar>
              <w:bottom w:w="28" w:type="dxa"/>
            </w:tcMar>
          </w:tcPr>
          <w:p>
            <w:pPr>
              <w:pStyle w:val="TableContents"/>
              <w:bidi w:val="0"/>
              <w:spacing w:before="0" w:after="283"/>
              <w:jc w:val="center"/>
              <w:rPr/>
            </w:pPr>
            <w:r>
              <w:rPr/>
              <w:t>/s/ Ulrich Spiesshofer</w:t>
            </w:r>
          </w:p>
        </w:tc>
      </w:tr>
      <w:tr>
        <w:trPr/>
        <w:tc>
          <w:tcPr>
            <w:tcW w:w="4965" w:type="dxa"/>
            <w:tcBorders/>
            <w:vAlign w:val="bottom"/>
          </w:tcPr>
          <w:p>
            <w:pPr>
              <w:pStyle w:val="TableContents"/>
              <w:bidi w:val="0"/>
              <w:spacing w:before="0" w:after="283"/>
              <w:jc w:val="center"/>
              <w:rPr/>
            </w:pPr>
            <w:r>
              <w:rPr/>
              <w:t>Olivier Le Peuch</w:t>
              <w:br/>
              <w:t>Chief Executive Officer and Director</w:t>
            </w:r>
          </w:p>
        </w:tc>
        <w:tc>
          <w:tcPr>
            <w:tcW w:w="10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65" w:type="dxa"/>
            <w:tcBorders/>
            <w:vAlign w:val="bottom"/>
          </w:tcPr>
          <w:p>
            <w:pPr>
              <w:pStyle w:val="TableContents"/>
              <w:bidi w:val="0"/>
              <w:spacing w:before="0" w:after="283"/>
              <w:jc w:val="center"/>
              <w:rPr/>
            </w:pPr>
            <w:r>
              <w:rPr/>
              <w:t>Ulrich Spiesshofer</w:t>
              <w:br/>
              <w:t>Director</w:t>
            </w:r>
          </w:p>
        </w:tc>
      </w:tr>
      <w:tr>
        <w:trPr>
          <w:trHeight w:val="240" w:hRule="atLeast"/>
        </w:trPr>
        <w:tc>
          <w:tcPr>
            <w:tcW w:w="4965" w:type="dxa"/>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c>
          <w:tcPr>
            <w:tcW w:w="4887" w:type="dxa"/>
            <w:gridSpan w:val="2"/>
            <w:tcBorders/>
            <w:vAlign w:val="center"/>
          </w:tcPr>
          <w:p>
            <w:pPr>
              <w:pStyle w:val="TableContents"/>
              <w:bidi w:val="0"/>
              <w:spacing w:before="0" w:after="283"/>
              <w:jc w:val="left"/>
              <w:rPr>
                <w:sz w:val="4"/>
                <w:szCs w:val="4"/>
              </w:rPr>
            </w:pPr>
            <w:r>
              <w:rPr>
                <w:sz w:val="4"/>
                <w:szCs w:val="4"/>
              </w:rPr>
            </w:r>
          </w:p>
        </w:tc>
      </w:tr>
      <w:tr>
        <w:trPr/>
        <w:tc>
          <w:tcPr>
            <w:tcW w:w="4965" w:type="dxa"/>
            <w:tcBorders>
              <w:bottom w:val="single" w:sz="2" w:space="0" w:color="000000"/>
            </w:tcBorders>
            <w:tcMar>
              <w:bottom w:w="28" w:type="dxa"/>
            </w:tcMar>
          </w:tcPr>
          <w:p>
            <w:pPr>
              <w:pStyle w:val="TableContents"/>
              <w:bidi w:val="0"/>
              <w:spacing w:before="0" w:after="283"/>
              <w:jc w:val="center"/>
              <w:rPr/>
            </w:pPr>
            <w:r>
              <w:rPr/>
              <w:t>/s/ Samuel Leupold</w:t>
            </w:r>
          </w:p>
        </w:tc>
        <w:tc>
          <w:tcPr>
            <w:tcW w:w="109" w:type="dxa"/>
            <w:tcBorders/>
            <w:vAlign w:val="bottom"/>
          </w:tcPr>
          <w:p>
            <w:pPr>
              <w:pStyle w:val="TableContents"/>
              <w:bidi w:val="0"/>
              <w:spacing w:before="0" w:after="283"/>
              <w:jc w:val="left"/>
              <w:rPr/>
            </w:pPr>
            <w:r>
              <w:rPr/>
              <w:t> </w:t>
            </w:r>
          </w:p>
        </w:tc>
        <w:tc>
          <w:tcPr>
            <w:tcW w:w="244" w:type="dxa"/>
            <w:tcBorders/>
          </w:tcPr>
          <w:p>
            <w:pPr>
              <w:pStyle w:val="TableContents"/>
              <w:bidi w:val="0"/>
              <w:spacing w:before="0" w:after="0"/>
              <w:jc w:val="left"/>
              <w:rPr/>
            </w:pPr>
            <w:r>
              <w:rPr/>
              <w:t> </w:t>
            </w:r>
          </w:p>
        </w:tc>
        <w:tc>
          <w:tcPr>
            <w:tcW w:w="122" w:type="dxa"/>
            <w:tcBorders/>
            <w:vAlign w:val="bottom"/>
          </w:tcPr>
          <w:p>
            <w:pPr>
              <w:pStyle w:val="TableContents"/>
              <w:bidi w:val="0"/>
              <w:spacing w:before="0" w:after="283"/>
              <w:jc w:val="left"/>
              <w:rPr/>
            </w:pPr>
            <w:r>
              <w:rPr/>
              <w:t>  </w:t>
            </w:r>
          </w:p>
        </w:tc>
        <w:tc>
          <w:tcPr>
            <w:tcW w:w="4765" w:type="dxa"/>
            <w:tcBorders/>
          </w:tcPr>
          <w:p>
            <w:pPr>
              <w:pStyle w:val="TableContents"/>
              <w:bidi w:val="0"/>
              <w:spacing w:before="0" w:after="0"/>
              <w:jc w:val="left"/>
              <w:rPr/>
            </w:pPr>
            <w:r>
              <w:rPr/>
              <w:t> </w:t>
            </w:r>
          </w:p>
        </w:tc>
      </w:tr>
      <w:tr>
        <w:trPr/>
        <w:tc>
          <w:tcPr>
            <w:tcW w:w="4965" w:type="dxa"/>
            <w:tcBorders/>
            <w:vAlign w:val="bottom"/>
          </w:tcPr>
          <w:p>
            <w:pPr>
              <w:pStyle w:val="TableContents"/>
              <w:bidi w:val="0"/>
              <w:spacing w:before="0" w:after="283"/>
              <w:jc w:val="center"/>
              <w:rPr/>
            </w:pPr>
            <w:r>
              <w:rPr/>
              <w:t>Samuel Leupold</w:t>
              <w:br/>
              <w:t>Director</w:t>
            </w:r>
          </w:p>
        </w:tc>
        <w:tc>
          <w:tcPr>
            <w:tcW w:w="10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47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4"/>
        <w:gridCol w:w="102"/>
        <w:gridCol w:w="5512"/>
        <w:gridCol w:w="102"/>
        <w:gridCol w:w="2245"/>
      </w:tblGrid>
      <w:tr>
        <w:trPr/>
        <w:tc>
          <w:tcPr>
            <w:tcW w:w="224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5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512" w:type="dxa"/>
            <w:tcBorders/>
            <w:vAlign w:val="bottom"/>
          </w:tcPr>
          <w:p>
            <w:pPr>
              <w:pStyle w:val="TableContents"/>
              <w:pBdr>
                <w:bottom w:val="single" w:sz="2" w:space="1" w:color="000000"/>
              </w:pBdr>
              <w:bidi w:val="0"/>
              <w:spacing w:before="0" w:after="20"/>
              <w:jc w:val="center"/>
              <w:rPr>
                <w:rFonts w:ascii="ARIAL" w:hAnsi="ARIAL"/>
                <w:sz w:val="20"/>
              </w:rPr>
            </w:pPr>
            <w:r>
              <w:rPr>
                <w:rFonts w:ascii="ARIAL" w:hAnsi="ARIAL"/>
                <w:sz w:val="20"/>
              </w:rPr>
              <w:t>/s/ Stephane Biguet</w:t>
            </w:r>
          </w:p>
        </w:tc>
        <w:tc>
          <w:tcPr>
            <w:tcW w:w="102" w:type="dxa"/>
            <w:tcBorders/>
            <w:vAlign w:val="bottom"/>
          </w:tcPr>
          <w:p>
            <w:pPr>
              <w:pStyle w:val="TableContents"/>
              <w:bidi w:val="0"/>
              <w:spacing w:before="0" w:after="283"/>
              <w:jc w:val="left"/>
              <w:rPr/>
            </w:pPr>
            <w:r>
              <w:rPr/>
              <w:t> </w:t>
            </w:r>
          </w:p>
        </w:tc>
        <w:tc>
          <w:tcPr>
            <w:tcW w:w="2245" w:type="dxa"/>
            <w:tcBorders/>
            <w:vAlign w:val="bottom"/>
          </w:tcPr>
          <w:p>
            <w:pPr>
              <w:pStyle w:val="TableContents"/>
              <w:bidi w:val="0"/>
              <w:spacing w:before="0" w:after="283"/>
              <w:jc w:val="left"/>
              <w:rPr>
                <w:sz w:val="4"/>
                <w:szCs w:val="4"/>
              </w:rPr>
            </w:pPr>
            <w:r>
              <w:rPr>
                <w:sz w:val="4"/>
                <w:szCs w:val="4"/>
              </w:rPr>
            </w:r>
          </w:p>
        </w:tc>
      </w:tr>
      <w:tr>
        <w:trPr/>
        <w:tc>
          <w:tcPr>
            <w:tcW w:w="2244"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512" w:type="dxa"/>
            <w:tcBorders/>
            <w:vAlign w:val="bottom"/>
          </w:tcPr>
          <w:p>
            <w:pPr>
              <w:pStyle w:val="TableContents"/>
              <w:bidi w:val="0"/>
              <w:spacing w:before="0" w:after="0"/>
              <w:jc w:val="center"/>
              <w:rPr>
                <w:rFonts w:ascii="ARIAL" w:hAnsi="ARIAL"/>
                <w:sz w:val="20"/>
              </w:rPr>
            </w:pPr>
            <w:r>
              <w:rPr>
                <w:rFonts w:ascii="ARIAL" w:hAnsi="ARIAL"/>
                <w:sz w:val="20"/>
              </w:rPr>
              <w:t>Stephane Biguet</w:t>
            </w:r>
          </w:p>
          <w:p>
            <w:pPr>
              <w:pStyle w:val="TableContents"/>
              <w:bidi w:val="0"/>
              <w:spacing w:before="0" w:after="20"/>
              <w:jc w:val="center"/>
              <w:rPr>
                <w:rFonts w:ascii="ARIAL" w:hAnsi="ARIAL"/>
                <w:sz w:val="20"/>
              </w:rPr>
            </w:pPr>
            <w:r>
              <w:rPr>
                <w:rFonts w:ascii="ARIAL" w:hAnsi="ARIAL"/>
                <w:sz w:val="20"/>
              </w:rPr>
              <w:t>Executive Vice President and Chief</w:t>
              <w:br/>
              <w:t>Financial Officer</w:t>
            </w:r>
          </w:p>
        </w:tc>
        <w:tc>
          <w:tcPr>
            <w:tcW w:w="102" w:type="dxa"/>
            <w:tcBorders/>
            <w:vAlign w:val="bottom"/>
          </w:tcPr>
          <w:p>
            <w:pPr>
              <w:pStyle w:val="TableContents"/>
              <w:bidi w:val="0"/>
              <w:spacing w:before="0" w:after="283"/>
              <w:jc w:val="left"/>
              <w:rPr/>
            </w:pPr>
            <w:r>
              <w:rPr/>
              <w:t> </w:t>
            </w:r>
          </w:p>
        </w:tc>
        <w:tc>
          <w:tcPr>
            <w:tcW w:w="224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Date: August 4, 2023 </w:t>
      </w:r>
    </w:p>
    <w:p>
      <w:pPr>
        <w:pStyle w:val="TextBody"/>
        <w:bidi w:val="0"/>
        <w:spacing w:before="0" w:after="0"/>
        <w:jc w:val="right"/>
        <w:rPr>
          <w:rFonts w:ascii="ARIAL" w:hAnsi="ARIAL"/>
          <w:b/>
          <w:sz w:val="20"/>
        </w:rPr>
      </w:pPr>
      <w:bookmarkStart w:id="26" w:name="d526977dexfilingfees.htm"/>
      <w:bookmarkStart w:id="27" w:name="ksd526977dexfilingfees"/>
      <w:bookmarkEnd w:id="26"/>
      <w:bookmarkEnd w:id="27"/>
      <w:r>
        <w:rPr>
          <w:rFonts w:ascii="ARIAL" w:hAnsi="ARIAL"/>
          <w:b/>
          <w:sz w:val="20"/>
        </w:rPr>
        <w:t xml:space="preserve">Exhibit 107 </w:t>
      </w:r>
      <w:r>
        <w:br w:type="page"/>
      </w:r>
    </w:p>
    <w:p>
      <w:pPr>
        <w:pStyle w:val="TextBody"/>
        <w:bidi w:val="0"/>
        <w:spacing w:before="0" w:after="0"/>
        <w:jc w:val="center"/>
        <w:rPr>
          <w:rFonts w:ascii="ARIAL" w:hAnsi="ARIAL"/>
          <w:b/>
          <w:sz w:val="16"/>
        </w:rPr>
      </w:pPr>
      <w:r>
        <w:rPr>
          <w:rFonts w:ascii="ARIAL" w:hAnsi="ARIAL"/>
          <w:b/>
          <w:sz w:val="16"/>
        </w:rPr>
        <w:t xml:space="preserve">Calculation of Filing Fee Tables </w:t>
      </w:r>
    </w:p>
    <w:p>
      <w:pPr>
        <w:pStyle w:val="TextBody"/>
        <w:bidi w:val="0"/>
        <w:spacing w:before="0" w:after="0"/>
        <w:jc w:val="center"/>
        <w:rPr>
          <w:rFonts w:ascii="ARIAL" w:hAnsi="ARIAL"/>
          <w:b/>
          <w:sz w:val="16"/>
        </w:rPr>
      </w:pPr>
      <w:r>
        <w:rPr>
          <w:rFonts w:ascii="ARIAL" w:hAnsi="ARIAL"/>
          <w:b/>
          <w:sz w:val="16"/>
        </w:rPr>
        <w:t xml:space="preserve">Form S-3 </w:t>
      </w:r>
    </w:p>
    <w:p>
      <w:pPr>
        <w:pStyle w:val="TextBody"/>
        <w:bidi w:val="0"/>
        <w:spacing w:before="0" w:after="0"/>
        <w:jc w:val="center"/>
        <w:rPr>
          <w:rFonts w:ascii="ARIAL" w:hAnsi="ARIAL"/>
          <w:sz w:val="16"/>
        </w:rPr>
      </w:pPr>
      <w:r>
        <w:rPr>
          <w:rFonts w:ascii="ARIAL" w:hAnsi="ARIAL"/>
          <w:sz w:val="16"/>
        </w:rPr>
        <w:t xml:space="preserve">(Form Type) </w:t>
      </w:r>
    </w:p>
    <w:p>
      <w:pPr>
        <w:pStyle w:val="TextBody"/>
        <w:bidi w:val="0"/>
        <w:spacing w:before="0" w:after="0"/>
        <w:jc w:val="center"/>
        <w:rPr>
          <w:rFonts w:ascii="ARIAL" w:hAnsi="ARIAL"/>
          <w:b/>
          <w:sz w:val="24"/>
        </w:rPr>
      </w:pPr>
      <w:r>
        <w:rPr>
          <w:rFonts w:ascii="ARIAL" w:hAnsi="ARIAL"/>
          <w:b/>
          <w:sz w:val="24"/>
        </w:rPr>
        <w:t xml:space="preserve">SCHLUMBERGER N.V. </w:t>
      </w:r>
    </w:p>
    <w:p>
      <w:pPr>
        <w:pStyle w:val="TextBody"/>
        <w:bidi w:val="0"/>
        <w:spacing w:before="0" w:after="0"/>
        <w:jc w:val="center"/>
        <w:rPr>
          <w:rFonts w:ascii="ARIAL" w:hAnsi="ARIAL"/>
          <w:b/>
          <w:sz w:val="24"/>
        </w:rPr>
      </w:pPr>
      <w:r>
        <w:rPr>
          <w:rFonts w:ascii="ARIAL" w:hAnsi="ARIAL"/>
          <w:b/>
          <w:sz w:val="24"/>
        </w:rPr>
        <w:t xml:space="preserve">(SCHLUMBERGER LIMITED) </w:t>
      </w:r>
    </w:p>
    <w:p>
      <w:pPr>
        <w:pStyle w:val="TextBody"/>
        <w:bidi w:val="0"/>
        <w:spacing w:before="240" w:after="0"/>
        <w:jc w:val="center"/>
        <w:rPr>
          <w:rFonts w:ascii="ARIAL" w:hAnsi="ARIAL"/>
          <w:sz w:val="16"/>
        </w:rPr>
      </w:pPr>
      <w:r>
        <w:rPr>
          <w:rFonts w:ascii="ARIAL" w:hAnsi="ARIAL"/>
          <w:sz w:val="16"/>
        </w:rPr>
        <w:t xml:space="preserve">(Exact Name of Registrant as Specified in its Charter) </w:t>
      </w:r>
    </w:p>
    <w:p>
      <w:pPr>
        <w:pStyle w:val="TextBody"/>
        <w:bidi w:val="0"/>
        <w:spacing w:before="0" w:after="0"/>
        <w:jc w:val="center"/>
        <w:rPr>
          <w:rFonts w:ascii="ARIAL" w:hAnsi="ARIAL"/>
          <w:b/>
          <w:sz w:val="16"/>
        </w:rPr>
      </w:pPr>
      <w:r>
        <w:rPr>
          <w:rFonts w:ascii="ARIAL" w:hAnsi="ARIAL"/>
          <w:b/>
          <w:sz w:val="16"/>
        </w:rPr>
        <w:t xml:space="preserve">Table 1: Newly Registered and Carry Forward Securities </w:t>
      </w:r>
    </w:p>
    <w:p>
      <w:pPr>
        <w:pStyle w:val="TextBody"/>
        <w:bidi w:val="0"/>
        <w:spacing w:before="0" w:after="0"/>
        <w:jc w:val="left"/>
        <w:rPr/>
      </w:pPr>
      <w:r>
        <w:rPr/>
        <w:t> </w:t>
      </w:r>
    </w:p>
    <w:tbl>
      <w:tblPr>
        <w:tblW w:w="17540" w:type="dxa"/>
        <w:jc w:val="left"/>
        <w:tblInd w:w="0" w:type="dxa"/>
        <w:tblLayout w:type="fixed"/>
        <w:tblCellMar>
          <w:top w:w="0" w:type="dxa"/>
          <w:left w:w="0" w:type="dxa"/>
          <w:bottom w:w="0" w:type="dxa"/>
          <w:right w:w="0" w:type="dxa"/>
        </w:tblCellMar>
      </w:tblPr>
      <w:tblGrid>
        <w:gridCol w:w="770"/>
        <w:gridCol w:w="60"/>
        <w:gridCol w:w="980"/>
        <w:gridCol w:w="60"/>
        <w:gridCol w:w="2105"/>
        <w:gridCol w:w="60"/>
        <w:gridCol w:w="2285"/>
        <w:gridCol w:w="60"/>
        <w:gridCol w:w="1220"/>
        <w:gridCol w:w="60"/>
        <w:gridCol w:w="1190"/>
        <w:gridCol w:w="60"/>
        <w:gridCol w:w="1190"/>
        <w:gridCol w:w="60"/>
        <w:gridCol w:w="620"/>
        <w:gridCol w:w="60"/>
        <w:gridCol w:w="1385"/>
        <w:gridCol w:w="60"/>
        <w:gridCol w:w="1295"/>
        <w:gridCol w:w="60"/>
        <w:gridCol w:w="1055"/>
        <w:gridCol w:w="60"/>
        <w:gridCol w:w="1055"/>
        <w:gridCol w:w="60"/>
        <w:gridCol w:w="1670"/>
      </w:tblGrid>
      <w:tr>
        <w:trPr/>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r>
      <w:tr>
        <w:trPr/>
        <w:tc>
          <w:tcPr>
            <w:tcW w:w="770"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283"/>
              <w:jc w:val="left"/>
              <w:rPr/>
            </w:pPr>
            <w:r>
              <w:rPr/>
              <w:t>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pPr>
            <w:r>
              <w:rPr/>
              <w:t> </w:t>
            </w:r>
            <w:r>
              <w:rPr>
                <w:b/>
              </w:rPr>
              <w:t>Security </w:t>
              <w:br/>
              <w:t>Type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10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Security Class Title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Fee Calculation or</w:t>
              <w:br/>
              <w:t> Carry Forward Rule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2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Amount</w:t>
              <w:br/>
              <w:t> Registered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Proposed</w:t>
              <w:br/>
              <w:t> Maximum </w:t>
              <w:br/>
              <w:t>Offering</w:t>
              <w:br/>
              <w:t>Price Per</w:t>
              <w:br/>
              <w:t>Unit</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1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Maximum</w:t>
              <w:br/>
              <w:t> Aggregate </w:t>
              <w:br/>
              <w:t>Offering</w:t>
              <w:br/>
              <w:t>Price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62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Fee</w:t>
              <w:br/>
              <w:t> Rate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3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Amount of</w:t>
              <w:br/>
              <w:t> Registration </w:t>
              <w:br/>
              <w:t>Fee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29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Carry</w:t>
              <w:br/>
              <w:t>Forward</w:t>
              <w:br/>
              <w:t> Form Type </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5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Carry</w:t>
              <w:br/>
              <w:t> Forward </w:t>
              <w:br/>
              <w:t>File</w:t>
              <w:br/>
              <w:t>Number</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05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Carry</w:t>
              <w:br/>
              <w:t> Forward </w:t>
              <w:br/>
              <w:t>Initial</w:t>
              <w:br/>
              <w:t>effective</w:t>
              <w:br/>
              <w:t>date</w:t>
            </w:r>
          </w:p>
        </w:tc>
        <w:tc>
          <w:tcPr>
            <w:tcW w:w="6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1670" w:type="dxa"/>
            <w:tcBorders>
              <w:top w:val="single" w:sz="2" w:space="0" w:color="000000"/>
              <w:bottom w:val="single" w:sz="2" w:space="0" w:color="000000"/>
              <w:right w:val="single" w:sz="2" w:space="0" w:color="000000"/>
            </w:tcBorders>
            <w:tcMar>
              <w:top w:w="28" w:type="dxa"/>
              <w:bottom w:w="28" w:type="dxa"/>
              <w:right w:w="40" w:type="dxa"/>
            </w:tcMar>
            <w:vAlign w:val="center"/>
          </w:tcPr>
          <w:p>
            <w:pPr>
              <w:pStyle w:val="TableContents"/>
              <w:bidi w:val="0"/>
              <w:spacing w:before="0" w:after="283"/>
              <w:jc w:val="center"/>
              <w:rPr>
                <w:b/>
              </w:rPr>
            </w:pPr>
            <w:r>
              <w:rPr>
                <w:b/>
              </w:rPr>
              <w:t>Filing Fee</w:t>
              <w:br/>
              <w:t>Previously Paid</w:t>
              <w:br/>
              <w:t>In Connection</w:t>
              <w:br/>
              <w:t>with Unsold</w:t>
              <w:br/>
              <w:t> Securities to be </w:t>
              <w:br/>
              <w:t>Carried Forward</w:t>
            </w:r>
          </w:p>
        </w:tc>
      </w:tr>
      <w:tr>
        <w:trPr>
          <w:trHeight w:val="60" w:hRule="atLeast"/>
        </w:trPr>
        <w:tc>
          <w:tcPr>
            <w:tcW w:w="17540" w:type="dxa"/>
            <w:gridSpan w:val="2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7540" w:type="dxa"/>
            <w:gridSpan w:val="25"/>
            <w:tcBorders>
              <w:left w:val="single" w:sz="2" w:space="0" w:color="000000"/>
              <w:bottom w:val="single" w:sz="2" w:space="0" w:color="000000"/>
              <w:right w:val="single" w:sz="2" w:space="0" w:color="000000"/>
            </w:tcBorders>
            <w:tcMar>
              <w:left w:w="160" w:type="dxa"/>
              <w:bottom w:w="100" w:type="dxa"/>
              <w:right w:w="40" w:type="dxa"/>
            </w:tcMar>
            <w:vAlign w:val="center"/>
          </w:tcPr>
          <w:p>
            <w:pPr>
              <w:pStyle w:val="TableContents"/>
              <w:bidi w:val="0"/>
              <w:spacing w:before="0" w:after="283"/>
              <w:jc w:val="center"/>
              <w:rPr>
                <w:b/>
                <w:sz w:val="14"/>
              </w:rPr>
            </w:pPr>
            <w:r>
              <w:rPr>
                <w:b/>
                <w:sz w:val="14"/>
              </w:rPr>
              <w:t>Newly Registered Securities</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104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16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3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vMerge w:val="restart"/>
            <w:tcBorders>
              <w:left w:val="single" w:sz="2" w:space="0" w:color="000000"/>
              <w:bottom w:val="single" w:sz="2" w:space="0" w:color="000000"/>
            </w:tcBorders>
            <w:tcMar>
              <w:left w:w="160" w:type="dxa"/>
              <w:bottom w:w="100" w:type="dxa"/>
            </w:tcMar>
            <w:vAlign w:val="center"/>
          </w:tcPr>
          <w:p>
            <w:pPr>
              <w:pStyle w:val="TableContents"/>
              <w:bidi w:val="0"/>
              <w:spacing w:before="0" w:after="0"/>
              <w:jc w:val="center"/>
              <w:rPr>
                <w:rFonts w:ascii="ARIAL" w:hAnsi="ARIAL"/>
                <w:sz w:val="14"/>
              </w:rPr>
            </w:pPr>
            <w:r>
              <w:rPr>
                <w:rFonts w:ascii="ARIAL" w:hAnsi="ARIAL"/>
                <w:sz w:val="14"/>
              </w:rPr>
              <w:t>Fees to</w:t>
            </w:r>
          </w:p>
          <w:p>
            <w:pPr>
              <w:pStyle w:val="TableContents"/>
              <w:bidi w:val="0"/>
              <w:spacing w:before="0" w:after="20"/>
              <w:jc w:val="center"/>
              <w:rPr>
                <w:rFonts w:ascii="ARIAL" w:hAnsi="ARIAL"/>
                <w:sz w:val="14"/>
              </w:rPr>
            </w:pPr>
            <w:r>
              <w:rPr>
                <w:rFonts w:ascii="ARIAL" w:hAnsi="ARIAL"/>
                <w:sz w:val="14"/>
              </w:rPr>
              <w:t>Be 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Debt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Debt Securities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Rule 457(r) (1)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c>
          <w:tcPr>
            <w:tcW w:w="770" w:type="dxa"/>
            <w:vMerge w:val="continue"/>
            <w:tcBorders>
              <w:left w:val="single" w:sz="2" w:space="0" w:color="000000"/>
              <w:bottom w:val="single" w:sz="2" w:space="0" w:color="000000"/>
            </w:tcBorders>
            <w:tcMar>
              <w:left w:w="160" w:type="dxa"/>
              <w:bottom w:w="100" w:type="dxa"/>
            </w:tcMar>
            <w:vAlign w:val="center"/>
          </w:tcPr>
          <w:p>
            <w:pPr>
              <w:pStyle w:val="Normal"/>
              <w:bidi w:val="0"/>
              <w:jc w:val="left"/>
              <w:rPr/>
            </w:pPr>
            <w:r>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Equity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Common Stock</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Rule 457(r) (1)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c>
          <w:tcPr>
            <w:tcW w:w="770" w:type="dxa"/>
            <w:vMerge w:val="continue"/>
            <w:tcBorders>
              <w:left w:val="single" w:sz="2" w:space="0" w:color="000000"/>
              <w:bottom w:val="single" w:sz="2" w:space="0" w:color="000000"/>
            </w:tcBorders>
            <w:tcMar>
              <w:left w:w="160" w:type="dxa"/>
              <w:bottom w:w="100" w:type="dxa"/>
            </w:tcMar>
            <w:vAlign w:val="center"/>
          </w:tcPr>
          <w:p>
            <w:pPr>
              <w:pStyle w:val="Normal"/>
              <w:bidi w:val="0"/>
              <w:jc w:val="left"/>
              <w:rPr/>
            </w:pPr>
            <w:r>
              <w:rPr/>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Other</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Guarantees of Debt Securities (3)</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Other (3)</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104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16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3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100" w:type="dxa"/>
            </w:tcMar>
            <w:vAlign w:val="center"/>
          </w:tcPr>
          <w:p>
            <w:pPr>
              <w:pStyle w:val="TableContents"/>
              <w:bidi w:val="0"/>
              <w:spacing w:before="0" w:after="0"/>
              <w:jc w:val="center"/>
              <w:rPr>
                <w:rFonts w:ascii="ARIAL" w:hAnsi="ARIAL"/>
                <w:sz w:val="14"/>
              </w:rPr>
            </w:pPr>
            <w:r>
              <w:rPr>
                <w:rFonts w:ascii="ARIAL" w:hAnsi="ARIAL"/>
                <w:sz w:val="14"/>
              </w:rPr>
              <w:t>Fees</w:t>
            </w:r>
          </w:p>
          <w:p>
            <w:pPr>
              <w:pStyle w:val="TableContents"/>
              <w:bidi w:val="0"/>
              <w:spacing w:before="0" w:after="0"/>
              <w:jc w:val="center"/>
              <w:rPr/>
            </w:pPr>
            <w:r>
              <w:rPr/>
              <w:t> </w:t>
            </w:r>
            <w:r>
              <w:rPr>
                <w:rFonts w:ascii="ARIAL" w:hAnsi="ARIAL"/>
                <w:sz w:val="14"/>
              </w:rPr>
              <w:t>Previously </w:t>
            </w:r>
          </w:p>
          <w:p>
            <w:pPr>
              <w:pStyle w:val="TableContents"/>
              <w:bidi w:val="0"/>
              <w:spacing w:before="0" w:after="20"/>
              <w:jc w:val="center"/>
              <w:rPr>
                <w:rFonts w:ascii="ARIAL" w:hAnsi="ARIAL"/>
                <w:sz w:val="14"/>
              </w:rPr>
            </w:pPr>
            <w:r>
              <w:rPr>
                <w:rFonts w:ascii="ARIAL" w:hAnsi="ARIAL"/>
                <w:sz w:val="14"/>
              </w:rPr>
              <w:t>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rHeight w:val="60" w:hRule="atLeast"/>
        </w:trPr>
        <w:tc>
          <w:tcPr>
            <w:tcW w:w="17540" w:type="dxa"/>
            <w:gridSpan w:val="25"/>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r>
      <w:tr>
        <w:trPr/>
        <w:tc>
          <w:tcPr>
            <w:tcW w:w="17540" w:type="dxa"/>
            <w:gridSpan w:val="25"/>
            <w:tcBorders>
              <w:left w:val="single" w:sz="2" w:space="0" w:color="000000"/>
              <w:bottom w:val="single" w:sz="2" w:space="0" w:color="000000"/>
              <w:right w:val="single" w:sz="2" w:space="0" w:color="000000"/>
            </w:tcBorders>
            <w:tcMar>
              <w:left w:w="160" w:type="dxa"/>
              <w:bottom w:w="100" w:type="dxa"/>
              <w:right w:w="40" w:type="dxa"/>
            </w:tcMar>
            <w:vAlign w:val="center"/>
          </w:tcPr>
          <w:p>
            <w:pPr>
              <w:pStyle w:val="TableContents"/>
              <w:bidi w:val="0"/>
              <w:spacing w:before="0" w:after="283"/>
              <w:jc w:val="center"/>
              <w:rPr>
                <w:b/>
                <w:sz w:val="14"/>
              </w:rPr>
            </w:pPr>
            <w:r>
              <w:rPr>
                <w:b/>
                <w:sz w:val="14"/>
              </w:rPr>
              <w:t>Carry Forward Securities</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104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16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23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100" w:type="dxa"/>
            </w:tcMar>
            <w:vAlign w:val="center"/>
          </w:tcPr>
          <w:p>
            <w:pPr>
              <w:pStyle w:val="TableContents"/>
              <w:bidi w:val="0"/>
              <w:spacing w:before="0" w:after="0"/>
              <w:jc w:val="center"/>
              <w:rPr>
                <w:rFonts w:ascii="ARIAL" w:hAnsi="ARIAL"/>
                <w:sz w:val="14"/>
              </w:rPr>
            </w:pPr>
            <w:r>
              <w:rPr>
                <w:rFonts w:ascii="ARIAL" w:hAnsi="ARIAL"/>
                <w:sz w:val="14"/>
              </w:rPr>
              <w:t>Carry</w:t>
            </w:r>
          </w:p>
          <w:p>
            <w:pPr>
              <w:pStyle w:val="TableContents"/>
              <w:bidi w:val="0"/>
              <w:spacing w:before="0" w:after="0"/>
              <w:jc w:val="center"/>
              <w:rPr>
                <w:rFonts w:ascii="ARIAL" w:hAnsi="ARIAL"/>
                <w:sz w:val="14"/>
              </w:rPr>
            </w:pPr>
            <w:r>
              <w:rPr>
                <w:rFonts w:ascii="ARIAL" w:hAnsi="ARIAL"/>
                <w:sz w:val="14"/>
              </w:rPr>
              <w:t>Forward</w:t>
            </w:r>
          </w:p>
          <w:p>
            <w:pPr>
              <w:pStyle w:val="TableContents"/>
              <w:bidi w:val="0"/>
              <w:spacing w:before="0" w:after="20"/>
              <w:jc w:val="center"/>
              <w:rPr>
                <w:rFonts w:ascii="ARIAL" w:hAnsi="ARIAL"/>
                <w:sz w:val="14"/>
              </w:rPr>
            </w:pPr>
            <w:r>
              <w:rPr>
                <w:rFonts w:ascii="ARIAL" w:hAnsi="ARIAL"/>
                <w:sz w:val="14"/>
              </w:rPr>
              <w:t>Securities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0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2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2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100" w:type="dxa"/>
              <w:right w:w="28"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6830"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70" w:type="dxa"/>
            <w:gridSpan w:val="7"/>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Total Offering Amounts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6830"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70" w:type="dxa"/>
            <w:gridSpan w:val="7"/>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Total Fees Previously 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6830"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70" w:type="dxa"/>
            <w:gridSpan w:val="7"/>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Total Fee Offsets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r>
        <w:trPr>
          <w:trHeight w:val="60" w:hRule="atLeast"/>
        </w:trPr>
        <w:tc>
          <w:tcPr>
            <w:tcW w:w="770" w:type="dxa"/>
            <w:tcBorders>
              <w:left w:val="single" w:sz="2" w:space="0" w:color="000000"/>
            </w:tcBorders>
            <w:tcMar>
              <w:left w:w="160" w:type="dxa"/>
            </w:tcMar>
            <w:vAlign w:val="center"/>
          </w:tcPr>
          <w:p>
            <w:pPr>
              <w:pStyle w:val="TableContents"/>
              <w:bidi w:val="0"/>
              <w:spacing w:before="0" w:after="283"/>
              <w:jc w:val="left"/>
              <w:rPr/>
            </w:pPr>
            <w:r>
              <w:rPr/>
              <w:t> </w:t>
            </w:r>
          </w:p>
        </w:tc>
        <w:tc>
          <w:tcPr>
            <w:tcW w:w="6830" w:type="dxa"/>
            <w:gridSpan w:val="8"/>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25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680"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44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35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115" w:type="dxa"/>
            <w:gridSpan w:val="2"/>
            <w:tcBorders>
              <w:left w:val="single" w:sz="2" w:space="0" w:color="000000"/>
            </w:tcBorders>
            <w:tcMar>
              <w:left w:w="28" w:type="dxa"/>
            </w:tcMar>
            <w:vAlign w:val="center"/>
          </w:tcPr>
          <w:p>
            <w:pPr>
              <w:pStyle w:val="TableContents"/>
              <w:bidi w:val="0"/>
              <w:spacing w:before="0" w:after="283"/>
              <w:jc w:val="left"/>
              <w:rPr/>
            </w:pPr>
            <w:r>
              <w:rPr/>
              <w:t> </w:t>
            </w:r>
          </w:p>
        </w:tc>
        <w:tc>
          <w:tcPr>
            <w:tcW w:w="1730"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70" w:type="dxa"/>
            <w:tcBorders>
              <w:left w:val="single" w:sz="2" w:space="0" w:color="000000"/>
              <w:bottom w:val="single" w:sz="2" w:space="0" w:color="000000"/>
            </w:tcBorders>
            <w:tcMar>
              <w:left w:w="160" w:type="dxa"/>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770" w:type="dxa"/>
            <w:gridSpan w:val="7"/>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385" w:type="dxa"/>
            <w:tcBorders>
              <w:bottom w:val="single" w:sz="2" w:space="0" w:color="000000"/>
            </w:tcBorders>
            <w:tcMar>
              <w:bottom w:w="100" w:type="dxa"/>
            </w:tcMar>
            <w:vAlign w:val="center"/>
          </w:tcPr>
          <w:p>
            <w:pPr>
              <w:pStyle w:val="TableContents"/>
              <w:bidi w:val="0"/>
              <w:spacing w:lineRule="atLeast" w:line="260" w:before="0" w:after="0"/>
              <w:jc w:val="center"/>
              <w:rPr>
                <w:rFonts w:ascii="ARIAL" w:hAnsi="ARIAL"/>
                <w:sz w:val="14"/>
              </w:rPr>
            </w:pPr>
            <w:r>
              <w:rPr>
                <w:rFonts w:ascii="ARIAL" w:hAnsi="ARIAL"/>
                <w:sz w:val="14"/>
              </w:rPr>
              <w:t>N/A</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9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670" w:type="dxa"/>
            <w:tcBorders>
              <w:bottom w:val="single" w:sz="2" w:space="0" w:color="000000"/>
              <w:right w:val="single" w:sz="2" w:space="0" w:color="000000"/>
            </w:tcBorders>
            <w:tcMar>
              <w:bottom w:w="28" w:type="dxa"/>
              <w:right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The registrant is deferring payment of the registration fee pursuant to Rule 456(b) under the Securities Act of 1933, as amended (the Securities Act) and is excluding this information in reliance on Rule 456(b) and Rule 457(r) under the Securities Act. Any additional registration fees will be paid subsequently on a pay-as-you-go basis.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16"/>
              </w:rPr>
            </w:pPr>
            <w:r>
              <w:rPr>
                <w:rFonts w:ascii="ARIAL" w:hAnsi="ARIAL"/>
                <w:sz w:val="16"/>
              </w:rPr>
              <w:t xml:space="preserve">The registrant is registering hereby an indeterminate initial offering price and number or amount of securities of each identified class of securities as may from time to time be sold at indeterminate prices.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6"/>
              </w:rPr>
            </w:pPr>
            <w:r>
              <w:rPr>
                <w:rFonts w:ascii="ARIAL" w:hAnsi="ARIAL"/>
                <w:sz w:val="16"/>
              </w:rPr>
              <w:t xml:space="preserve">Pursuant to Rule 457(n), no separate fee is payable with respect to the guarantee.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87347/000156459023000762/slb-10k_20221231.htm" TargetMode="External"/><Relationship Id="rId4" Type="http://schemas.openxmlformats.org/officeDocument/2006/relationships/hyperlink" Target="http://www.sec.gov/Archives/edgar/data/../../../ix?doc=/Archives/edgar/data/87347/000130817923000057/slb-20221231.htm" TargetMode="External"/><Relationship Id="rId5" Type="http://schemas.openxmlformats.org/officeDocument/2006/relationships/hyperlink" Target="http://www.sec.gov/Archives/edgar/data/../../../ix?doc=/Archives/edgar/data/87347/000095017023014656/slb-20230331.htm" TargetMode="External"/><Relationship Id="rId6" Type="http://schemas.openxmlformats.org/officeDocument/2006/relationships/hyperlink" Target="http://www.sec.gov/Archives/edgar/data/../../../ix?doc=/Archives/edgar/data/87347/000095017023034590/slb-20230630.htm" TargetMode="External"/><Relationship Id="rId7" Type="http://schemas.openxmlformats.org/officeDocument/2006/relationships/hyperlink" Target="http://www.sec.gov/Archives/edgar/data/../../../ix?doc=/Archives/edgar/data/87347/000119312523092724/d452417d8k.htm" TargetMode="External"/><Relationship Id="rId8" Type="http://schemas.openxmlformats.org/officeDocument/2006/relationships/hyperlink" Target="http://www.sec.gov/Archives/edgar/data/../../../ix?doc=/Archives/edgar/data/87347/000119312523103678/d489792d8k.htm" TargetMode="External"/><Relationship Id="rId9" Type="http://schemas.openxmlformats.org/officeDocument/2006/relationships/hyperlink" Target="http://www.sec.gov/Archives/edgar/data/../../../ix?doc=/Archives/edgar/data/87347/000119312523110532/d470769d8k.htm" TargetMode="External"/><Relationship Id="rId10" Type="http://schemas.openxmlformats.org/officeDocument/2006/relationships/hyperlink" Target="http://www.sec.gov/Archives/edgar/data/../../../ix?doc=/Archives/edgar/data/87347/000119312523145038/d289147d8k.htm" TargetMode="External"/><Relationship Id="rId11" Type="http://schemas.openxmlformats.org/officeDocument/2006/relationships/hyperlink" Target="http://www.sec.gov/Archives/edgar/data/../../../ix?doc=/Archives/edgar/data/87347/000119312523192254/d514484d8k.htm" TargetMode="External"/><Relationship Id="rId12" Type="http://schemas.openxmlformats.org/officeDocument/2006/relationships/hyperlink" Target="http://www.sec.gov/Archives/edgar/data/87347/000156459021002477/slb-ex41_56.htm" TargetMode="External"/><Relationship Id="rId13" Type="http://schemas.openxmlformats.org/officeDocument/2006/relationships/hyperlink" Target="http://www.sec.gov/Archives/edgar/data/87347/000119312516532046/d176097dex31.htm" TargetMode="External"/><Relationship Id="rId14" Type="http://schemas.openxmlformats.org/officeDocument/2006/relationships/hyperlink" Target="http://www.sec.gov/Archives/edgar/data/87347/000119312523110532/d470769dex3.htm" TargetMode="External"/><Relationship Id="rId15" Type="http://schemas.openxmlformats.org/officeDocument/2006/relationships/hyperlink" Target="http://www.sec.gov/Archives/edgar/data/87347/000156459021002477/slb-ex41_56.htm" TargetMode="External"/><Relationship Id="rId16" Type="http://schemas.openxmlformats.org/officeDocument/2006/relationships/hyperlink" Target="http://www.sec.gov/Archives/edgar/data/87347/000119312520276624/d23316dex42.htm" TargetMode="External"/><Relationship Id="rId17" Type="http://schemas.openxmlformats.org/officeDocument/2006/relationships/hyperlink" Target="http://www.sec.gov/Archives/edgar/data/87347/000119312520276624/d23316dex43.htm" TargetMode="External"/><Relationship Id="rId18" Type="http://schemas.openxmlformats.org/officeDocument/2006/relationships/hyperlink" Target="http://www.sec.gov/Archives/edgar/data/87347/000095017023034590/slb-ex22.htm" TargetMode="External"/><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25007</Words>
  <Characters>128934</Characters>
  <CharactersWithSpaces>154214</CharactersWithSpaces>
  <Paragraphs>2057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