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52-0684746</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5599 San Felipe, Houston, Texas, U.S.A . 77056</w:t>
      </w:r>
    </w:p>
    <w:p>
      <w:pPr>
        <w:spacing w:after="0" w:line="14" w:lineRule="exact"/>
        <w:rPr>
          <w:sz w:val="24"/>
          <w:szCs w:val="24"/>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31" w:lineRule="exact"/>
        <w:rPr>
          <w:sz w:val="24"/>
          <w:szCs w:val="24"/>
          <w:color w:val="auto"/>
        </w:rPr>
      </w:pPr>
    </w:p>
    <w:p>
      <w:pPr>
        <w:ind w:left="3484"/>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4"/>
          </w:cols>
          <w:pgMar w:left="436" w:top="376" w:right="439" w:bottom="1440" w:gutter="0" w:footer="0" w:header="0"/>
          <w:type w:val="continuous"/>
        </w:sectPr>
      </w:pP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217170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June 22, 2022, Olivier Le Peuch, Chief Executive Officer of Schlumberger, presented at the J.P. Morgan Energy, Power &amp; Renewables Conference in New York, New York, where he discussed, among other things, Schlumberger’s strategic focus and outlook. Slides in connection with the conference are available on the Schlumberger Investor Relations website at https://investorcenter.slb.com/investor-presentations.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The presentation referred to above contains “forward-looking statements” within the meaning of the federal securities laws — that is,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including decarbonization of oil and gas operations; capital expenditures by Schlumberger and the oil and gas industry; the business strategies of Schlumberger, including digital and “fit for basin,” as well as the strategies of Schlumberger’s customers; Schlumberger’s Asset Performance Solutions projects, joint ventures, and other alliances; Schlumberger’s response to the COVID-19 pandemic, and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the ongoing conflict in Ukraine; foreign currency risk; pricing pressure; weather and seasonal factors; unfavorable effects of health pandemics; availability and cost of raw materials; operational modifications, delays or cancellations; challenges in Schlumberger’s supply chain; production declines; the extent of future charges; Schlumberger’s inability to recognize efficiencies and other intended benefits from Schlumberger’s business strategies and initiatives, such as digital or new energy, as well as its cost reduction strategies; changes in government regulations and regulatory requirements, including those related to offshore oil and gas exploration, chemicals and climate-related initiatives; the inability of technology to meet new challenges in exploration; the competitiveness of alternative energy sources or product substitutes; and other risks and uncertainties detailed in Schlumberger’s most recent Forms 10-K, 10-Q, and 8-K filed with or furnished to the SEC. If one or more of these or other risks or uncertainties materialize (or the consequences of any such development changes), or should Schlumberger’s underlying assumptions prove incorrect, actual results or outcomes may vary materially from those reflected in the forward-looking statements. Forward-looking and other statements in the presentation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Dianne B. Ralston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2022</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2022-06-22T08:05:21Z</dcterms:created>
  <dcterms:modified xsi:type="dcterms:W3CDTF">2022-06-22T08:05:21Z</dcterms:modified>
</cp:coreProperties>
</file>