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104775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92075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91440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1"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Arial" w:cs="Arial" w:eastAsia="Arial" w:hAnsi="Arial"/>
                <w:sz w:val="14"/>
                <w:szCs w:val="14"/>
                <w:b w:val="1"/>
                <w:bCs w:val="1"/>
                <w:color w:val="auto"/>
                <w:w w:val="91"/>
              </w:rPr>
              <w:t>(State or other jurisdiction of</w:t>
            </w:r>
          </w:p>
        </w:tc>
        <w:tc>
          <w:tcPr>
            <w:tcW w:w="3100" w:type="dxa"/>
            <w:vAlign w:val="bottom"/>
          </w:tcPr>
          <w:p>
            <w:pPr>
              <w:jc w:val="center"/>
              <w:ind w:left="1918"/>
              <w:spacing w:after="0" w:line="146"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4560" w:type="dxa"/>
            <w:vAlign w:val="bottom"/>
          </w:tcPr>
          <w:p>
            <w:pPr>
              <w:jc w:val="center"/>
              <w:ind w:right="1916"/>
              <w:spacing w:after="0"/>
              <w:rPr>
                <w:sz w:val="20"/>
                <w:szCs w:val="20"/>
                <w:color w:val="auto"/>
              </w:rPr>
            </w:pPr>
            <w:r>
              <w:rPr>
                <w:rFonts w:ascii="Arial" w:cs="Arial" w:eastAsia="Arial" w:hAnsi="Arial"/>
                <w:sz w:val="14"/>
                <w:szCs w:val="14"/>
                <w:b w:val="1"/>
                <w:bCs w:val="1"/>
                <w:color w:val="auto"/>
                <w:w w:val="92"/>
              </w:rPr>
              <w:t>incorporation or organization)</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2"/>
              </w:rPr>
              <w:t>Identification No.)</w:t>
            </w:r>
          </w:p>
        </w:tc>
      </w:tr>
      <w:tr>
        <w:trPr>
          <w:trHeight w:val="29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9"/>
              </w:rPr>
              <w:t>42 RUE SAINT-DOMINIQUE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PARIS, FRANCE</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75007</w:t>
            </w:r>
          </w:p>
        </w:tc>
      </w:tr>
      <w:tr>
        <w:trPr>
          <w:trHeight w:val="315"/>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5599 SAN FELIPE, 17th FLOOR</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HOUSTON, TEXAS, U.S.A.</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77056</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62 BUCKINGHAM GATE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2"/>
              </w:rPr>
              <w:t>SW1E 6AJ</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THE NETHERLANDS</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2514 JG</w:t>
            </w:r>
          </w:p>
        </w:tc>
      </w:tr>
      <w:tr>
        <w:trPr>
          <w:trHeight w:val="184"/>
        </w:trPr>
        <w:tc>
          <w:tcPr>
            <w:tcW w:w="4560" w:type="dxa"/>
            <w:vAlign w:val="bottom"/>
          </w:tcPr>
          <w:p>
            <w:pPr>
              <w:jc w:val="center"/>
              <w:ind w:right="1896"/>
              <w:spacing w:after="0"/>
              <w:rPr>
                <w:sz w:val="20"/>
                <w:szCs w:val="20"/>
                <w:color w:val="auto"/>
              </w:rPr>
            </w:pPr>
            <w:r>
              <w:rPr>
                <w:rFonts w:ascii="Arial" w:cs="Arial" w:eastAsia="Arial" w:hAnsi="Arial"/>
                <w:sz w:val="14"/>
                <w:szCs w:val="14"/>
                <w:b w:val="1"/>
                <w:bCs w:val="1"/>
                <w:color w:val="auto"/>
                <w:w w:val="88"/>
              </w:rPr>
              <w:t>(Addresses of principal executive offices)</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0"/>
              </w:rPr>
              <w:t>(Zip Codes)</w:t>
            </w:r>
          </w:p>
        </w:tc>
      </w:tr>
    </w:tbl>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is:</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(713) 513-2000</w:t>
      </w:r>
    </w:p>
    <w:p>
      <w:pPr>
        <w:spacing w:after="0" w:line="118" w:lineRule="exact"/>
        <w:rPr>
          <w:sz w:val="24"/>
          <w:szCs w:val="24"/>
          <w:color w:val="auto"/>
        </w:rPr>
      </w:pPr>
    </w:p>
    <w:p>
      <w:pPr>
        <w:jc w:val="both"/>
        <w:ind w:right="1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340"/>
        <w:spacing w:after="0" w:line="29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205" w:right="219" w:bottom="1440" w:gutter="0" w:footer="0" w:header="0"/>
        </w:sectPr>
      </w:pPr>
    </w:p>
    <w:p>
      <w:pPr>
        <w:spacing w:after="0" w:line="64"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2" w:lineRule="exact"/>
        <w:rPr>
          <w:sz w:val="24"/>
          <w:szCs w:val="24"/>
          <w:color w:val="auto"/>
        </w:rPr>
      </w:pPr>
    </w:p>
    <w:p>
      <w:pPr>
        <w:sectPr>
          <w:pgSz w:w="11900" w:h="16838" w:orient="portrait"/>
          <w:cols w:equalWidth="0" w:num="4">
            <w:col w:w="1600" w:space="520"/>
            <w:col w:w="5260" w:space="720"/>
            <w:col w:w="2320" w:space="720"/>
            <w:col w:w="300"/>
          </w:cols>
          <w:pgMar w:left="240" w:top="205" w:right="21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8" w:lineRule="exact"/>
        <w:rPr>
          <w:sz w:val="24"/>
          <w:szCs w:val="24"/>
          <w:color w:val="auto"/>
        </w:rPr>
      </w:pPr>
    </w:p>
    <w:p>
      <w:pPr>
        <w:sectPr>
          <w:pgSz w:w="11900" w:h="16838" w:orient="portrait"/>
          <w:cols w:equalWidth="0" w:num="5">
            <w:col w:w="1520" w:space="600"/>
            <w:col w:w="160" w:space="80"/>
            <w:col w:w="5020" w:space="720"/>
            <w:col w:w="2320" w:space="720"/>
            <w:col w:w="300"/>
          </w:cols>
          <w:pgMar w:left="240" w:top="205" w:right="219" w:bottom="1440" w:gutter="0" w:footer="0" w:header="0"/>
          <w:type w:val="continuous"/>
        </w:sectPr>
      </w:pP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8" w:lineRule="exact"/>
        <w:rPr>
          <w:sz w:val="24"/>
          <w:szCs w:val="24"/>
          <w:color w:val="auto"/>
        </w:rPr>
      </w:pPr>
    </w:p>
    <w:p>
      <w:pPr>
        <w:sectPr>
          <w:pgSz w:w="11900" w:h="16838" w:orient="portrait"/>
          <w:cols w:equalWidth="0" w:num="4">
            <w:col w:w="8060" w:space="160"/>
            <w:col w:w="260" w:space="80"/>
            <w:col w:w="160" w:space="180"/>
            <w:col w:w="2540"/>
          </w:cols>
          <w:pgMar w:left="240" w:top="205"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2080" w:type="dxa"/>
            <w:vAlign w:val="bottom"/>
          </w:tcPr>
          <w:p>
            <w:pPr>
              <w:spacing w:after="0"/>
              <w:rPr>
                <w:sz w:val="20"/>
                <w:szCs w:val="20"/>
                <w:color w:val="auto"/>
              </w:rPr>
            </w:pPr>
          </w:p>
        </w:tc>
        <w:tc>
          <w:tcPr>
            <w:tcW w:w="3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Outstanding at September 30, 2016</w:t>
            </w:r>
          </w:p>
        </w:tc>
      </w:tr>
      <w:tr>
        <w:trPr>
          <w:trHeight w:val="238"/>
        </w:trPr>
        <w:tc>
          <w:tcPr>
            <w:tcW w:w="6300" w:type="dxa"/>
            <w:vAlign w:val="bottom"/>
            <w:gridSpan w:val="3"/>
          </w:tcPr>
          <w:p>
            <w:pPr>
              <w:spacing w:after="0"/>
              <w:rPr>
                <w:sz w:val="20"/>
                <w:szCs w:val="20"/>
                <w:color w:val="auto"/>
              </w:rPr>
            </w:pPr>
            <w:r>
              <w:rPr>
                <w:rFonts w:ascii="Arial" w:cs="Arial" w:eastAsia="Arial" w:hAnsi="Arial"/>
                <w:sz w:val="18"/>
                <w:szCs w:val="18"/>
                <w:color w:val="auto"/>
              </w:rPr>
              <w:t>COMMON STOCK, $0.01 PAR VALUE PER SHARE</w:t>
            </w:r>
          </w:p>
        </w:tc>
        <w:tc>
          <w:tcPr>
            <w:tcW w:w="2080" w:type="dxa"/>
            <w:vAlign w:val="bottom"/>
          </w:tcPr>
          <w:p>
            <w:pPr>
              <w:spacing w:after="0"/>
              <w:rPr>
                <w:sz w:val="20"/>
                <w:szCs w:val="20"/>
                <w:color w:val="auto"/>
              </w:rPr>
            </w:pPr>
          </w:p>
        </w:tc>
        <w:tc>
          <w:tcPr>
            <w:tcW w:w="2660" w:type="dxa"/>
            <w:vAlign w:val="bottom"/>
            <w:tcBorders>
              <w:top w:val="single" w:sz="8" w:color="auto"/>
            </w:tcBorders>
          </w:tcPr>
          <w:p>
            <w:pPr>
              <w:jc w:val="right"/>
              <w:ind w:right="731"/>
              <w:spacing w:after="0"/>
              <w:rPr>
                <w:sz w:val="20"/>
                <w:szCs w:val="20"/>
                <w:color w:val="auto"/>
              </w:rPr>
            </w:pPr>
            <w:r>
              <w:rPr>
                <w:rFonts w:ascii="Arial" w:cs="Arial" w:eastAsia="Arial" w:hAnsi="Arial"/>
                <w:sz w:val="18"/>
                <w:szCs w:val="18"/>
                <w:color w:val="auto"/>
              </w:rPr>
              <w:t>1,391,308,399</w:t>
            </w:r>
          </w:p>
        </w:tc>
        <w:tc>
          <w:tcPr>
            <w:tcW w:w="400" w:type="dxa"/>
            <w:vAlign w:val="bottom"/>
          </w:tcPr>
          <w:p>
            <w:pPr>
              <w:spacing w:after="0"/>
              <w:rPr>
                <w:sz w:val="20"/>
                <w:szCs w:val="20"/>
                <w:color w:val="auto"/>
              </w:rPr>
            </w:pPr>
          </w:p>
        </w:tc>
      </w:tr>
      <w:tr>
        <w:trPr>
          <w:trHeight w:val="898"/>
        </w:trPr>
        <w:tc>
          <w:tcPr>
            <w:tcW w:w="3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05"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SCHLUMBERGER LIMITED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2016 Form 10-Q</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360" w:type="dxa"/>
            <w:vAlign w:val="bottom"/>
            <w:tcBorders>
              <w:top w:val="single" w:sz="8" w:color="0000EE"/>
            </w:tcBorders>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1"/>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6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66040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gridSpan w:val="8"/>
          </w:tcPr>
          <w:p>
            <w:pPr>
              <w:ind w:left="220"/>
              <w:spacing w:after="0"/>
              <w:rPr>
                <w:sz w:val="20"/>
                <w:szCs w:val="20"/>
                <w:color w:val="auto"/>
              </w:rPr>
            </w:pPr>
            <w:r>
              <w:rPr>
                <w:rFonts w:ascii="Arial" w:cs="Arial" w:eastAsia="Arial" w:hAnsi="Arial"/>
                <w:sz w:val="14"/>
                <w:szCs w:val="14"/>
                <w:i w:val="1"/>
                <w:iCs w:val="1"/>
                <w:color w:val="auto"/>
                <w:w w:val="94"/>
              </w:rPr>
              <w:t>(Stated in millions, except per share amounts</w:t>
            </w:r>
            <w:r>
              <w:rPr>
                <w:rFonts w:ascii="Arial" w:cs="Arial" w:eastAsia="Arial" w:hAnsi="Arial"/>
                <w:sz w:val="14"/>
                <w:szCs w:val="14"/>
                <w:color w:val="auto"/>
                <w:w w:val="94"/>
              </w:rPr>
              <w:t>)</w:t>
            </w:r>
          </w:p>
        </w:tc>
      </w:tr>
      <w:tr>
        <w:trPr>
          <w:trHeight w:val="436"/>
        </w:trPr>
        <w:tc>
          <w:tcPr>
            <w:tcW w:w="588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b w:val="1"/>
                <w:bCs w:val="1"/>
                <w:color w:val="auto"/>
              </w:rPr>
              <w:t>Third Quarter</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8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Services</w:t>
            </w:r>
          </w:p>
        </w:tc>
        <w:tc>
          <w:tcPr>
            <w:tcW w:w="760" w:type="dxa"/>
            <w:vAlign w:val="bottom"/>
          </w:tcPr>
          <w:p>
            <w:pPr>
              <w:jc w:val="right"/>
              <w:ind w:right="602"/>
              <w:spacing w:after="0"/>
              <w:rPr>
                <w:sz w:val="20"/>
                <w:szCs w:val="20"/>
                <w:color w:val="auto"/>
              </w:rPr>
            </w:pPr>
            <w:r>
              <w:rPr>
                <w:rFonts w:ascii="Arial" w:cs="Arial" w:eastAsia="Arial" w:hAnsi="Arial"/>
                <w:sz w:val="14"/>
                <w:szCs w:val="14"/>
                <w:b w:val="1"/>
                <w:bCs w:val="1"/>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5,023</w:t>
            </w:r>
          </w:p>
        </w:tc>
        <w:tc>
          <w:tcPr>
            <w:tcW w:w="240" w:type="dxa"/>
            <w:vAlign w:val="bottom"/>
          </w:tcPr>
          <w:p>
            <w:pPr>
              <w:spacing w:after="0"/>
              <w:rPr>
                <w:sz w:val="19"/>
                <w:szCs w:val="19"/>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7,574</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15,741</w:t>
            </w:r>
          </w:p>
        </w:tc>
        <w:tc>
          <w:tcPr>
            <w:tcW w:w="14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24,897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1,996</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7,019</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8,472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20,703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27,731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services</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4,355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6,064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19,703</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1,787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Impairments &amp; other</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Merger &amp; integration</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20"/>
                <w:szCs w:val="20"/>
                <w:color w:val="auto"/>
              </w:rPr>
            </w:pPr>
            <w:r>
              <w:rPr>
                <w:rFonts w:ascii="Arial" w:cs="Arial" w:eastAsia="Arial" w:hAnsi="Arial"/>
                <w:sz w:val="18"/>
                <w:szCs w:val="18"/>
                <w:i w:val="1"/>
                <w:iCs w:val="1"/>
                <w:color w:val="auto"/>
              </w:rPr>
              <w:t>Income (loss) before taxes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on income (loss)</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(259)</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20"/>
                <w:szCs w:val="20"/>
                <w:color w:val="auto"/>
              </w:rPr>
            </w:pPr>
            <w:r>
              <w:rPr>
                <w:rFonts w:ascii="Arial" w:cs="Arial" w:eastAsia="Arial" w:hAnsi="Arial"/>
                <w:sz w:val="18"/>
                <w:szCs w:val="18"/>
                <w:i w:val="1"/>
                <w:iCs w:val="1"/>
                <w:color w:val="auto"/>
              </w:rPr>
              <w:t>Net income (loss)</w:t>
            </w: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1,003</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760" w:type="dxa"/>
            <w:vAlign w:val="bottom"/>
          </w:tcPr>
          <w:p>
            <w:pPr>
              <w:jc w:val="right"/>
              <w:ind w:right="602"/>
              <w:spacing w:after="0"/>
              <w:rPr>
                <w:sz w:val="20"/>
                <w:szCs w:val="20"/>
                <w:color w:val="auto"/>
              </w:rPr>
            </w:pPr>
            <w:r>
              <w:rPr>
                <w:rFonts w:ascii="Arial" w:cs="Arial" w:eastAsia="Arial" w:hAnsi="Arial"/>
                <w:sz w:val="14"/>
                <w:szCs w:val="14"/>
                <w:b w:val="1"/>
                <w:bCs w:val="1"/>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tcPr>
          <w:p>
            <w:pPr>
              <w:spacing w:after="0"/>
              <w:rPr>
                <w:sz w:val="19"/>
                <w:szCs w:val="19"/>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(1,482)</w:t>
            </w:r>
          </w:p>
        </w:tc>
        <w:tc>
          <w:tcPr>
            <w:tcW w:w="14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5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760" w:type="dxa"/>
            <w:vAlign w:val="bottom"/>
            <w:shd w:val="clear" w:color="auto" w:fill="CFF0FC"/>
          </w:tcPr>
          <w:p>
            <w:pPr>
              <w:jc w:val="right"/>
              <w:ind w:right="602"/>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0.13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(1.10)</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6"/>
        </w:trPr>
        <w:tc>
          <w:tcPr>
            <w:tcW w:w="5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760" w:type="dxa"/>
            <w:vAlign w:val="bottom"/>
            <w:shd w:val="clear" w:color="auto" w:fill="CFF0FC"/>
          </w:tcPr>
          <w:p>
            <w:pPr>
              <w:jc w:val="right"/>
              <w:ind w:right="602"/>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0.13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(1.10)</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6"/>
        </w:trPr>
        <w:tc>
          <w:tcPr>
            <w:tcW w:w="5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1,392</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1,401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08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b w:val="1"/>
                <w:bCs w:val="1"/>
                <w:color w:val="auto"/>
              </w:rPr>
              <w:t>Third Quarter</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8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820" w:type="dxa"/>
            <w:vAlign w:val="bottom"/>
            <w:shd w:val="clear" w:color="auto" w:fill="CFF0FC"/>
          </w:tcPr>
          <w:p>
            <w:pPr>
              <w:jc w:val="right"/>
              <w:ind w:right="660"/>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1,003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(1,432)</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net change arising during the period</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w:t>
            </w: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 arising during the period</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on cash flow hedges</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(18)</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Reclassification to net income of net realized loss</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Actuarial loss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of net actuarial loss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Prior service cost</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of net prior service cost</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Income taxes on pension and other postretirement benefit plans</w:t>
            </w: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w:t>
            </w:r>
          </w:p>
        </w:tc>
        <w:tc>
          <w:tcPr>
            <w:tcW w:w="7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Comprehensive income attributable to noncontrolling interests</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820" w:type="dxa"/>
            <w:vAlign w:val="bottom"/>
            <w:shd w:val="clear" w:color="auto" w:fill="CFF0FC"/>
          </w:tcPr>
          <w:p>
            <w:pPr>
              <w:jc w:val="right"/>
              <w:ind w:right="660"/>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(1,312)</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Sept. 30,</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2016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7,315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Receivables less allowance for doubtful accounts (2016 - $371; 2015 - $333)</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9,565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4,572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26,425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13,004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24,957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9,837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80,594</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9,439</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Long-term debt - current portion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1,788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1,951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14,972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17,538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2,622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1,595</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38,020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12,823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(3,571)</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37,370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(4,388)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9"/>
        </w:trPr>
        <w:tc>
          <w:tcPr>
            <w:tcW w:w="7820" w:type="dxa"/>
            <w:vAlign w:val="bottom"/>
          </w:tcPr>
          <w:p>
            <w:pPr>
              <w:ind w:left="24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42,234</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340</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42,574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80,594</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7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4"/>
        </w:trPr>
        <w:tc>
          <w:tcPr>
            <w:tcW w:w="6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3"/>
                <w:szCs w:val="13"/>
                <w:b w:val="1"/>
                <w:bCs w:val="1"/>
                <w:color w:val="auto"/>
                <w:w w:val="91"/>
              </w:rPr>
              <w:t>Nine Months Ended Sept. 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80" w:type="dxa"/>
            <w:vAlign w:val="bottom"/>
          </w:tcPr>
          <w:p>
            <w:pPr>
              <w:spacing w:after="0"/>
              <w:rPr>
                <w:sz w:val="13"/>
                <w:szCs w:val="13"/>
                <w:color w:val="auto"/>
              </w:rPr>
            </w:pPr>
          </w:p>
        </w:tc>
        <w:tc>
          <w:tcPr>
            <w:tcW w:w="20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601"/>
              <w:spacing w:after="0"/>
              <w:rPr>
                <w:sz w:val="20"/>
                <w:szCs w:val="20"/>
                <w:color w:val="auto"/>
              </w:rPr>
            </w:pPr>
            <w:r>
              <w:rPr>
                <w:rFonts w:ascii="Arial" w:cs="Arial" w:eastAsia="Arial" w:hAnsi="Arial"/>
                <w:sz w:val="13"/>
                <w:szCs w:val="13"/>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2000" w:type="dxa"/>
            <w:vAlign w:val="bottom"/>
            <w:gridSpan w:val="2"/>
          </w:tcPr>
          <w:p>
            <w:pPr>
              <w:jc w:val="right"/>
              <w:ind w:right="786"/>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(1,432)</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600"/>
              <w:spacing w:after="0"/>
              <w:rPr>
                <w:sz w:val="20"/>
                <w:szCs w:val="20"/>
                <w:color w:val="auto"/>
              </w:rPr>
            </w:pPr>
            <w:r>
              <w:rPr>
                <w:rFonts w:ascii="Arial" w:cs="Arial" w:eastAsia="Arial" w:hAnsi="Arial"/>
                <w:sz w:val="16"/>
                <w:szCs w:val="16"/>
                <w:color w:val="auto"/>
              </w:rPr>
              <w:t>Impairments and other charges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3,144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600"/>
              <w:spacing w:after="0" w:line="214"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(1)</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3,078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60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210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Pension and other postretirement benefits expense</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600"/>
              <w:spacing w:after="0"/>
              <w:rPr>
                <w:sz w:val="20"/>
                <w:szCs w:val="20"/>
                <w:color w:val="auto"/>
              </w:rPr>
            </w:pPr>
            <w:r>
              <w:rPr>
                <w:rFonts w:ascii="Arial" w:cs="Arial" w:eastAsia="Arial" w:hAnsi="Arial"/>
                <w:sz w:val="16"/>
                <w:szCs w:val="16"/>
                <w:color w:val="auto"/>
              </w:rPr>
              <w:t>Pension and other postretirement benefits funding</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(127)</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Earnings of equity method investments, less dividends received</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(51)</w:t>
            </w: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6880" w:type="dxa"/>
            <w:vAlign w:val="bottom"/>
          </w:tcPr>
          <w:p>
            <w:pPr>
              <w:ind w:left="240"/>
              <w:spacing w:after="0" w:line="212"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 receivables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600"/>
              <w:spacing w:after="0"/>
              <w:rPr>
                <w:sz w:val="20"/>
                <w:szCs w:val="20"/>
                <w:color w:val="auto"/>
              </w:rPr>
            </w:pPr>
            <w:r>
              <w:rPr>
                <w:rFonts w:ascii="Arial" w:cs="Arial" w:eastAsia="Arial" w:hAnsi="Arial"/>
                <w:sz w:val="16"/>
                <w:szCs w:val="16"/>
                <w:color w:val="auto"/>
              </w:rPr>
              <w:t>Decrease in inventories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556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 other current assets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600"/>
              <w:spacing w:after="0"/>
              <w:rPr>
                <w:sz w:val="20"/>
                <w:szCs w:val="20"/>
                <w:color w:val="auto"/>
              </w:rPr>
            </w:pPr>
            <w:r>
              <w:rPr>
                <w:rFonts w:ascii="Arial" w:cs="Arial" w:eastAsia="Arial" w:hAnsi="Arial"/>
                <w:sz w:val="16"/>
                <w:szCs w:val="16"/>
                <w:color w:val="auto"/>
              </w:rPr>
              <w:t>Increase in other assets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(335)</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 accounts payable and accrued liabilities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(1,684)</w:t>
            </w: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(2,426)</w:t>
            </w:r>
          </w:p>
        </w:tc>
        <w:tc>
          <w:tcPr>
            <w:tcW w:w="0" w:type="dxa"/>
            <w:vAlign w:val="bottom"/>
          </w:tcPr>
          <w:p>
            <w:pPr>
              <w:spacing w:after="0"/>
              <w:rPr>
                <w:sz w:val="1"/>
                <w:szCs w:val="1"/>
                <w:color w:val="auto"/>
              </w:rPr>
            </w:pPr>
          </w:p>
        </w:tc>
      </w:tr>
      <w:tr>
        <w:trPr>
          <w:trHeight w:val="210"/>
        </w:trPr>
        <w:tc>
          <w:tcPr>
            <w:tcW w:w="6880" w:type="dxa"/>
            <w:vAlign w:val="bottom"/>
          </w:tcPr>
          <w:p>
            <w:pPr>
              <w:ind w:left="600"/>
              <w:spacing w:after="0"/>
              <w:rPr>
                <w:sz w:val="20"/>
                <w:szCs w:val="20"/>
                <w:color w:val="auto"/>
              </w:rPr>
            </w:pPr>
            <w:r>
              <w:rPr>
                <w:rFonts w:ascii="Arial" w:cs="Arial" w:eastAsia="Arial" w:hAnsi="Arial"/>
                <w:sz w:val="16"/>
                <w:szCs w:val="16"/>
                <w:color w:val="auto"/>
              </w:rPr>
              <w:t>Decrease in estimated liability for taxes on income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(187)</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other liabilities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6880" w:type="dxa"/>
            <w:vAlign w:val="bottom"/>
          </w:tcPr>
          <w:p>
            <w:pPr>
              <w:ind w:left="60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(195)</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4,248</w:t>
            </w:r>
          </w:p>
        </w:tc>
        <w:tc>
          <w:tcPr>
            <w:tcW w:w="3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Capital expenditures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(1,401)</w:t>
            </w: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0"/>
        </w:trPr>
        <w:tc>
          <w:tcPr>
            <w:tcW w:w="6880" w:type="dxa"/>
            <w:vAlign w:val="bottom"/>
          </w:tcPr>
          <w:p>
            <w:pPr>
              <w:ind w:left="360"/>
              <w:spacing w:after="0"/>
              <w:rPr>
                <w:sz w:val="20"/>
                <w:szCs w:val="20"/>
                <w:color w:val="auto"/>
              </w:rPr>
            </w:pPr>
            <w:r>
              <w:rPr>
                <w:rFonts w:ascii="Arial" w:cs="Arial" w:eastAsia="Arial" w:hAnsi="Arial"/>
                <w:sz w:val="16"/>
                <w:szCs w:val="16"/>
                <w:color w:val="auto"/>
              </w:rPr>
              <w:t>SPM investments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(869)</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Multiclient seismic data costs capitalized</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(497)</w:t>
            </w: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0"/>
        </w:trPr>
        <w:tc>
          <w:tcPr>
            <w:tcW w:w="6880" w:type="dxa"/>
            <w:vAlign w:val="bottom"/>
          </w:tcPr>
          <w:p>
            <w:pPr>
              <w:ind w:left="360"/>
              <w:spacing w:after="0"/>
              <w:rPr>
                <w:sz w:val="20"/>
                <w:szCs w:val="20"/>
                <w:color w:val="auto"/>
              </w:rPr>
            </w:pPr>
            <w:r>
              <w:rPr>
                <w:rFonts w:ascii="Arial" w:cs="Arial" w:eastAsia="Arial" w:hAnsi="Arial"/>
                <w:sz w:val="16"/>
                <w:szCs w:val="16"/>
                <w:color w:val="auto"/>
              </w:rPr>
              <w:t>Business acquisitions and investments, net of cash acquired</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(2,251)</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Sale of investments, net</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4,439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36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8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(592)</w:t>
            </w:r>
          </w:p>
        </w:tc>
        <w:tc>
          <w:tcPr>
            <w:tcW w:w="3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Dividends paid</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(1,951)</w:t>
            </w: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(1,786)</w:t>
            </w:r>
          </w:p>
        </w:tc>
        <w:tc>
          <w:tcPr>
            <w:tcW w:w="0" w:type="dxa"/>
            <w:vAlign w:val="bottom"/>
          </w:tcPr>
          <w:p>
            <w:pPr>
              <w:spacing w:after="0"/>
              <w:rPr>
                <w:sz w:val="1"/>
                <w:szCs w:val="1"/>
                <w:color w:val="auto"/>
              </w:rPr>
            </w:pPr>
          </w:p>
        </w:tc>
      </w:tr>
      <w:tr>
        <w:trPr>
          <w:trHeight w:val="210"/>
        </w:trPr>
        <w:tc>
          <w:tcPr>
            <w:tcW w:w="688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360"/>
              <w:spacing w:after="0"/>
              <w:rPr>
                <w:sz w:val="20"/>
                <w:szCs w:val="20"/>
                <w:color w:val="auto"/>
              </w:rPr>
            </w:pPr>
            <w:r>
              <w:rPr>
                <w:rFonts w:ascii="Arial" w:cs="Arial" w:eastAsia="Arial" w:hAnsi="Arial"/>
                <w:sz w:val="16"/>
                <w:szCs w:val="16"/>
                <w:color w:val="auto"/>
              </w:rPr>
              <w:t>Stock repurchase program</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(662)</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3,586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360"/>
              <w:spacing w:after="0"/>
              <w:rPr>
                <w:sz w:val="20"/>
                <w:szCs w:val="20"/>
                <w:color w:val="auto"/>
              </w:rPr>
            </w:pPr>
            <w:r>
              <w:rPr>
                <w:rFonts w:ascii="Arial" w:cs="Arial" w:eastAsia="Arial" w:hAnsi="Arial"/>
                <w:sz w:val="16"/>
                <w:szCs w:val="16"/>
                <w:color w:val="auto"/>
              </w:rPr>
              <w:t>Repayment of long-term debt</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(4,749)</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Net increase (decrease) in short-term borrowings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6880" w:type="dxa"/>
            <w:vAlign w:val="bottom"/>
          </w:tcPr>
          <w:p>
            <w:pPr>
              <w:ind w:left="36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w:t>
            </w: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8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(3,039)</w:t>
            </w:r>
          </w:p>
        </w:tc>
        <w:tc>
          <w:tcPr>
            <w:tcW w:w="3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6"/>
                <w:szCs w:val="16"/>
                <w:color w:val="auto"/>
              </w:rPr>
              <w:t>CASH FLOWS USED IN DISCONTINUED OPERATIONS - OPERATING ACTIVITIES</w:t>
            </w: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8"/>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before translation effect</w:t>
            </w: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617</w:t>
            </w:r>
          </w:p>
        </w:tc>
        <w:tc>
          <w:tcPr>
            <w:tcW w:w="3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0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2,793</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80" w:type="dxa"/>
            <w:vAlign w:val="bottom"/>
          </w:tcPr>
          <w:p>
            <w:pPr>
              <w:spacing w:after="0"/>
              <w:rPr>
                <w:sz w:val="20"/>
                <w:szCs w:val="20"/>
                <w:color w:val="auto"/>
              </w:rPr>
            </w:pPr>
            <w:r>
              <w:rPr>
                <w:rFonts w:ascii="Arial" w:cs="Arial" w:eastAsia="Arial" w:hAnsi="Arial"/>
                <w:sz w:val="16"/>
                <w:szCs w:val="16"/>
                <w:color w:val="auto"/>
              </w:rPr>
              <w:t>Cash, end of period</w:t>
            </w:r>
          </w:p>
        </w:tc>
        <w:tc>
          <w:tcPr>
            <w:tcW w:w="1060" w:type="dxa"/>
            <w:vAlign w:val="bottom"/>
          </w:tcPr>
          <w:p>
            <w:pPr>
              <w:spacing w:after="0"/>
              <w:rPr>
                <w:sz w:val="17"/>
                <w:szCs w:val="17"/>
                <w:color w:val="auto"/>
              </w:rPr>
            </w:pP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3,441</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80" w:hanging="194"/>
        <w:spacing w:after="0"/>
        <w:tabs>
          <w:tab w:leader="none" w:pos="280" w:val="left"/>
        </w:tabs>
        <w:numPr>
          <w:ilvl w:val="0"/>
          <w:numId w:val="1"/>
        </w:numPr>
        <w:rPr>
          <w:rFonts w:ascii="Arial" w:cs="Arial" w:eastAsia="Arial" w:hAnsi="Arial"/>
          <w:sz w:val="23"/>
          <w:szCs w:val="23"/>
          <w:color w:val="auto"/>
          <w:vertAlign w:val="superscript"/>
        </w:rPr>
      </w:pPr>
      <w:r>
        <w:rPr>
          <w:rFonts w:ascii="Arial" w:cs="Arial" w:eastAsia="Arial" w:hAnsi="Arial"/>
          <w:sz w:val="15"/>
          <w:szCs w:val="15"/>
          <w:color w:val="auto"/>
        </w:rPr>
        <w:t>Includes depreciation of property, plant and equipment and amortization of intangible assets, multiclient seismic data costs and SPM investments.</w:t>
      </w:r>
    </w:p>
    <w:p>
      <w:pPr>
        <w:spacing w:after="0" w:line="22" w:lineRule="exact"/>
        <w:rPr>
          <w:rFonts w:ascii="Arial" w:cs="Arial" w:eastAsia="Arial" w:hAnsi="Arial"/>
          <w:sz w:val="23"/>
          <w:szCs w:val="23"/>
          <w:color w:val="auto"/>
          <w:vertAlign w:val="superscript"/>
        </w:rPr>
      </w:pPr>
    </w:p>
    <w:p>
      <w:pPr>
        <w:ind w:left="280" w:hanging="194"/>
        <w:spacing w:after="0" w:line="180" w:lineRule="auto"/>
        <w:tabs>
          <w:tab w:leader="none" w:pos="2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66040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600"/>
          </w:cols>
          <w:pgMar w:left="160" w:top="121" w:right="139" w:bottom="1440" w:gutter="0" w:footer="0" w:header="0"/>
        </w:sectPr>
      </w:pPr>
    </w:p>
    <w:bookmarkStart w:id="6" w:name="page7"/>
    <w:bookmarkEnd w:id="6"/>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6"/>
          </w:tcPr>
          <w:p>
            <w:pPr>
              <w:ind w:left="60"/>
              <w:spacing w:after="0"/>
              <w:rPr>
                <w:sz w:val="20"/>
                <w:szCs w:val="20"/>
                <w:color w:val="auto"/>
              </w:rPr>
            </w:pPr>
            <w:r>
              <w:rPr>
                <w:rFonts w:ascii="Arial" w:cs="Arial" w:eastAsia="Arial" w:hAnsi="Arial"/>
                <w:sz w:val="14"/>
                <w:szCs w:val="14"/>
                <w:i w:val="1"/>
                <w:iCs w:val="1"/>
                <w:color w:val="auto"/>
                <w:w w:val="95"/>
              </w:rPr>
              <w:t>(Stated in millions)</w:t>
            </w:r>
          </w:p>
        </w:tc>
      </w:tr>
      <w:tr>
        <w:trPr>
          <w:trHeight w:val="294"/>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38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0"/>
              </w:rPr>
              <w:t>Noncontrolling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3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2016 – September 30, 2016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440"/>
              <w:spacing w:after="0" w:line="153"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ind w:right="420"/>
              <w:spacing w:after="0" w:line="153"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3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2016</w:t>
            </w:r>
          </w:p>
        </w:tc>
        <w:tc>
          <w:tcPr>
            <w:tcW w:w="640" w:type="dxa"/>
            <w:vAlign w:val="bottom"/>
            <w:tcBorders>
              <w:top w:val="single" w:sz="8" w:color="auto"/>
            </w:tcBorders>
            <w:gridSpan w:val="3"/>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12,693</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(13,372)</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40,870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(4,558)</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272</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35,905</w:t>
            </w:r>
          </w:p>
        </w:tc>
        <w:tc>
          <w:tcPr>
            <w:tcW w:w="20" w:type="dxa"/>
            <w:vAlign w:val="bottom"/>
            <w:tcBorders>
              <w:top w:val="single" w:sz="8" w:color="CFF0FC"/>
            </w:tcBorders>
            <w:shd w:val="clear" w:color="auto" w:fill="CFF0FC"/>
          </w:tcPr>
          <w:p>
            <w:pPr>
              <w:spacing w:after="0"/>
              <w:rPr>
                <w:sz w:val="13"/>
                <w:szCs w:val="13"/>
                <w:color w:val="auto"/>
              </w:rPr>
            </w:pP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Net loss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(1,482)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(1,432</w:t>
            </w:r>
          </w:p>
        </w:tc>
        <w:tc>
          <w:tcPr>
            <w:tcW w:w="20" w:type="dxa"/>
            <w:vAlign w:val="bottom"/>
          </w:tcPr>
          <w:p>
            <w:pPr>
              <w:spacing w:after="0"/>
              <w:rPr>
                <w:sz w:val="13"/>
                <w:szCs w:val="13"/>
                <w:color w:val="auto"/>
              </w:rPr>
            </w:pP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(26)</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w:t>
            </w:r>
          </w:p>
        </w:tc>
        <w:tc>
          <w:tcPr>
            <w:tcW w:w="20" w:type="dxa"/>
            <w:vAlign w:val="bottom"/>
            <w:shd w:val="clear" w:color="auto" w:fill="CFF0FC"/>
          </w:tcPr>
          <w:p>
            <w:pPr>
              <w:spacing w:after="0"/>
              <w:rPr>
                <w:sz w:val="13"/>
                <w:szCs w:val="13"/>
                <w:color w:val="auto"/>
              </w:rPr>
            </w:pP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3"/>
                <w:szCs w:val="13"/>
                <w:color w:val="auto"/>
              </w:rPr>
            </w:pP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23</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23</w:t>
            </w:r>
          </w:p>
        </w:tc>
        <w:tc>
          <w:tcPr>
            <w:tcW w:w="20" w:type="dxa"/>
            <w:vAlign w:val="bottom"/>
            <w:shd w:val="clear" w:color="auto" w:fill="CFF0FC"/>
          </w:tcPr>
          <w:p>
            <w:pPr>
              <w:spacing w:after="0"/>
              <w:rPr>
                <w:sz w:val="13"/>
                <w:szCs w:val="13"/>
                <w:color w:val="auto"/>
              </w:rPr>
            </w:pP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175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175</w:t>
            </w:r>
          </w:p>
        </w:tc>
        <w:tc>
          <w:tcPr>
            <w:tcW w:w="20" w:type="dxa"/>
            <w:vAlign w:val="bottom"/>
          </w:tcPr>
          <w:p>
            <w:pPr>
              <w:spacing w:after="0"/>
              <w:rPr>
                <w:sz w:val="13"/>
                <w:szCs w:val="13"/>
                <w:color w:val="auto"/>
              </w:rPr>
            </w:pP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(52)</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165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113</w:t>
            </w:r>
          </w:p>
        </w:tc>
        <w:tc>
          <w:tcPr>
            <w:tcW w:w="20" w:type="dxa"/>
            <w:vAlign w:val="bottom"/>
            <w:shd w:val="clear" w:color="auto" w:fill="CFF0FC"/>
          </w:tcPr>
          <w:p>
            <w:pPr>
              <w:spacing w:after="0"/>
              <w:rPr>
                <w:sz w:val="13"/>
                <w:szCs w:val="13"/>
                <w:color w:val="auto"/>
              </w:rPr>
            </w:pP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(55)</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286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231</w:t>
            </w:r>
          </w:p>
        </w:tc>
        <w:tc>
          <w:tcPr>
            <w:tcW w:w="20" w:type="dxa"/>
            <w:vAlign w:val="bottom"/>
            <w:shd w:val="clear" w:color="auto" w:fill="CFF0FC"/>
          </w:tcPr>
          <w:p>
            <w:pPr>
              <w:spacing w:after="0"/>
              <w:rPr>
                <w:sz w:val="13"/>
                <w:szCs w:val="13"/>
                <w:color w:val="auto"/>
              </w:rPr>
            </w:pP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(662)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(662</w:t>
            </w:r>
          </w:p>
        </w:tc>
        <w:tc>
          <w:tcPr>
            <w:tcW w:w="20" w:type="dxa"/>
            <w:vAlign w:val="bottom"/>
          </w:tcPr>
          <w:p>
            <w:pPr>
              <w:spacing w:after="0"/>
              <w:rPr>
                <w:sz w:val="13"/>
                <w:szCs w:val="13"/>
                <w:color w:val="auto"/>
              </w:rPr>
            </w:pP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210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210</w:t>
            </w:r>
          </w:p>
        </w:tc>
        <w:tc>
          <w:tcPr>
            <w:tcW w:w="20" w:type="dxa"/>
            <w:vAlign w:val="bottom"/>
            <w:shd w:val="clear" w:color="auto" w:fill="CFF0FC"/>
          </w:tcPr>
          <w:p>
            <w:pPr>
              <w:spacing w:after="0"/>
              <w:rPr>
                <w:sz w:val="13"/>
                <w:szCs w:val="13"/>
                <w:color w:val="auto"/>
              </w:rPr>
            </w:pP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Dividends declared ($1.50 per share)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(2,018</w:t>
            </w:r>
          </w:p>
        </w:tc>
        <w:tc>
          <w:tcPr>
            <w:tcW w:w="20" w:type="dxa"/>
            <w:vAlign w:val="bottom"/>
          </w:tcPr>
          <w:p>
            <w:pPr>
              <w:spacing w:after="0"/>
              <w:rPr>
                <w:sz w:val="13"/>
                <w:szCs w:val="13"/>
                <w:color w:val="auto"/>
              </w:rPr>
            </w:pP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Acquisition of Cameron International Corporation</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9,924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57</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10,084</w:t>
            </w:r>
          </w:p>
        </w:tc>
        <w:tc>
          <w:tcPr>
            <w:tcW w:w="20" w:type="dxa"/>
            <w:vAlign w:val="bottom"/>
            <w:shd w:val="clear" w:color="auto" w:fill="CFF0FC"/>
          </w:tcPr>
          <w:p>
            <w:pPr>
              <w:spacing w:after="0"/>
              <w:rPr>
                <w:sz w:val="13"/>
                <w:szCs w:val="13"/>
                <w:color w:val="auto"/>
              </w:rPr>
            </w:pP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3"/>
                <w:szCs w:val="13"/>
                <w:color w:val="auto"/>
              </w:rPr>
            </w:pPr>
          </w:p>
        </w:tc>
      </w:tr>
      <w:tr>
        <w:trPr>
          <w:trHeight w:val="153"/>
        </w:trPr>
        <w:tc>
          <w:tcPr>
            <w:tcW w:w="336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September 30, 2016</w:t>
            </w:r>
          </w:p>
        </w:tc>
        <w:tc>
          <w:tcPr>
            <w:tcW w:w="4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12,823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(3,571)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37,370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(4,388)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340</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42,574</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rPr>
              <w:t>(Stated in million</w:t>
            </w:r>
          </w:p>
        </w:tc>
      </w:tr>
      <w:tr>
        <w:trPr>
          <w:trHeight w:val="294"/>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8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9"/>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3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2015 – September 30, 2015</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540"/>
              <w:spacing w:after="0" w:line="153"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w w:val="95"/>
              </w:rPr>
              <w:t>In Treasury</w:t>
            </w:r>
          </w:p>
        </w:tc>
        <w:tc>
          <w:tcPr>
            <w:tcW w:w="1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ind w:right="440"/>
              <w:spacing w:after="0" w:line="153"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9"/>
              </w:rPr>
              <w:t>Interests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3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2015</w:t>
            </w:r>
          </w:p>
        </w:tc>
        <w:tc>
          <w:tcPr>
            <w:tcW w:w="5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12,495</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(11,772)</w:t>
            </w: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gridSpan w:val="2"/>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41,333</w:t>
            </w: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(4,206)</w:t>
            </w:r>
          </w:p>
        </w:tc>
        <w:tc>
          <w:tcPr>
            <w:tcW w:w="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199</w:t>
            </w:r>
          </w:p>
        </w:tc>
        <w:tc>
          <w:tcPr>
            <w:tcW w:w="260" w:type="dxa"/>
            <w:vAlign w:val="bottom"/>
            <w:tcBorders>
              <w:top w:val="single" w:sz="8" w:color="CFF0FC"/>
            </w:tcBorders>
            <w:gridSpan w:val="3"/>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38,04</w:t>
            </w: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3,088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3,12</w:t>
            </w: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(260)</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(26</w:t>
            </w: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w:t>
            </w: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w:t>
            </w: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157</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12</w:t>
            </w: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95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279</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29</w:t>
            </w: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(1,784)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(1,78</w:t>
            </w: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25</w:t>
            </w:r>
          </w:p>
        </w:tc>
      </w:tr>
      <w:tr>
        <w:trPr>
          <w:trHeight w:val="159"/>
        </w:trPr>
        <w:tc>
          <w:tcPr>
            <w:tcW w:w="3360" w:type="dxa"/>
            <w:vAlign w:val="bottom"/>
          </w:tcPr>
          <w:p>
            <w:pPr>
              <w:spacing w:after="0" w:line="159" w:lineRule="exact"/>
              <w:rPr>
                <w:sz w:val="20"/>
                <w:szCs w:val="20"/>
                <w:color w:val="auto"/>
              </w:rPr>
            </w:pPr>
            <w:r>
              <w:rPr>
                <w:rFonts w:ascii="Arial" w:cs="Arial" w:eastAsia="Arial" w:hAnsi="Arial"/>
                <w:sz w:val="14"/>
                <w:szCs w:val="14"/>
                <w:color w:val="auto"/>
              </w:rPr>
              <w:t>Dividends declared ($1.50 per share)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(1,906)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(1,90</w:t>
            </w:r>
          </w:p>
        </w:tc>
      </w:tr>
      <w:tr>
        <w:trPr>
          <w:trHeight w:val="159"/>
        </w:trPr>
        <w:tc>
          <w:tcPr>
            <w:tcW w:w="33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r>
      <w:tr>
        <w:trPr>
          <w:trHeight w:val="153"/>
        </w:trPr>
        <w:tc>
          <w:tcPr>
            <w:tcW w:w="3360" w:type="dxa"/>
            <w:vAlign w:val="bottom"/>
          </w:tcPr>
          <w:p>
            <w:pPr>
              <w:spacing w:after="0" w:line="153" w:lineRule="exact"/>
              <w:rPr>
                <w:sz w:val="20"/>
                <w:szCs w:val="20"/>
                <w:color w:val="auto"/>
              </w:rPr>
            </w:pPr>
            <w:r>
              <w:rPr>
                <w:rFonts w:ascii="Arial" w:cs="Arial" w:eastAsia="Arial" w:hAnsi="Arial"/>
                <w:sz w:val="14"/>
                <w:szCs w:val="14"/>
                <w:color w:val="auto"/>
              </w:rPr>
              <w:t>Balance, September 30, 2015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color w:val="auto"/>
              </w:rPr>
              <w:t>12,642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(13,023)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42,515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(4,193)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ind w:right="3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238</w:t>
            </w:r>
          </w:p>
        </w:tc>
        <w:tc>
          <w:tcPr>
            <w:tcW w:w="260" w:type="dxa"/>
            <w:vAlign w:val="bottom"/>
            <w:gridSpan w:val="3"/>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38,17</w:t>
            </w:r>
          </w:p>
        </w:tc>
      </w:tr>
      <w:tr>
        <w:trPr>
          <w:trHeight w:val="20"/>
        </w:trPr>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65"/>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0"/>
        </w:trPr>
        <w:tc>
          <w:tcPr>
            <w:tcW w:w="67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Issued</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 Treasury</w:t>
            </w: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FF0FC"/>
            </w:tcBorders>
          </w:tcPr>
          <w:p>
            <w:pPr>
              <w:spacing w:after="0"/>
              <w:rPr>
                <w:sz w:val="20"/>
                <w:szCs w:val="20"/>
                <w:color w:val="auto"/>
              </w:rPr>
            </w:pPr>
          </w:p>
        </w:tc>
      </w:tr>
      <w:tr>
        <w:trPr>
          <w:trHeight w:val="22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(178)</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Acquisition of Cameron International Corporation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67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Balance, September 30, 2016</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 w:name="page8"/>
    <w:bookmarkEnd w:id="7"/>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2016 are not necessarily indicative of the results that may be expected for the full year ending December 31, 2016. The December 31, 2015 balance sheet information has been derived from the Schlumberger 2015 audited financial statements. For further information, refer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and notes thereto included in the Schlumberger Annual Report on Form 10-K for the year ended December 31, 2015,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Securities and Exchange Commission on January 27,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Schlumberger is required to adopt this ASU on January 1, 2018, with early adoption permitted on January 1, 2017. Schlumberger does not expect the adoption of this ASU to have a material impact on its consolidated financial statements.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2015, the FASB issued ASU 2015-17</w:t>
      </w:r>
      <w:r>
        <w:rPr>
          <w:rFonts w:ascii="Arial" w:cs="Arial" w:eastAsia="Arial" w:hAnsi="Arial"/>
          <w:sz w:val="18"/>
          <w:szCs w:val="18"/>
          <w:i w:val="1"/>
          <w:iCs w:val="1"/>
          <w:color w:val="auto"/>
        </w:rPr>
        <w:t>, Balance Sheet Classification of Deferred Taxes</w:t>
      </w:r>
      <w:r>
        <w:rPr>
          <w:rFonts w:ascii="Arial" w:cs="Arial" w:eastAsia="Arial" w:hAnsi="Arial"/>
          <w:sz w:val="18"/>
          <w:szCs w:val="18"/>
          <w:color w:val="auto"/>
        </w:rPr>
        <w:t>, which amends existing guidance on income taxes to require the classification of all deferred tax assets and liabilities as non-current on the balance sheet. Schlumberger is required to adopt this ASU no later than January 1, 2017, with early adoption permitted, and the guidance may be applied either prospectively or retrospectively. Schlumberger does not expect the adoption of this ASU to have a material impact on its consolidated financial statements.</w:t>
      </w:r>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lessees to recognize a right of use asset and lease liability on the balance sheet for all leases, with the exception of short-term leases. Schlumberger will adopt this ASU on January 1, 2019 and is evaluating the impact that the adoption of this ASU will have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19"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nine months of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2016:</w:t>
      </w:r>
    </w:p>
    <w:p>
      <w:pPr>
        <w:spacing w:after="0" w:line="112" w:lineRule="exact"/>
        <w:rPr>
          <w:sz w:val="20"/>
          <w:szCs w:val="20"/>
          <w:color w:val="auto"/>
        </w:rPr>
      </w:pPr>
    </w:p>
    <w:p>
      <w:pPr>
        <w:jc w:val="both"/>
        <w:ind w:left="760" w:hanging="382"/>
        <w:spacing w:after="0" w:line="25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connection with Schlumberger’s acquisition of Cameron International Corporation (“Cameron”) (see Note 4 – </w:t>
      </w:r>
      <w:r>
        <w:rPr>
          <w:rFonts w:ascii="Arial" w:cs="Arial" w:eastAsia="Arial" w:hAnsi="Arial"/>
          <w:sz w:val="18"/>
          <w:szCs w:val="18"/>
          <w:i w:val="1"/>
          <w:iCs w:val="1"/>
          <w:color w:val="auto"/>
        </w:rPr>
        <w:t>Acquisition of Cameron</w:t>
      </w:r>
      <w:r>
        <w:rPr>
          <w:rFonts w:ascii="Arial" w:cs="Arial" w:eastAsia="Arial" w:hAnsi="Arial"/>
          <w:sz w:val="18"/>
          <w:szCs w:val="18"/>
          <w:color w:val="auto"/>
        </w:rPr>
        <w:t xml:space="preserve">), Schlumberger recorded $237 million of charges consisting of the following: $149 million relating to the amortization of purchase accounting adjustments associated with the write-up of acquired inventory to its estimated fair value; $11 million of facility closure costs; $46 million of employee benefits; and $31 million of other merger and integration-related costs. 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2016:</w:t>
      </w:r>
    </w:p>
    <w:p>
      <w:pPr>
        <w:spacing w:after="0" w:line="112" w:lineRule="exact"/>
        <w:rPr>
          <w:sz w:val="20"/>
          <w:szCs w:val="20"/>
          <w:color w:val="auto"/>
        </w:rPr>
      </w:pPr>
    </w:p>
    <w:p>
      <w:pPr>
        <w:jc w:val="both"/>
        <w:ind w:left="760" w:hanging="382"/>
        <w:spacing w:after="0" w:line="27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a result of the persistent unfavorable oil and gas industry market conditions that continued to deteriorate in the first half of 2016, and the related impact on the first half operating results and expected customer activity levels, Schlumberger determined that the carrying values of certain assets were no longer recoverable and also took certain decisions that resulted in the following impairment and other charges:</w:t>
      </w:r>
    </w:p>
    <w:p>
      <w:pPr>
        <w:spacing w:after="0" w:line="171" w:lineRule="exact"/>
        <w:rPr>
          <w:rFonts w:ascii="Arial" w:cs="Arial" w:eastAsia="Arial" w:hAnsi="Arial"/>
          <w:sz w:val="17"/>
          <w:szCs w:val="17"/>
          <w:color w:val="auto"/>
        </w:rPr>
      </w:pPr>
    </w:p>
    <w:p>
      <w:pPr>
        <w:ind w:left="1220" w:hanging="363"/>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$646 million of severance costs associated with headcount reductions.</w:t>
      </w:r>
    </w:p>
    <w:p>
      <w:pPr>
        <w:spacing w:after="0" w:line="16" w:lineRule="exact"/>
        <w:rPr>
          <w:rFonts w:ascii="Arial" w:cs="Arial" w:eastAsia="Arial" w:hAnsi="Arial"/>
          <w:sz w:val="18"/>
          <w:szCs w:val="18"/>
          <w:color w:val="auto"/>
        </w:rPr>
      </w:pPr>
    </w:p>
    <w:p>
      <w:pPr>
        <w:ind w:left="1220" w:hanging="363"/>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$209 million impairment of pressure pumping equipment in North America.</w:t>
      </w:r>
    </w:p>
    <w:p>
      <w:pPr>
        <w:spacing w:after="0" w:line="5" w:lineRule="exact"/>
        <w:rPr>
          <w:rFonts w:ascii="Arial" w:cs="Arial" w:eastAsia="Arial" w:hAnsi="Arial"/>
          <w:sz w:val="18"/>
          <w:szCs w:val="18"/>
          <w:color w:val="auto"/>
        </w:rPr>
      </w:pPr>
    </w:p>
    <w:p>
      <w:pPr>
        <w:ind w:left="1220" w:hanging="363"/>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$165 million impairment of facilities in North America.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220" w:hanging="363"/>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$684 million of other fixed asset impairments primarily relating to other underutilized equipment.</w:t>
      </w:r>
    </w:p>
    <w:p>
      <w:pPr>
        <w:spacing w:after="0" w:line="16" w:lineRule="exact"/>
        <w:rPr>
          <w:rFonts w:ascii="Arial" w:cs="Arial" w:eastAsia="Arial" w:hAnsi="Arial"/>
          <w:sz w:val="18"/>
          <w:szCs w:val="18"/>
          <w:color w:val="auto"/>
        </w:rPr>
      </w:pPr>
    </w:p>
    <w:p>
      <w:pPr>
        <w:ind w:left="1220" w:hanging="363"/>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$616 million write-down of the carrying value of certain inventory to its net realizable value.</w:t>
      </w:r>
    </w:p>
    <w:p>
      <w:pPr>
        <w:spacing w:after="0" w:line="5" w:lineRule="exact"/>
        <w:rPr>
          <w:rFonts w:ascii="Arial" w:cs="Arial" w:eastAsia="Arial" w:hAnsi="Arial"/>
          <w:sz w:val="18"/>
          <w:szCs w:val="18"/>
          <w:color w:val="auto"/>
        </w:rPr>
      </w:pPr>
    </w:p>
    <w:p>
      <w:pPr>
        <w:ind w:left="1220" w:hanging="363"/>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$198 million impairment of certain multiclient seismic data, largely related to the US Gulf of Mexico.</w:t>
      </w:r>
    </w:p>
    <w:p>
      <w:pPr>
        <w:spacing w:after="0" w:line="5" w:lineRule="exact"/>
        <w:rPr>
          <w:rFonts w:ascii="Arial" w:cs="Arial" w:eastAsia="Arial" w:hAnsi="Arial"/>
          <w:sz w:val="18"/>
          <w:szCs w:val="18"/>
          <w:color w:val="auto"/>
        </w:rPr>
      </w:pPr>
    </w:p>
    <w:p>
      <w:pPr>
        <w:ind w:left="1220" w:hanging="363"/>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$55 million of other costs, primarily relating to facility closure costs.</w:t>
      </w:r>
    </w:p>
    <w:p>
      <w:pPr>
        <w:spacing w:after="0" w:line="207" w:lineRule="exact"/>
        <w:rPr>
          <w:sz w:val="20"/>
          <w:szCs w:val="20"/>
          <w:color w:val="auto"/>
        </w:rPr>
      </w:pPr>
    </w:p>
    <w:p>
      <w:pPr>
        <w:jc w:val="both"/>
        <w:ind w:left="760" w:right="20"/>
        <w:spacing w:after="0" w:line="253" w:lineRule="auto"/>
        <w:rPr>
          <w:sz w:val="20"/>
          <w:szCs w:val="20"/>
          <w:color w:val="auto"/>
        </w:rPr>
      </w:pPr>
      <w:r>
        <w:rPr>
          <w:rFonts w:ascii="Arial" w:cs="Arial" w:eastAsia="Arial" w:hAnsi="Arial"/>
          <w:sz w:val="18"/>
          <w:szCs w:val="18"/>
          <w:color w:val="auto"/>
        </w:rPr>
        <w:t xml:space="preserve">The fair value of the impaired fixed assets and multiclient seismic data was estimated based on the projected present value of future cash flows that these assets are expected to generate. Such estimates included unobservable inputs that required significant judgments. Additional charges may be required in future periods should industry conditions worsen. The above items are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84" w:lineRule="exact"/>
        <w:rPr>
          <w:sz w:val="20"/>
          <w:szCs w:val="20"/>
          <w:color w:val="auto"/>
        </w:rPr>
      </w:pPr>
    </w:p>
    <w:p>
      <w:pPr>
        <w:jc w:val="both"/>
        <w:ind w:left="760" w:right="20" w:hanging="382"/>
        <w:spacing w:after="0" w:line="269"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 connection with Schlumberger’s acquisition of Cameron, Schlumberger recorded $335 million of charges consisting of the following: $150 million relating to the amortization of purchase accounting adjustments associated with the write-up of acquired inventory to its estimated fair value; $47 million relating to employee benefits for change-in-control arrangements and retention bonuses; $45 million of transaction costs, including advisory and legal fees; $40 million of facility closure costs, and $53 million of other merger and integration-related costs. These amounts are classified in </w:t>
      </w:r>
      <w:r>
        <w:rPr>
          <w:rFonts w:ascii="Arial" w:cs="Arial" w:eastAsia="Arial" w:hAnsi="Arial"/>
          <w:sz w:val="17"/>
          <w:szCs w:val="17"/>
          <w:i w:val="1"/>
          <w:iCs w:val="1"/>
          <w:color w:val="auto"/>
        </w:rPr>
        <w:t xml:space="preserve">Merger &amp; integration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first nine months of 2016:</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Tax</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4"/>
                <w:szCs w:val="24"/>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200" w:type="dxa"/>
            <w:vAlign w:val="bottom"/>
            <w:gridSpan w:val="2"/>
            <w:shd w:val="clear" w:color="auto" w:fill="CFF0FC"/>
          </w:tcPr>
          <w:p>
            <w:pPr>
              <w:jc w:val="right"/>
              <w:ind w:right="7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North America pressure pumping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Facilities impairments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Other fixed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Inventory write-downs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Multiclient seismic data impairment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restructuring charges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Amortization of inventory fair value adjustment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Merger-related employee benefits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Professional fees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Facility closure costs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merger and integration-related</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3,144</w:t>
            </w:r>
          </w:p>
        </w:tc>
        <w:tc>
          <w:tcPr>
            <w:tcW w:w="1200" w:type="dxa"/>
            <w:vAlign w:val="bottom"/>
            <w:gridSpan w:val="2"/>
            <w:shd w:val="clear" w:color="auto" w:fill="CFF0FC"/>
          </w:tcPr>
          <w:p>
            <w:pPr>
              <w:jc w:val="right"/>
              <w:ind w:right="7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quarter of 2015:</w:t>
      </w:r>
    </w:p>
    <w:p>
      <w:pPr>
        <w:spacing w:after="0" w:line="112" w:lineRule="exact"/>
        <w:rPr>
          <w:sz w:val="20"/>
          <w:szCs w:val="20"/>
          <w:color w:val="auto"/>
        </w:rPr>
      </w:pPr>
    </w:p>
    <w:p>
      <w:pPr>
        <w:jc w:val="both"/>
        <w:ind w:left="760" w:right="20" w:hanging="382"/>
        <w:spacing w:after="0" w:line="256" w:lineRule="auto"/>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a result of the severe fall in activity in North America, combined with the impact of lower international activity due to customer budget cuts driven by lower oil prices, Schlumberger decided to reduce its headcount during the first quarter of 2015. Schlumberger recorded a $390 million charge associated with this headcount reduction as well as an incentivized leave of absence program.</w:t>
      </w:r>
    </w:p>
    <w:p>
      <w:pPr>
        <w:spacing w:after="0" w:line="81" w:lineRule="exact"/>
        <w:rPr>
          <w:rFonts w:ascii="Arial" w:cs="Arial" w:eastAsia="Arial" w:hAnsi="Arial"/>
          <w:sz w:val="18"/>
          <w:szCs w:val="18"/>
          <w:color w:val="auto"/>
        </w:rPr>
      </w:pPr>
    </w:p>
    <w:p>
      <w:pPr>
        <w:jc w:val="both"/>
        <w:ind w:left="760" w:right="20" w:hanging="395"/>
        <w:spacing w:after="0" w:line="251"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2015, the Venezuelan government replaced the SICAD II exchange rate with a new foreign exchange market system known as SIMADI. The SIMADI exchange rate was approximately 192 Venezuelan Bolivares fuertes to the US dollar as of March 31, 2015. As a result, Schlumberger recorded a $49 million devaluation charge during the first quarter of 2015, reflecting the adoption of the SIMADI exchange rate. This change resulted in a reduction in the US dollar reported amount of local currency denominated revenues, expenses and, consequently, income before taxes and net income in Venezuela.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these charges, all of which were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240" w:type="dxa"/>
            <w:vAlign w:val="bottom"/>
            <w:tcBorders>
              <w:bottom w:val="single" w:sz="8" w:color="CFF0FC"/>
            </w:tcBorders>
          </w:tcPr>
          <w:p>
            <w:pPr>
              <w:spacing w:after="0"/>
              <w:rPr>
                <w:sz w:val="24"/>
                <w:szCs w:val="24"/>
                <w:color w:val="auto"/>
              </w:rPr>
            </w:pPr>
          </w:p>
        </w:tc>
        <w:tc>
          <w:tcPr>
            <w:tcW w:w="248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Tax</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346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4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24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FF0FC"/>
          </w:tcPr>
          <w:p>
            <w:pPr>
              <w:spacing w:after="0"/>
              <w:rPr>
                <w:sz w:val="19"/>
                <w:szCs w:val="19"/>
                <w:color w:val="auto"/>
              </w:rPr>
            </w:pPr>
          </w:p>
        </w:tc>
        <w:tc>
          <w:tcPr>
            <w:tcW w:w="346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24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bottom w:val="single" w:sz="8" w:color="CFF0FC"/>
            </w:tcBorders>
            <w:vMerge w:val="restart"/>
          </w:tcPr>
          <w:p>
            <w:pPr>
              <w:jc w:val="right"/>
              <w:ind w:right="871"/>
              <w:spacing w:after="0"/>
              <w:rPr>
                <w:sz w:val="20"/>
                <w:szCs w:val="20"/>
                <w:color w:val="auto"/>
              </w:rPr>
            </w:pPr>
            <w:r>
              <w:rPr>
                <w:rFonts w:ascii="Arial" w:cs="Arial" w:eastAsia="Arial" w:hAnsi="Arial"/>
                <w:sz w:val="18"/>
                <w:szCs w:val="18"/>
                <w:color w:val="auto"/>
              </w:rPr>
              <w:t>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24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There were no charges or credits recorded during the second and third quarters of 2015.</w:t>
      </w:r>
    </w:p>
    <w:p>
      <w:pPr>
        <w:spacing w:after="0" w:line="200" w:lineRule="exact"/>
        <w:rPr>
          <w:sz w:val="20"/>
          <w:szCs w:val="20"/>
          <w:color w:val="auto"/>
        </w:rPr>
      </w:pPr>
    </w:p>
    <w:p>
      <w:pPr>
        <w:spacing w:after="0" w:line="265" w:lineRule="exact"/>
        <w:rPr>
          <w:sz w:val="20"/>
          <w:szCs w:val="20"/>
          <w:color w:val="auto"/>
        </w:rPr>
      </w:pPr>
    </w:p>
    <w:p>
      <w:pPr>
        <w:ind w:left="280" w:hanging="274"/>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(loss) per share of Schlumberger to diluted earnings (loss) per share of Schlumberger: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0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6"/>
              </w:rPr>
              <w:t>(Stated in millions, except per share amounts)</w:t>
            </w:r>
          </w:p>
        </w:tc>
        <w:tc>
          <w:tcPr>
            <w:tcW w:w="0" w:type="dxa"/>
            <w:vAlign w:val="bottom"/>
          </w:tcPr>
          <w:p>
            <w:pPr>
              <w:spacing w:after="0"/>
              <w:rPr>
                <w:sz w:val="1"/>
                <w:szCs w:val="1"/>
                <w:color w:val="auto"/>
              </w:rPr>
            </w:pPr>
          </w:p>
        </w:tc>
      </w:tr>
      <w:tr>
        <w:trPr>
          <w:trHeight w:val="421"/>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2016</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color w:val="auto"/>
                <w:w w:val="89"/>
              </w:rPr>
              <w:t>2015</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Schlumberger</w:t>
            </w:r>
          </w:p>
        </w:tc>
        <w:tc>
          <w:tcPr>
            <w:tcW w:w="12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Earnings per</w:t>
            </w:r>
          </w:p>
        </w:tc>
        <w:tc>
          <w:tcPr>
            <w:tcW w:w="10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8"/>
                <w:szCs w:val="18"/>
                <w:color w:val="auto"/>
              </w:rPr>
            </w:pPr>
          </w:p>
        </w:tc>
        <w:tc>
          <w:tcPr>
            <w:tcW w:w="1020" w:type="dxa"/>
            <w:vAlign w:val="bottom"/>
          </w:tcPr>
          <w:p>
            <w:pPr>
              <w:jc w:val="center"/>
              <w:ind w:right="56"/>
              <w:spacing w:after="0"/>
              <w:rPr>
                <w:sz w:val="20"/>
                <w:szCs w:val="20"/>
                <w:color w:val="auto"/>
              </w:rPr>
            </w:pPr>
            <w:r>
              <w:rPr>
                <w:rFonts w:ascii="Arial" w:cs="Arial" w:eastAsia="Arial" w:hAnsi="Arial"/>
                <w:sz w:val="16"/>
                <w:szCs w:val="16"/>
                <w:b w:val="1"/>
                <w:bCs w:val="1"/>
                <w:color w:val="auto"/>
                <w:w w:val="89"/>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Pr>
          <w:p>
            <w:pPr>
              <w:spacing w:after="0"/>
              <w:rPr>
                <w:sz w:val="18"/>
                <w:szCs w:val="18"/>
                <w:color w:val="auto"/>
              </w:rPr>
            </w:pPr>
          </w:p>
        </w:tc>
        <w:tc>
          <w:tcPr>
            <w:tcW w:w="1060" w:type="dxa"/>
            <w:vAlign w:val="bottom"/>
          </w:tcPr>
          <w:p>
            <w:pPr>
              <w:jc w:val="center"/>
              <w:ind w:right="34"/>
              <w:spacing w:after="0"/>
              <w:rPr>
                <w:sz w:val="20"/>
                <w:szCs w:val="20"/>
                <w:color w:val="auto"/>
              </w:rPr>
            </w:pPr>
            <w:r>
              <w:rPr>
                <w:rFonts w:ascii="Arial" w:cs="Arial" w:eastAsia="Arial" w:hAnsi="Arial"/>
                <w:sz w:val="16"/>
                <w:szCs w:val="16"/>
                <w:color w:val="auto"/>
                <w:w w:val="90"/>
              </w:rPr>
              <w:t>Net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Share</w:t>
            </w:r>
          </w:p>
        </w:tc>
        <w:tc>
          <w:tcPr>
            <w:tcW w:w="0" w:type="dxa"/>
            <w:vAlign w:val="bottom"/>
          </w:tcPr>
          <w:p>
            <w:pPr>
              <w:spacing w:after="0"/>
              <w:rPr>
                <w:sz w:val="1"/>
                <w:szCs w:val="1"/>
                <w:color w:val="auto"/>
              </w:rPr>
            </w:pPr>
          </w:p>
        </w:tc>
      </w:tr>
      <w:tr>
        <w:trPr>
          <w:trHeight w:val="194"/>
        </w:trPr>
        <w:tc>
          <w:tcPr>
            <w:tcW w:w="11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b w:val="1"/>
                <w:bCs w:val="1"/>
                <w:color w:val="auto"/>
                <w:w w:val="95"/>
              </w:rPr>
              <w:t>Third Quarter</w:t>
            </w:r>
          </w:p>
        </w:tc>
        <w:tc>
          <w:tcPr>
            <w:tcW w:w="2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0.13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1,401</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2016</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color w:val="auto"/>
                <w:w w:val="89"/>
              </w:rPr>
              <w:t>2015</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Schlumberger</w:t>
            </w:r>
          </w:p>
        </w:tc>
        <w:tc>
          <w:tcPr>
            <w:tcW w:w="12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Net Loss</w:t>
            </w:r>
          </w:p>
        </w:tc>
        <w:tc>
          <w:tcPr>
            <w:tcW w:w="120" w:type="dxa"/>
            <w:vAlign w:val="bottom"/>
          </w:tcPr>
          <w:p>
            <w:pPr>
              <w:spacing w:after="0"/>
              <w:rPr>
                <w:sz w:val="18"/>
                <w:szCs w:val="18"/>
                <w:color w:val="auto"/>
              </w:rPr>
            </w:pPr>
          </w:p>
        </w:tc>
        <w:tc>
          <w:tcPr>
            <w:tcW w:w="1020" w:type="dxa"/>
            <w:vAlign w:val="bottom"/>
          </w:tcPr>
          <w:p>
            <w:pPr>
              <w:jc w:val="center"/>
              <w:ind w:right="56"/>
              <w:spacing w:after="0"/>
              <w:rPr>
                <w:sz w:val="20"/>
                <w:szCs w:val="20"/>
                <w:color w:val="auto"/>
              </w:rPr>
            </w:pPr>
            <w:r>
              <w:rPr>
                <w:rFonts w:ascii="Arial" w:cs="Arial" w:eastAsia="Arial" w:hAnsi="Arial"/>
                <w:sz w:val="16"/>
                <w:szCs w:val="16"/>
                <w:b w:val="1"/>
                <w:bCs w:val="1"/>
                <w:color w:val="auto"/>
                <w:w w:val="89"/>
              </w:rPr>
              <w:t>Outstanding</w:t>
            </w:r>
          </w:p>
        </w:tc>
        <w:tc>
          <w:tcPr>
            <w:tcW w:w="24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Loss per Share</w:t>
            </w:r>
          </w:p>
        </w:tc>
        <w:tc>
          <w:tcPr>
            <w:tcW w:w="100" w:type="dxa"/>
            <w:vAlign w:val="bottom"/>
          </w:tcPr>
          <w:p>
            <w:pPr>
              <w:spacing w:after="0"/>
              <w:rPr>
                <w:sz w:val="18"/>
                <w:szCs w:val="18"/>
                <w:color w:val="auto"/>
              </w:rPr>
            </w:pPr>
          </w:p>
        </w:tc>
        <w:tc>
          <w:tcPr>
            <w:tcW w:w="1060" w:type="dxa"/>
            <w:vAlign w:val="bottom"/>
          </w:tcPr>
          <w:p>
            <w:pPr>
              <w:jc w:val="center"/>
              <w:ind w:right="34"/>
              <w:spacing w:after="0"/>
              <w:rPr>
                <w:sz w:val="20"/>
                <w:szCs w:val="20"/>
                <w:color w:val="auto"/>
              </w:rPr>
            </w:pPr>
            <w:r>
              <w:rPr>
                <w:rFonts w:ascii="Arial" w:cs="Arial" w:eastAsia="Arial" w:hAnsi="Arial"/>
                <w:sz w:val="16"/>
                <w:szCs w:val="16"/>
                <w:color w:val="auto"/>
                <w:w w:val="90"/>
              </w:rPr>
              <w:t>Net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Share</w:t>
            </w:r>
          </w:p>
        </w:tc>
        <w:tc>
          <w:tcPr>
            <w:tcW w:w="0" w:type="dxa"/>
            <w:vAlign w:val="bottom"/>
          </w:tcPr>
          <w:p>
            <w:pPr>
              <w:spacing w:after="0"/>
              <w:rPr>
                <w:sz w:val="1"/>
                <w:szCs w:val="1"/>
                <w:color w:val="auto"/>
              </w:rPr>
            </w:pPr>
          </w:p>
        </w:tc>
      </w:tr>
      <w:tr>
        <w:trPr>
          <w:trHeight w:val="194"/>
        </w:trPr>
        <w:tc>
          <w:tcPr>
            <w:tcW w:w="3320" w:type="dxa"/>
            <w:vAlign w:val="bottom"/>
            <w:gridSpan w:val="3"/>
          </w:tcPr>
          <w:p>
            <w:pPr>
              <w:spacing w:after="0" w:line="184" w:lineRule="exact"/>
              <w:rPr>
                <w:sz w:val="20"/>
                <w:szCs w:val="20"/>
                <w:color w:val="auto"/>
              </w:rPr>
            </w:pPr>
            <w:r>
              <w:rPr>
                <w:rFonts w:ascii="Arial" w:cs="Arial" w:eastAsia="Arial" w:hAnsi="Arial"/>
                <w:sz w:val="18"/>
                <w:szCs w:val="18"/>
                <w:b w:val="1"/>
                <w:bCs w:val="1"/>
                <w:color w:val="auto"/>
              </w:rPr>
              <w:t>Nine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(1,482)</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2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(1,482)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3,088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7820" w:type="dxa"/>
            <w:vAlign w:val="bottom"/>
            <w:tcBorders>
              <w:bottom w:val="single" w:sz="8" w:color="CFF0FC"/>
            </w:tcBorders>
          </w:tcPr>
          <w:p>
            <w:pPr>
              <w:spacing w:after="0"/>
              <w:rPr>
                <w:sz w:val="24"/>
                <w:szCs w:val="24"/>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62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4"/>
                <w:szCs w:val="24"/>
                <w:color w:val="auto"/>
              </w:rPr>
            </w:pPr>
          </w:p>
        </w:tc>
      </w:tr>
      <w:tr>
        <w:trPr>
          <w:trHeight w:val="220"/>
        </w:trPr>
        <w:tc>
          <w:tcPr>
            <w:tcW w:w="9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bl>
    <w:p>
      <w:pPr>
        <w:spacing w:after="0" w:line="310" w:lineRule="exact"/>
        <w:rPr>
          <w:sz w:val="20"/>
          <w:szCs w:val="20"/>
          <w:color w:val="auto"/>
        </w:rPr>
      </w:pPr>
    </w:p>
    <w:p>
      <w:pPr>
        <w:ind w:left="280" w:hanging="274"/>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Cameron</w:t>
      </w:r>
    </w:p>
    <w:p>
      <w:pPr>
        <w:spacing w:after="0" w:line="118"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color w:val="auto"/>
        </w:rPr>
        <w:t>On April 1, 2016, Schlumberger acquired all of the outstanding shares of Cameron, a leading provider of flow equipment products, systems and services to the oil and gas industry worldwide. The acquisition is expected to create technology-driven growth by integrating Schlumberger reservoir and well technologies with Cameron wellhead and surface equipment, flow control and processing technology. The combination of the two complementary technology portfolios provides the industry’s most comprehensive range of products and services, from exploration to production and integrated pore-to-pipeline solutions that optimize hydrocarbon recovery to deliver reservoir performance.</w:t>
      </w:r>
    </w:p>
    <w:p>
      <w:pPr>
        <w:spacing w:after="0" w:line="193" w:lineRule="exact"/>
        <w:rPr>
          <w:sz w:val="20"/>
          <w:szCs w:val="20"/>
          <w:color w:val="auto"/>
        </w:rPr>
      </w:pPr>
    </w:p>
    <w:p>
      <w:pPr>
        <w:jc w:val="both"/>
        <w:ind w:right="100"/>
        <w:spacing w:after="0" w:line="329" w:lineRule="auto"/>
        <w:rPr>
          <w:sz w:val="20"/>
          <w:szCs w:val="20"/>
          <w:color w:val="auto"/>
        </w:rPr>
      </w:pPr>
      <w:r>
        <w:rPr>
          <w:rFonts w:ascii="Arial" w:cs="Arial" w:eastAsia="Arial" w:hAnsi="Arial"/>
          <w:sz w:val="16"/>
          <w:szCs w:val="16"/>
          <w:color w:val="auto"/>
        </w:rPr>
        <w:t>Under the terms of the merger agreement, Cameron became a wholly-owned subsidiary of Schlumberger. Each share of Cameron common stock issued and outstanding immediately prior to the effective time of the merger was converted into the right to receive 0.716 shares of Schlumberger stock and $14.44 in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Consideration Transferred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fair value of the consideration transferred to effect the acquisition of Cameron:</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340" w:right="139" w:bottom="1440" w:gutter="0" w:footer="0" w:header="0"/>
        </w:sectPr>
      </w:pPr>
    </w:p>
    <w:bookmarkStart w:id="10" w:name="page11"/>
    <w:bookmarkEnd w:id="10"/>
    <w:tbl>
      <w:tblPr>
        <w:tblLayout w:type="fixed"/>
        <w:tblInd w:w="680" w:type="dxa"/>
        <w:tblCellMar>
          <w:top w:w="0" w:type="dxa"/>
          <w:left w:w="0" w:type="dxa"/>
          <w:bottom w:w="0" w:type="dxa"/>
          <w:right w:w="0" w:type="dxa"/>
        </w:tblCellMar>
      </w:tblPr>
      <w:tr>
        <w:trPr>
          <w:trHeight w:val="180"/>
        </w:trPr>
        <w:tc>
          <w:tcPr>
            <w:tcW w:w="4320" w:type="dxa"/>
            <w:vAlign w:val="bottom"/>
          </w:tcPr>
          <w:p>
            <w:pPr>
              <w:spacing w:after="0"/>
              <w:rPr>
                <w:sz w:val="15"/>
                <w:szCs w:val="15"/>
                <w:color w:val="auto"/>
              </w:rPr>
            </w:pPr>
          </w:p>
        </w:tc>
        <w:tc>
          <w:tcPr>
            <w:tcW w:w="4140" w:type="dxa"/>
            <w:vAlign w:val="bottom"/>
            <w:gridSpan w:val="7"/>
          </w:tcPr>
          <w:p>
            <w:pPr>
              <w:ind w:left="320"/>
              <w:spacing w:after="0"/>
              <w:rPr>
                <w:sz w:val="20"/>
                <w:szCs w:val="20"/>
                <w:color w:val="auto"/>
              </w:rPr>
            </w:pPr>
            <w:r>
              <w:rPr>
                <w:rFonts w:ascii="Arial" w:cs="Arial" w:eastAsia="Arial" w:hAnsi="Arial"/>
                <w:sz w:val="14"/>
                <w:szCs w:val="14"/>
                <w:i w:val="1"/>
                <w:iCs w:val="1"/>
                <w:color w:val="auto"/>
                <w:w w:val="93"/>
              </w:rPr>
              <w:t>(stated in millions, except exchange ratio and per share amounts)</w:t>
            </w:r>
          </w:p>
        </w:tc>
      </w:tr>
      <w:tr>
        <w:trPr>
          <w:trHeight w:val="436"/>
        </w:trPr>
        <w:tc>
          <w:tcPr>
            <w:tcW w:w="4320" w:type="dxa"/>
            <w:vAlign w:val="bottom"/>
          </w:tcPr>
          <w:p>
            <w:pPr>
              <w:spacing w:after="0"/>
              <w:rPr>
                <w:sz w:val="20"/>
                <w:szCs w:val="20"/>
                <w:color w:val="auto"/>
              </w:rPr>
            </w:pPr>
            <w:r>
              <w:rPr>
                <w:rFonts w:ascii="Arial" w:cs="Arial" w:eastAsia="Arial" w:hAnsi="Arial"/>
                <w:sz w:val="18"/>
                <w:szCs w:val="18"/>
                <w:b w:val="1"/>
                <w:bCs w:val="1"/>
                <w:i w:val="1"/>
                <w:iCs w:val="1"/>
                <w:color w:val="auto"/>
              </w:rPr>
              <w:t>Equity consideration:</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Number of shares of Cameron stock outstanding</w:t>
            </w:r>
          </w:p>
        </w:tc>
        <w:tc>
          <w:tcPr>
            <w:tcW w:w="1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5"/>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Exchange ratio</w:t>
            </w:r>
          </w:p>
        </w:tc>
        <w:tc>
          <w:tcPr>
            <w:tcW w:w="15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0.716</w:t>
            </w: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Schlumberger shares of common stock issued</w:t>
            </w:r>
          </w:p>
        </w:tc>
        <w:tc>
          <w:tcPr>
            <w:tcW w:w="1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5"/>
        </w:trPr>
        <w:tc>
          <w:tcPr>
            <w:tcW w:w="4320" w:type="dxa"/>
            <w:vAlign w:val="bottom"/>
          </w:tcPr>
          <w:p>
            <w:pPr>
              <w:spacing w:after="0"/>
              <w:rPr>
                <w:sz w:val="20"/>
                <w:szCs w:val="20"/>
                <w:color w:val="auto"/>
              </w:rPr>
            </w:pPr>
            <w:r>
              <w:rPr>
                <w:rFonts w:ascii="Arial" w:cs="Arial" w:eastAsia="Arial" w:hAnsi="Arial"/>
                <w:sz w:val="18"/>
                <w:szCs w:val="18"/>
                <w:color w:val="auto"/>
                <w:w w:val="96"/>
              </w:rPr>
              <w:t>Schlumberger closing stock share price on April 1, 2016</w:t>
            </w:r>
          </w:p>
        </w:tc>
        <w:tc>
          <w:tcPr>
            <w:tcW w:w="2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consideration</w:t>
            </w:r>
          </w:p>
        </w:tc>
        <w:tc>
          <w:tcPr>
            <w:tcW w:w="15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9,924</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4320" w:type="dxa"/>
            <w:vAlign w:val="bottom"/>
          </w:tcPr>
          <w:p>
            <w:pPr>
              <w:spacing w:after="0"/>
              <w:rPr>
                <w:sz w:val="20"/>
                <w:szCs w:val="20"/>
                <w:color w:val="auto"/>
              </w:rPr>
            </w:pPr>
            <w:r>
              <w:rPr>
                <w:rFonts w:ascii="Arial" w:cs="Arial" w:eastAsia="Arial" w:hAnsi="Arial"/>
                <w:sz w:val="18"/>
                <w:szCs w:val="18"/>
                <w:b w:val="1"/>
                <w:bCs w:val="1"/>
                <w:i w:val="1"/>
                <w:iCs w:val="1"/>
                <w:color w:val="auto"/>
              </w:rPr>
              <w:t>Cash consideration:</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Number of shares of Cameron stock outstanding</w:t>
            </w:r>
          </w:p>
        </w:tc>
        <w:tc>
          <w:tcPr>
            <w:tcW w:w="1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5"/>
        </w:trPr>
        <w:tc>
          <w:tcPr>
            <w:tcW w:w="4320" w:type="dxa"/>
            <w:vAlign w:val="bottom"/>
          </w:tcPr>
          <w:p>
            <w:pPr>
              <w:spacing w:after="0"/>
              <w:rPr>
                <w:sz w:val="20"/>
                <w:szCs w:val="20"/>
                <w:color w:val="auto"/>
              </w:rPr>
            </w:pPr>
            <w:r>
              <w:rPr>
                <w:rFonts w:ascii="Arial" w:cs="Arial" w:eastAsia="Arial" w:hAnsi="Arial"/>
                <w:sz w:val="18"/>
                <w:szCs w:val="18"/>
                <w:color w:val="auto"/>
              </w:rPr>
              <w:t>Cash consideration per Cameron share</w:t>
            </w:r>
          </w:p>
        </w:tc>
        <w:tc>
          <w:tcPr>
            <w:tcW w:w="2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15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2,776</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4320" w:type="dxa"/>
            <w:vAlign w:val="bottom"/>
          </w:tcPr>
          <w:p>
            <w:pPr>
              <w:spacing w:after="0"/>
              <w:rPr>
                <w:sz w:val="20"/>
                <w:szCs w:val="20"/>
                <w:color w:val="auto"/>
              </w:rPr>
            </w:pPr>
            <w:r>
              <w:rPr>
                <w:rFonts w:ascii="Arial" w:cs="Arial" w:eastAsia="Arial" w:hAnsi="Arial"/>
                <w:sz w:val="18"/>
                <w:szCs w:val="18"/>
                <w:b w:val="1"/>
                <w:bCs w:val="1"/>
                <w:i w:val="1"/>
                <w:iCs w:val="1"/>
                <w:color w:val="auto"/>
              </w:rPr>
              <w:t>Other:</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replacement equity awards</w:t>
            </w:r>
          </w:p>
        </w:tc>
        <w:tc>
          <w:tcPr>
            <w:tcW w:w="1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r>
      <w:tr>
        <w:trPr>
          <w:trHeight w:val="219"/>
        </w:trPr>
        <w:tc>
          <w:tcPr>
            <w:tcW w:w="4320" w:type="dxa"/>
            <w:vAlign w:val="bottom"/>
          </w:tcPr>
          <w:p>
            <w:pPr>
              <w:spacing w:after="0"/>
              <w:rPr>
                <w:sz w:val="20"/>
                <w:szCs w:val="20"/>
                <w:color w:val="auto"/>
              </w:rPr>
            </w:pPr>
            <w:r>
              <w:rPr>
                <w:rFonts w:ascii="Arial" w:cs="Arial" w:eastAsia="Arial" w:hAnsi="Arial"/>
                <w:sz w:val="18"/>
                <w:szCs w:val="18"/>
                <w:color w:val="auto"/>
              </w:rPr>
              <w:t>Total fair value of the consideration transferred</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12,803</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Certain amounts reflect rounding adjustments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Allocation of Consideration Transferred to Net Assets Acquired</w:t>
      </w:r>
    </w:p>
    <w:p>
      <w:pPr>
        <w:spacing w:after="0" w:line="11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following amounts represents the preliminary estimates of the fair value of assets acquired and liabilities assumed in the merger. The final determination of fair value for certain assets and liabilities will be completed as soon as the information necessary to complete the analysis is obtained. These amounts, which may differ materially from these preliminary estimates, will be finalized as soon as practicable, but no later than one year from the acquisition date.</w:t>
      </w:r>
    </w:p>
    <w:p>
      <w:pPr>
        <w:spacing w:after="0" w:line="161" w:lineRule="exact"/>
        <w:rPr>
          <w:sz w:val="20"/>
          <w:szCs w:val="20"/>
          <w:color w:val="auto"/>
        </w:rPr>
      </w:pPr>
    </w:p>
    <w:tbl>
      <w:tblPr>
        <w:tblLayout w:type="fixed"/>
        <w:tblInd w:w="68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210"/>
        </w:trPr>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FF0FC"/>
          </w:tcPr>
          <w:p>
            <w:pPr>
              <w:spacing w:after="0"/>
              <w:rPr>
                <w:sz w:val="19"/>
                <w:szCs w:val="19"/>
                <w:color w:val="auto"/>
              </w:rPr>
            </w:pP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9"/>
                <w:szCs w:val="19"/>
                <w:color w:val="auto"/>
              </w:rPr>
            </w:pPr>
          </w:p>
        </w:tc>
      </w:tr>
      <w:tr>
        <w:trPr>
          <w:trHeight w:val="22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80" w:type="dxa"/>
            <w:vAlign w:val="bottom"/>
            <w:shd w:val="clear" w:color="auto" w:fill="CFF0FC"/>
          </w:tcPr>
          <w:p>
            <w:pPr>
              <w:spacing w:after="0"/>
              <w:rPr>
                <w:sz w:val="19"/>
                <w:szCs w:val="19"/>
                <w:color w:val="auto"/>
              </w:rPr>
            </w:pP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2,422</w:t>
            </w:r>
          </w:p>
        </w:tc>
        <w:tc>
          <w:tcPr>
            <w:tcW w:w="80" w:type="dxa"/>
            <w:vAlign w:val="bottom"/>
          </w:tcPr>
          <w:p>
            <w:pPr>
              <w:spacing w:after="0"/>
              <w:rPr>
                <w:sz w:val="19"/>
                <w:szCs w:val="19"/>
                <w:color w:val="auto"/>
              </w:rPr>
            </w:pPr>
          </w:p>
        </w:tc>
      </w:tr>
      <w:tr>
        <w:trPr>
          <w:trHeight w:val="22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80" w:type="dxa"/>
            <w:vAlign w:val="bottom"/>
            <w:shd w:val="clear" w:color="auto" w:fill="CFF0FC"/>
          </w:tcPr>
          <w:p>
            <w:pPr>
              <w:spacing w:after="0"/>
              <w:rPr>
                <w:sz w:val="19"/>
                <w:szCs w:val="19"/>
                <w:color w:val="auto"/>
              </w:rPr>
            </w:pP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Customer relationships (weighted-average life of 25 years)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80" w:type="dxa"/>
            <w:vAlign w:val="bottom"/>
            <w:shd w:val="clear" w:color="auto" w:fill="CFF0FC"/>
          </w:tcPr>
          <w:p>
            <w:pPr>
              <w:spacing w:after="0"/>
              <w:rPr>
                <w:sz w:val="19"/>
                <w:szCs w:val="19"/>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Technology/Technical know-how (weighted-average life of 16 years)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9"/>
                <w:szCs w:val="19"/>
                <w:color w:val="auto"/>
              </w:rPr>
            </w:pPr>
          </w:p>
        </w:tc>
      </w:tr>
      <w:tr>
        <w:trPr>
          <w:trHeight w:val="22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Tradenames (weighted-average life of 25 years)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FF0FC"/>
          </w:tcPr>
          <w:p>
            <w:pPr>
              <w:spacing w:after="0"/>
              <w:rPr>
                <w:sz w:val="19"/>
                <w:szCs w:val="19"/>
                <w:color w:val="auto"/>
              </w:rPr>
            </w:pP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9"/>
                <w:szCs w:val="19"/>
                <w:color w:val="auto"/>
              </w:rPr>
            </w:pPr>
          </w:p>
        </w:tc>
      </w:tr>
      <w:tr>
        <w:trPr>
          <w:trHeight w:val="22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(2,594)</w:t>
            </w: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r>
      <w:tr>
        <w:trPr>
          <w:trHeight w:val="22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taxes </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(1,691)</w:t>
            </w: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r>
      <w:tr>
        <w:trPr>
          <w:trHeight w:val="220"/>
        </w:trPr>
        <w:tc>
          <w:tcPr>
            <w:tcW w:w="6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5,729</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6900" w:type="dxa"/>
            <w:vAlign w:val="bottom"/>
          </w:tcPr>
          <w:p>
            <w:pPr>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Investment in OneSubsea </w:t>
            </w:r>
            <w:r>
              <w:rPr>
                <w:rFonts w:ascii="Arial" w:cs="Arial" w:eastAsia="Arial" w:hAnsi="Arial"/>
                <w:sz w:val="15"/>
                <w:szCs w:val="15"/>
                <w:color w:val="auto"/>
              </w:rPr>
              <w:t>(4)</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(2,065)</w:t>
            </w: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2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identifiable net assets</w:t>
            </w: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w:t>
            </w:r>
          </w:p>
        </w:tc>
        <w:tc>
          <w:tcPr>
            <w:tcW w:w="80" w:type="dxa"/>
            <w:vAlign w:val="bottom"/>
            <w:tcBorders>
              <w:bottom w:val="single" w:sz="8" w:color="CFF0FC"/>
            </w:tcBorders>
          </w:tcPr>
          <w:p>
            <w:pPr>
              <w:spacing w:after="0"/>
              <w:rPr>
                <w:sz w:val="19"/>
                <w:szCs w:val="19"/>
                <w:color w:val="auto"/>
              </w:rPr>
            </w:pPr>
          </w:p>
        </w:tc>
      </w:tr>
      <w:tr>
        <w:trPr>
          <w:trHeight w:val="219"/>
        </w:trPr>
        <w:tc>
          <w:tcPr>
            <w:tcW w:w="6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consideration transferred</w:t>
            </w: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860" w:hanging="255"/>
        <w:spacing w:after="0" w:line="205" w:lineRule="auto"/>
        <w:tabs>
          <w:tab w:leader="none" w:pos="818" w:val="left"/>
        </w:tabs>
        <w:numPr>
          <w:ilvl w:val="0"/>
          <w:numId w:val="11"/>
        </w:numPr>
        <w:rPr>
          <w:rFonts w:ascii="Arial" w:cs="Arial" w:eastAsia="Arial" w:hAnsi="Arial"/>
          <w:sz w:val="26"/>
          <w:szCs w:val="26"/>
          <w:color w:val="auto"/>
          <w:vertAlign w:val="superscript"/>
        </w:rPr>
      </w:pPr>
      <w:r>
        <w:rPr>
          <w:rFonts w:ascii="Arial" w:cs="Arial" w:eastAsia="Arial" w:hAnsi="Arial"/>
          <w:sz w:val="15"/>
          <w:szCs w:val="15"/>
          <w:color w:val="auto"/>
        </w:rPr>
        <w:t>Schlumberger recorded an adjustment of $299 million to write-up the acquired inventory to its estimated fair value. Schlumberger’s cost of sales reflected this increased valuation as this inventory was sold.</w:t>
      </w:r>
    </w:p>
    <w:p>
      <w:pPr>
        <w:spacing w:after="0" w:line="9" w:lineRule="exact"/>
        <w:rPr>
          <w:rFonts w:ascii="Arial" w:cs="Arial" w:eastAsia="Arial" w:hAnsi="Arial"/>
          <w:sz w:val="26"/>
          <w:szCs w:val="26"/>
          <w:color w:val="auto"/>
          <w:vertAlign w:val="superscript"/>
        </w:rPr>
      </w:pPr>
    </w:p>
    <w:p>
      <w:pPr>
        <w:jc w:val="both"/>
        <w:ind w:left="860" w:hanging="256"/>
        <w:spacing w:after="0" w:line="228" w:lineRule="auto"/>
        <w:tabs>
          <w:tab w:leader="none" w:pos="809"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In connection with the merger, Schlumberger assumed all of the debt obligations of Cameron, including their $2.75 billion of fixed rate notes. Schlumberger recorded a $244 million adjustment to increase the carrying amount of these notes to their estimated fair value. This adjustment is being amortized as a reduction of interest expense over the remaining term of the respective obligations.</w:t>
      </w:r>
    </w:p>
    <w:p>
      <w:pPr>
        <w:spacing w:after="0" w:line="10" w:lineRule="exact"/>
        <w:rPr>
          <w:rFonts w:ascii="Arial" w:cs="Arial" w:eastAsia="Arial" w:hAnsi="Arial"/>
          <w:sz w:val="25"/>
          <w:szCs w:val="25"/>
          <w:color w:val="auto"/>
          <w:vertAlign w:val="superscript"/>
        </w:rPr>
      </w:pPr>
    </w:p>
    <w:p>
      <w:pPr>
        <w:ind w:left="860" w:hanging="256"/>
        <w:spacing w:after="0" w:line="210" w:lineRule="auto"/>
        <w:tabs>
          <w:tab w:leader="none" w:pos="809"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In connection with the acquisition accounting, Schlumberger provided deferred taxes related to, among other items, the estimated fair value adjustments for acquired inventory, intangible assets and assumed debt obligations.</w:t>
      </w:r>
    </w:p>
    <w:p>
      <w:pPr>
        <w:spacing w:after="0" w:line="9" w:lineRule="exact"/>
        <w:rPr>
          <w:rFonts w:ascii="Arial" w:cs="Arial" w:eastAsia="Arial" w:hAnsi="Arial"/>
          <w:sz w:val="25"/>
          <w:szCs w:val="25"/>
          <w:color w:val="auto"/>
          <w:vertAlign w:val="superscript"/>
        </w:rPr>
      </w:pPr>
    </w:p>
    <w:p>
      <w:pPr>
        <w:jc w:val="both"/>
        <w:ind w:left="860" w:hanging="256"/>
        <w:spacing w:after="0" w:line="224" w:lineRule="auto"/>
        <w:tabs>
          <w:tab w:leader="none" w:pos="822" w:val="left"/>
        </w:tabs>
        <w:numPr>
          <w:ilvl w:val="0"/>
          <w:numId w:val="11"/>
        </w:numPr>
        <w:rPr>
          <w:rFonts w:ascii="Arial" w:cs="Arial" w:eastAsia="Arial" w:hAnsi="Arial"/>
          <w:sz w:val="26"/>
          <w:szCs w:val="26"/>
          <w:color w:val="auto"/>
          <w:vertAlign w:val="superscript"/>
        </w:rPr>
      </w:pPr>
      <w:r>
        <w:rPr>
          <w:rFonts w:ascii="Arial" w:cs="Arial" w:eastAsia="Arial" w:hAnsi="Arial"/>
          <w:sz w:val="15"/>
          <w:szCs w:val="15"/>
          <w:color w:val="auto"/>
        </w:rPr>
        <w:t>Prior to the completion of the merger, Cameron and Schlumberger operated OneSubsea, a joint venture that manufactured and developed products, systems and services for the subsea oil and gas market, which was 40% owned by Schlumberger and 60% owned by Cameron. OneSubsea is now owned 100% by Schlumberger. As a result of obtaining control of this joint venture, Schlumberger was required 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1" w:name="page12"/>
    <w:bookmarkEnd w:id="11"/>
    <w:p>
      <w:pPr>
        <w:ind w:left="860" w:right="20"/>
        <w:spacing w:after="0" w:line="280" w:lineRule="auto"/>
        <w:rPr>
          <w:sz w:val="20"/>
          <w:szCs w:val="20"/>
          <w:color w:val="auto"/>
        </w:rPr>
      </w:pPr>
      <w:r>
        <w:rPr>
          <w:rFonts w:ascii="Arial" w:cs="Arial" w:eastAsia="Arial" w:hAnsi="Arial"/>
          <w:sz w:val="15"/>
          <w:szCs w:val="15"/>
          <w:color w:val="auto"/>
        </w:rPr>
        <w:t>remeasure its previously held equity interest in the joint venture to its acquisition-date fair value. Schlumberger determined that the estimated fair value of its previously held equity interest approximated its carrying value. Accordingly, Schlumberger did not recognize any gain or loss on this transaction.</w:t>
      </w:r>
    </w:p>
    <w:p>
      <w:pPr>
        <w:spacing w:after="0" w:line="10" w:lineRule="exact"/>
        <w:rPr>
          <w:sz w:val="20"/>
          <w:szCs w:val="20"/>
          <w:color w:val="auto"/>
        </w:rPr>
      </w:pPr>
    </w:p>
    <w:p>
      <w:pPr>
        <w:ind w:left="860" w:right="20" w:hanging="256"/>
        <w:spacing w:after="0" w:line="205" w:lineRule="auto"/>
        <w:tabs>
          <w:tab w:leader="none" w:pos="822" w:val="left"/>
        </w:tabs>
        <w:numPr>
          <w:ilvl w:val="0"/>
          <w:numId w:val="12"/>
        </w:numPr>
        <w:rPr>
          <w:rFonts w:ascii="Arial" w:cs="Arial" w:eastAsia="Arial" w:hAnsi="Arial"/>
          <w:sz w:val="26"/>
          <w:szCs w:val="26"/>
          <w:color w:val="auto"/>
          <w:vertAlign w:val="superscript"/>
        </w:rPr>
      </w:pPr>
      <w:r>
        <w:rPr>
          <w:rFonts w:ascii="Arial" w:cs="Arial" w:eastAsia="Arial" w:hAnsi="Arial"/>
          <w:sz w:val="15"/>
          <w:szCs w:val="15"/>
          <w:color w:val="auto"/>
        </w:rPr>
        <w:t>The goodwill recognized is primarily attributable to expected synergies that will result from combining the operations of Schlumberger and Cameron, as well as intangible assets which do not qualify for separate recognition. The amount of goodwill that is deductible for income tax purposes is not significant.</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Supplemental Pro Forma Financial Information</w:t>
      </w:r>
    </w:p>
    <w:p>
      <w:pPr>
        <w:spacing w:after="0" w:line="11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Cameron’s results of operations have been included in Schlumberger’s financial statements for periods subsequent to the closing of the acquisition on April 1, 2016. Businesses acquired from Cameron contributed revenues of approximately $3 billion and pretax operating income of $0.5 billion for the period from April 1, 2016 through September 30, 2016.</w:t>
      </w:r>
    </w:p>
    <w:p>
      <w:pPr>
        <w:spacing w:after="0" w:line="188"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following supplemental pro forma results of operations assume that Cameron had been acquired as of January 1, 2015. The supplemental pro forma financial information was prepared based on the historical financial information of Schlumberger and Cameron and has been adjusted to give effect to pro forma adjustments that are both directly attributable to the transaction and factually supportable. The pro forma amounts reflect certain adjustments to amortization expense, interest expense and income taxes resulting from purchase accounting. The pro forma results for the three months ended September 30, 2016 reflect adjustments to exclude after-tax merger and integration costs of $73 million and after-tax charges relating to the amortization of the inventory fair value adjustment of $104 million. The pro forma results for the nine months ended September 30, 2016 reflect adjustments to exclude after-tax merger and integration costs of $221 million and after-tax charges relating to the amortization of the inventory fair value adjustment of $209 million. As required by generally accepted accounting principles, the pro forma results for the three months ended September 30, 2015 have been adjusted to include $73 million of after-tax merger and integration charges. The pro forma results for the nine months ended September 30, 2015 have been adjusted to include after-tax adjustments for merger and integration costs of $221 million and the after-tax charges relating to the amortization of the inventory fair value adjustment of $209 million.</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supplemental pro forma financial information presented below does not include any anticipated cost savings or the expected realization of other synergies associated with this transaction. Accordingly, this supplemental pro forma financial information is presented for informational purposes only and is not necessarily indicative of what the actual results of operations of the combined company would have been had the acquisition occurred on January 1, 2015, nor is it indicative of future results of operations.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940" w:type="dxa"/>
            <w:vAlign w:val="bottom"/>
            <w:gridSpan w:val="10"/>
          </w:tcPr>
          <w:p>
            <w:pPr>
              <w:jc w:val="right"/>
              <w:ind w:right="120"/>
              <w:spacing w:after="0"/>
              <w:rPr>
                <w:sz w:val="20"/>
                <w:szCs w:val="20"/>
                <w:color w:val="auto"/>
              </w:rPr>
            </w:pPr>
            <w:r>
              <w:rPr>
                <w:rFonts w:ascii="Arial" w:cs="Arial" w:eastAsia="Arial" w:hAnsi="Arial"/>
                <w:sz w:val="14"/>
                <w:szCs w:val="14"/>
                <w:i w:val="1"/>
                <w:iCs w:val="1"/>
                <w:color w:val="auto"/>
                <w:w w:val="98"/>
              </w:rPr>
              <w:t>(Stated in millions, except per share 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217"/>
              <w:spacing w:after="0"/>
              <w:rPr>
                <w:sz w:val="20"/>
                <w:szCs w:val="20"/>
                <w:color w:val="auto"/>
              </w:rPr>
            </w:pPr>
            <w:r>
              <w:rPr>
                <w:rFonts w:ascii="Arial" w:cs="Arial" w:eastAsia="Arial" w:hAnsi="Arial"/>
                <w:sz w:val="18"/>
                <w:szCs w:val="18"/>
                <w:b w:val="1"/>
                <w:bCs w:val="1"/>
                <w:color w:val="auto"/>
                <w:w w:val="98"/>
              </w:rPr>
              <w:t>Nine Months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336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7,019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10,694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22,331</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9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34,473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80" w:type="dxa"/>
            <w:vAlign w:val="bottom"/>
            <w:gridSpan w:val="3"/>
          </w:tcPr>
          <w:p>
            <w:pPr>
              <w:spacing w:after="0"/>
              <w:rPr>
                <w:sz w:val="20"/>
                <w:szCs w:val="20"/>
                <w:color w:val="auto"/>
              </w:rPr>
            </w:pPr>
            <w:r>
              <w:rPr>
                <w:rFonts w:ascii="Arial" w:cs="Arial" w:eastAsia="Arial" w:hAnsi="Arial"/>
                <w:sz w:val="18"/>
                <w:szCs w:val="18"/>
                <w:color w:val="auto"/>
              </w:rPr>
              <w:t>Net income (loss) attributable to Schlumberger</w:t>
            </w:r>
          </w:p>
        </w:tc>
        <w:tc>
          <w:tcPr>
            <w:tcW w:w="164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1,103</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1"/>
              </w:rPr>
              <w:t>(1,028)</w:t>
            </w:r>
          </w:p>
        </w:tc>
        <w:tc>
          <w:tcPr>
            <w:tcW w:w="76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 earnings (loss) per share</w:t>
            </w:r>
          </w:p>
        </w:tc>
        <w:tc>
          <w:tcPr>
            <w:tcW w:w="16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(0.74)</w:t>
            </w:r>
          </w:p>
        </w:tc>
        <w:tc>
          <w:tcPr>
            <w:tcW w:w="760" w:type="dxa"/>
            <w:vAlign w:val="bottom"/>
            <w:gridSpan w:val="2"/>
            <w:shd w:val="clear" w:color="auto" w:fill="CFF0FC"/>
          </w:tcPr>
          <w:p>
            <w:pPr>
              <w:jc w:val="right"/>
              <w:ind w:right="49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5.  Inventories</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480" w:type="dxa"/>
            <w:vAlign w:val="bottom"/>
            <w:gridSpan w:val="3"/>
          </w:tcPr>
          <w:p>
            <w:pPr>
              <w:spacing w:after="0"/>
              <w:rPr>
                <w:sz w:val="20"/>
                <w:szCs w:val="20"/>
                <w:color w:val="auto"/>
              </w:rPr>
            </w:pPr>
            <w:r>
              <w:rPr>
                <w:rFonts w:ascii="Arial" w:cs="Arial" w:eastAsia="Arial" w:hAnsi="Arial"/>
                <w:sz w:val="18"/>
                <w:szCs w:val="18"/>
                <w:color w:val="auto"/>
              </w:rPr>
              <w:t>A summary of inventories follows:</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 30,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Dec.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3360" w:type="dxa"/>
            <w:vAlign w:val="bottom"/>
            <w:tcBorders>
              <w:bottom w:val="single" w:sz="8" w:color="CFF0FC"/>
            </w:tcBorders>
          </w:tcPr>
          <w:p>
            <w:pPr>
              <w:spacing w:after="0"/>
              <w:rPr>
                <w:sz w:val="20"/>
                <w:szCs w:val="20"/>
                <w:color w:val="auto"/>
              </w:rPr>
            </w:pPr>
          </w:p>
        </w:tc>
        <w:tc>
          <w:tcPr>
            <w:tcW w:w="14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0"/>
              <w:spacing w:after="0"/>
              <w:rPr>
                <w:sz w:val="20"/>
                <w:szCs w:val="20"/>
                <w:color w:val="auto"/>
              </w:rPr>
            </w:pPr>
            <w:r>
              <w:rPr>
                <w:rFonts w:ascii="Arial" w:cs="Arial" w:eastAsia="Arial" w:hAnsi="Arial"/>
                <w:sz w:val="14"/>
                <w:szCs w:val="14"/>
                <w:b w:val="1"/>
                <w:bCs w:val="1"/>
                <w:color w:val="auto"/>
                <w:w w:val="76"/>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1,850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8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2,122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500"/>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4,572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2" w:name="page13"/>
    <w:bookmarkEnd w:id="12"/>
    <w:p>
      <w:pPr>
        <w:ind w:left="280" w:hanging="274"/>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 30,</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39,959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13,004</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78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Nine Months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2,053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280" w:hanging="274"/>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2016 was as follows:</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8525" cy="143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2015</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Charged to expense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 (see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6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8525" cy="1600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Balance at September 30, 2016</w:t>
      </w:r>
    </w:p>
    <w:p>
      <w:pPr>
        <w:spacing w:after="0" w:line="345" w:lineRule="exact"/>
        <w:rPr>
          <w:sz w:val="20"/>
          <w:szCs w:val="20"/>
          <w:color w:val="auto"/>
        </w:rPr>
      </w:pPr>
    </w:p>
    <w:p>
      <w:pPr>
        <w:ind w:left="280" w:hanging="274"/>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reporting unit for the nine months ended September 30, 2016 were as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967" w:hanging="967"/>
        <w:spacing w:after="0"/>
        <w:tabs>
          <w:tab w:leader="none" w:pos="9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1,026</w:t>
      </w:r>
    </w:p>
    <w:p>
      <w:pPr>
        <w:spacing w:after="0" w:line="18" w:lineRule="exact"/>
        <w:rPr>
          <w:rFonts w:ascii="Arial" w:cs="Arial" w:eastAsia="Arial" w:hAnsi="Arial"/>
          <w:sz w:val="18"/>
          <w:szCs w:val="18"/>
          <w:color w:val="auto"/>
        </w:rPr>
      </w:pPr>
    </w:p>
    <w:p>
      <w:pPr>
        <w:ind w:left="1087"/>
        <w:spacing w:after="0"/>
        <w:rPr>
          <w:rFonts w:ascii="Arial" w:cs="Arial" w:eastAsia="Arial" w:hAnsi="Arial"/>
          <w:sz w:val="18"/>
          <w:szCs w:val="18"/>
          <w:color w:val="auto"/>
        </w:rPr>
      </w:pPr>
      <w:r>
        <w:rPr>
          <w:rFonts w:ascii="Arial" w:cs="Arial" w:eastAsia="Arial" w:hAnsi="Arial"/>
          <w:sz w:val="18"/>
          <w:szCs w:val="18"/>
          <w:color w:val="auto"/>
        </w:rPr>
        <w:t>497</w:t>
      </w:r>
    </w:p>
    <w:p>
      <w:pPr>
        <w:spacing w:after="0" w:line="1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(283)</w:t>
      </w:r>
    </w:p>
    <w:p>
      <w:pPr>
        <w:spacing w:after="0" w:line="1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(198)</w:t>
      </w:r>
    </w:p>
    <w:p>
      <w:pPr>
        <w:spacing w:after="0" w:line="32" w:lineRule="exact"/>
        <w:rPr>
          <w:sz w:val="20"/>
          <w:szCs w:val="20"/>
          <w:color w:val="auto"/>
        </w:rPr>
      </w:pPr>
    </w:p>
    <w:p>
      <w:pPr>
        <w:ind w:left="967" w:hanging="967"/>
        <w:spacing w:after="0"/>
        <w:tabs>
          <w:tab w:leader="none" w:pos="9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869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87"/>
        <w:spacing w:after="0"/>
        <w:rPr>
          <w:sz w:val="20"/>
          <w:szCs w:val="20"/>
          <w:color w:val="auto"/>
        </w:rPr>
      </w:pPr>
      <w:r>
        <w:rPr>
          <w:rFonts w:ascii="Arial" w:cs="Arial" w:eastAsia="Arial" w:hAnsi="Arial"/>
          <w:sz w:val="13"/>
          <w:szCs w:val="13"/>
          <w:i w:val="1"/>
          <w:iCs w:val="1"/>
          <w:color w:val="auto"/>
        </w:rPr>
        <w:t>(Stated in millions)</w:t>
      </w:r>
    </w:p>
    <w:p>
      <w:pPr>
        <w:spacing w:after="0" w:line="200" w:lineRule="exact"/>
        <w:rPr>
          <w:sz w:val="20"/>
          <w:szCs w:val="20"/>
          <w:color w:val="auto"/>
        </w:rPr>
      </w:pPr>
    </w:p>
    <w:p>
      <w:pPr>
        <w:sectPr>
          <w:pgSz w:w="11900" w:h="16838" w:orient="portrait"/>
          <w:cols w:equalWidth="0" w:num="2">
            <w:col w:w="9220" w:space="713"/>
            <w:col w:w="1507"/>
          </w:cols>
          <w:pgMar w:left="240" w:top="121" w:right="21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Reservoir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14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Characterization</w:t>
            </w: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Drilling</w:t>
            </w: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Production</w:t>
            </w:r>
          </w:p>
        </w:tc>
        <w:tc>
          <w:tcPr>
            <w:tcW w:w="14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Cameron</w:t>
            </w:r>
          </w:p>
        </w:tc>
        <w:tc>
          <w:tcPr>
            <w:tcW w:w="20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r>
      <w:tr>
        <w:trPr>
          <w:trHeight w:val="220"/>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Acquisition of Cameron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 acquisitions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Reallocation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w:t>
            </w: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514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7"/>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431"/>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5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13" w:name="page14"/>
    <w:bookmarkEnd w:id="13"/>
    <w:p>
      <w:pPr>
        <w:ind w:left="280" w:hanging="274"/>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434"/>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86"/>
              </w:rPr>
              <w:t>Sept. 30, 2016</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w w:val="90"/>
              </w:rPr>
              <w:t>Dec. 31, 2015</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Gross</w:t>
            </w:r>
          </w:p>
        </w:tc>
        <w:tc>
          <w:tcPr>
            <w:tcW w:w="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Arial" w:cs="Arial" w:eastAsia="Arial" w:hAnsi="Arial"/>
                <w:sz w:val="16"/>
                <w:szCs w:val="16"/>
                <w:b w:val="1"/>
                <w:bCs w:val="1"/>
                <w:color w:val="auto"/>
                <w:w w:val="96"/>
              </w:rPr>
              <w:t>Net Book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40"/>
              <w:spacing w:after="0"/>
              <w:rPr>
                <w:sz w:val="20"/>
                <w:szCs w:val="20"/>
                <w:color w:val="auto"/>
              </w:rPr>
            </w:pPr>
            <w:r>
              <w:rPr>
                <w:rFonts w:ascii="Arial" w:cs="Arial" w:eastAsia="Arial" w:hAnsi="Arial"/>
                <w:sz w:val="16"/>
                <w:szCs w:val="16"/>
                <w:color w:val="auto"/>
              </w:rPr>
              <w:t>Gross</w:t>
            </w:r>
          </w:p>
        </w:tc>
        <w:tc>
          <w:tcPr>
            <w:tcW w:w="10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Arial" w:cs="Arial" w:eastAsia="Arial" w:hAnsi="Arial"/>
                <w:sz w:val="16"/>
                <w:szCs w:val="16"/>
                <w:color w:val="auto"/>
                <w:w w:val="92"/>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color w:val="auto"/>
              </w:rPr>
              <w:t>Net Book</w:t>
            </w:r>
          </w:p>
        </w:tc>
      </w:tr>
      <w:tr>
        <w:trPr>
          <w:trHeight w:val="241"/>
        </w:trPr>
        <w:tc>
          <w:tcPr>
            <w:tcW w:w="3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1"/>
              </w:rPr>
              <w:t>Book Value</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Value</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color w:val="auto"/>
                <w:w w:val="95"/>
              </w:rPr>
              <w:t>Book Value</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color w:val="auto"/>
                <w:w w:val="96"/>
              </w:rPr>
              <w:t>Amortization</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color w:val="auto"/>
              </w:rPr>
              <w:t>Value</w:t>
            </w:r>
          </w:p>
        </w:tc>
        <w:tc>
          <w:tcPr>
            <w:tcW w:w="100" w:type="dxa"/>
            <w:vAlign w:val="bottom"/>
            <w:tcBorders>
              <w:bottom w:val="single" w:sz="8" w:color="CFF0FC"/>
            </w:tcBorders>
          </w:tcPr>
          <w:p>
            <w:pPr>
              <w:spacing w:after="0"/>
              <w:rPr>
                <w:sz w:val="20"/>
                <w:szCs w:val="20"/>
                <w:color w:val="auto"/>
              </w:rPr>
            </w:pPr>
          </w:p>
        </w:tc>
      </w:tr>
      <w:tr>
        <w:trPr>
          <w:trHeight w:val="222"/>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4,879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4,073</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4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2,836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r>
      <w:tr>
        <w:trPr>
          <w:trHeight w:val="22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FF0FC"/>
            </w:tcBorders>
          </w:tcPr>
          <w:p>
            <w:pPr>
              <w:spacing w:after="0"/>
              <w:rPr>
                <w:sz w:val="19"/>
                <w:szCs w:val="19"/>
                <w:color w:val="auto"/>
              </w:rPr>
            </w:pPr>
          </w:p>
        </w:tc>
      </w:tr>
      <w:tr>
        <w:trPr>
          <w:trHeight w:val="219"/>
        </w:trPr>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12,404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2,567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9,837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w:t>
            </w:r>
          </w:p>
        </w:tc>
        <w:tc>
          <w:tcPr>
            <w:tcW w:w="4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FF0FC"/>
          </w:tcPr>
          <w:p>
            <w:pPr>
              <w:spacing w:after="0"/>
              <w:rPr>
                <w:sz w:val="19"/>
                <w:szCs w:val="19"/>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366"/>
        </w:trPr>
        <w:tc>
          <w:tcPr>
            <w:tcW w:w="78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Nine Months</w:t>
            </w: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2016, amortization charged to income for the subsequent five years is estimated to be: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remaining quarter of 2016—$166 million; 2017—$668 million; 2018—$660 million; 2019—$633 million; 2020—$596 million; and 2021—$571 million.</w:t>
      </w:r>
    </w:p>
    <w:p>
      <w:pPr>
        <w:spacing w:after="0" w:line="359" w:lineRule="exact"/>
        <w:rPr>
          <w:sz w:val="20"/>
          <w:szCs w:val="20"/>
          <w:color w:val="auto"/>
        </w:rPr>
      </w:pPr>
    </w:p>
    <w:p>
      <w:pPr>
        <w:ind w:left="360" w:hanging="354"/>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 30,</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bottom w:val="single" w:sz="8" w:color="CFF0FC"/>
            </w:tcBorders>
          </w:tcPr>
          <w:p>
            <w:pPr>
              <w:spacing w:after="0"/>
              <w:rPr>
                <w:sz w:val="20"/>
                <w:szCs w:val="20"/>
                <w:color w:val="auto"/>
              </w:rPr>
            </w:pPr>
          </w:p>
        </w:tc>
        <w:tc>
          <w:tcPr>
            <w:tcW w:w="3580" w:type="dxa"/>
            <w:vAlign w:val="bottom"/>
            <w:tcBorders>
              <w:bottom w:val="single" w:sz="8" w:color="CFF0FC"/>
            </w:tcBorders>
          </w:tcPr>
          <w:p>
            <w:pPr>
              <w:spacing w:after="0"/>
              <w:rPr>
                <w:sz w:val="20"/>
                <w:szCs w:val="20"/>
                <w:color w:val="auto"/>
              </w:rPr>
            </w:pPr>
          </w:p>
        </w:tc>
        <w:tc>
          <w:tcPr>
            <w:tcW w:w="37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3.30%</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3.65%</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2.35%</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2018</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4.20%</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2.40%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3.63%</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0.63%</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1.50%</w:t>
            </w:r>
          </w:p>
        </w:tc>
        <w:tc>
          <w:tcPr>
            <w:tcW w:w="358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579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1.90%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2017</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6.38%</w:t>
            </w:r>
          </w:p>
        </w:tc>
        <w:tc>
          <w:tcPr>
            <w:tcW w:w="3580" w:type="dxa"/>
            <w:vAlign w:val="bottom"/>
          </w:tcPr>
          <w:p>
            <w:pPr>
              <w:ind w:left="20"/>
              <w:spacing w:after="0"/>
              <w:rPr>
                <w:sz w:val="20"/>
                <w:szCs w:val="20"/>
                <w:color w:val="auto"/>
              </w:rPr>
            </w:pPr>
            <w:r>
              <w:rPr>
                <w:rFonts w:ascii="Arial" w:cs="Arial" w:eastAsia="Arial" w:hAnsi="Arial"/>
                <w:sz w:val="18"/>
                <w:szCs w:val="18"/>
                <w:color w:val="auto"/>
              </w:rPr>
              <w:t xml:space="preserve">Notes due 2018 </w:t>
            </w:r>
            <w:r>
              <w:rPr>
                <w:rFonts w:ascii="Arial" w:cs="Arial" w:eastAsia="Arial" w:hAnsi="Arial"/>
                <w:sz w:val="15"/>
                <w:szCs w:val="15"/>
                <w:color w:val="auto"/>
              </w:rPr>
              <w:t>(1)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7.00%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Notes due 2038 </w:t>
            </w:r>
            <w:r>
              <w:rPr>
                <w:rFonts w:ascii="Arial" w:cs="Arial" w:eastAsia="Arial" w:hAnsi="Arial"/>
                <w:sz w:val="15"/>
                <w:szCs w:val="15"/>
                <w:color w:val="auto"/>
              </w:rPr>
              <w:t>(1)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3580" w:type="dxa"/>
            <w:vAlign w:val="bottom"/>
          </w:tcPr>
          <w:p>
            <w:pPr>
              <w:ind w:left="20"/>
              <w:spacing w:after="0"/>
              <w:rPr>
                <w:sz w:val="20"/>
                <w:szCs w:val="20"/>
                <w:color w:val="auto"/>
              </w:rPr>
            </w:pPr>
            <w:r>
              <w:rPr>
                <w:rFonts w:ascii="Arial" w:cs="Arial" w:eastAsia="Arial" w:hAnsi="Arial"/>
                <w:sz w:val="18"/>
                <w:szCs w:val="18"/>
                <w:color w:val="auto"/>
              </w:rPr>
              <w:t xml:space="preserve">Notes due 2021 </w:t>
            </w:r>
            <w:r>
              <w:rPr>
                <w:rFonts w:ascii="Arial" w:cs="Arial" w:eastAsia="Arial" w:hAnsi="Arial"/>
                <w:sz w:val="15"/>
                <w:szCs w:val="15"/>
                <w:color w:val="auto"/>
              </w:rPr>
              <w:t>(1)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5.95%</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Notes due 2041 </w:t>
            </w:r>
            <w:r>
              <w:rPr>
                <w:rFonts w:ascii="Arial" w:cs="Arial" w:eastAsia="Arial" w:hAnsi="Arial"/>
                <w:sz w:val="15"/>
                <w:szCs w:val="15"/>
                <w:color w:val="auto"/>
              </w:rPr>
              <w:t>(1)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3.60%</w:t>
            </w:r>
          </w:p>
        </w:tc>
        <w:tc>
          <w:tcPr>
            <w:tcW w:w="3580" w:type="dxa"/>
            <w:vAlign w:val="bottom"/>
          </w:tcPr>
          <w:p>
            <w:pPr>
              <w:ind w:left="20"/>
              <w:spacing w:after="0"/>
              <w:rPr>
                <w:sz w:val="20"/>
                <w:szCs w:val="20"/>
                <w:color w:val="auto"/>
              </w:rPr>
            </w:pPr>
            <w:r>
              <w:rPr>
                <w:rFonts w:ascii="Arial" w:cs="Arial" w:eastAsia="Arial" w:hAnsi="Arial"/>
                <w:sz w:val="18"/>
                <w:szCs w:val="18"/>
                <w:color w:val="auto"/>
              </w:rPr>
              <w:t xml:space="preserve">Notes due 2022 </w:t>
            </w:r>
            <w:r>
              <w:rPr>
                <w:rFonts w:ascii="Arial" w:cs="Arial" w:eastAsia="Arial" w:hAnsi="Arial"/>
                <w:sz w:val="15"/>
                <w:szCs w:val="15"/>
                <w:color w:val="auto"/>
              </w:rPr>
              <w:t>(1)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5.13%</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Notes due 2043 </w:t>
            </w:r>
            <w:r>
              <w:rPr>
                <w:rFonts w:ascii="Arial" w:cs="Arial" w:eastAsia="Arial" w:hAnsi="Arial"/>
                <w:sz w:val="15"/>
                <w:szCs w:val="15"/>
                <w:color w:val="auto"/>
              </w:rPr>
              <w:t>(1)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4.00%</w:t>
            </w:r>
          </w:p>
        </w:tc>
        <w:tc>
          <w:tcPr>
            <w:tcW w:w="3580" w:type="dxa"/>
            <w:vAlign w:val="bottom"/>
          </w:tcPr>
          <w:p>
            <w:pPr>
              <w:ind w:left="20"/>
              <w:spacing w:after="0"/>
              <w:rPr>
                <w:sz w:val="20"/>
                <w:szCs w:val="20"/>
                <w:color w:val="auto"/>
              </w:rPr>
            </w:pPr>
            <w:r>
              <w:rPr>
                <w:rFonts w:ascii="Arial" w:cs="Arial" w:eastAsia="Arial" w:hAnsi="Arial"/>
                <w:sz w:val="18"/>
                <w:szCs w:val="18"/>
                <w:color w:val="auto"/>
              </w:rPr>
              <w:t xml:space="preserve">Notes due 2023 </w:t>
            </w:r>
            <w:r>
              <w:rPr>
                <w:rFonts w:ascii="Arial" w:cs="Arial" w:eastAsia="Arial" w:hAnsi="Arial"/>
                <w:sz w:val="15"/>
                <w:szCs w:val="15"/>
                <w:color w:val="auto"/>
              </w:rPr>
              <w:t>(1)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3.70%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Notes due 2024 </w:t>
            </w:r>
            <w:r>
              <w:rPr>
                <w:rFonts w:ascii="Arial" w:cs="Arial" w:eastAsia="Arial" w:hAnsi="Arial"/>
                <w:sz w:val="15"/>
                <w:szCs w:val="15"/>
                <w:color w:val="auto"/>
              </w:rPr>
              <w:t>(1)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1.25%</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580" w:type="dxa"/>
            <w:vAlign w:val="bottom"/>
            <w:tcBorders>
              <w:bottom w:val="single" w:sz="8" w:color="CFF0FC"/>
            </w:tcBorders>
          </w:tcPr>
          <w:p>
            <w:pPr>
              <w:spacing w:after="0"/>
              <w:rPr>
                <w:sz w:val="19"/>
                <w:szCs w:val="19"/>
                <w:color w:val="auto"/>
              </w:rPr>
            </w:pPr>
          </w:p>
        </w:tc>
        <w:tc>
          <w:tcPr>
            <w:tcW w:w="3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Borders>
              <w:bottom w:val="single" w:sz="8" w:color="CFF0FC"/>
            </w:tcBorders>
            <w:shd w:val="clear" w:color="auto" w:fill="CFF0FC"/>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17,538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760" w:type="dxa"/>
            <w:vAlign w:val="bottom"/>
            <w:vMerge w:val="restart"/>
          </w:tcPr>
          <w:p>
            <w:pPr>
              <w:jc w:val="right"/>
              <w:ind w:right="1931"/>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ind w:left="500" w:right="260" w:hanging="203"/>
        <w:spacing w:after="0" w:line="263" w:lineRule="auto"/>
        <w:rPr>
          <w:sz w:val="20"/>
          <w:szCs w:val="20"/>
          <w:color w:val="auto"/>
        </w:rPr>
      </w:pPr>
      <w:r>
        <w:rPr>
          <w:rFonts w:ascii="Arial" w:cs="Arial" w:eastAsia="Arial" w:hAnsi="Arial"/>
          <w:sz w:val="15"/>
          <w:szCs w:val="15"/>
          <w:color w:val="auto"/>
        </w:rPr>
        <w:t>(1) Represents long-term fixed rate debt obligations assumed in connection with the acquisition of Cameron, net of amounts repurchased</w:t>
      </w:r>
      <w:r>
        <w:rPr>
          <w:sz w:val="20"/>
          <w:szCs w:val="20"/>
          <w:color w:val="auto"/>
        </w:rPr>
        <w:t xml:space="preserve"> </w:t>
      </w:r>
      <w:r>
        <w:rPr>
          <w:rFonts w:ascii="Arial" w:cs="Arial" w:eastAsia="Arial" w:hAnsi="Arial"/>
          <w:sz w:val="16"/>
          <w:szCs w:val="16"/>
          <w:color w:val="auto"/>
        </w:rPr>
        <w:t>subsequent to the closing of the transaction.</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September 30, 2016 and December 31, 2015, based on quoted market prices, was $18.2 billion and $14.4 billion, respectively.</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Borrowings under the commercial paper program at September 30, 2016 were $3.0 billion, of which $2.8 billion was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$0.2 billion was classified within </w:t>
      </w:r>
      <w:r>
        <w:rPr>
          <w:rFonts w:ascii="Arial" w:cs="Arial" w:eastAsia="Arial" w:hAnsi="Arial"/>
          <w:sz w:val="18"/>
          <w:szCs w:val="18"/>
          <w:i w:val="1"/>
          <w:iCs w:val="1"/>
          <w:color w:val="auto"/>
        </w:rPr>
        <w:t>Long-term debt – current portion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2015, borrowings under the commercial paper program were $2.4 billion, of which $1.0 billion was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$1.4 billion was classified within </w:t>
      </w:r>
      <w:r>
        <w:rPr>
          <w:rFonts w:ascii="Arial" w:cs="Arial" w:eastAsia="Arial" w:hAnsi="Arial"/>
          <w:sz w:val="18"/>
          <w:szCs w:val="18"/>
          <w:i w:val="1"/>
          <w:iCs w:val="1"/>
          <w:color w:val="auto"/>
        </w:rPr>
        <w:t>Long-term debt –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portion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331" w:lineRule="exact"/>
        <w:rPr>
          <w:sz w:val="20"/>
          <w:szCs w:val="20"/>
          <w:color w:val="auto"/>
        </w:rPr>
      </w:pPr>
    </w:p>
    <w:p>
      <w:pPr>
        <w:ind w:left="360" w:hanging="354"/>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receives interest at a fixed rate of 1.50% on the euro notional amount and pays interest at a floating rate of three-month LIBOR plus approximately 64 basis points on the US dollar notional amount.</w:t>
      </w:r>
    </w:p>
    <w:p>
      <w:pPr>
        <w:spacing w:after="0" w:line="15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This cross currency swap is designated as a fair value hedge of the underlying debt. This derivative instrument is marked to market with gains and losses recognized in income to largely offset the respective gains and losses recognized on changes in the fair value of the hedged debt.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2016, Schlumberger had fixed rate debt of $14.4 billion and variable rate debt of $6.9 billion after taking into account the effect of the swap.</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 </w:t>
      </w:r>
      <w:r>
        <w:rPr>
          <w:rFonts w:ascii="Arial" w:cs="Arial" w:eastAsia="Arial" w:hAnsi="Arial"/>
          <w:sz w:val="18"/>
          <w:szCs w:val="18"/>
          <w:color w:val="auto"/>
        </w:rPr>
        <w:t>totaled $7.7 billion at September 30, 2016. The carrying value of these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approximated fair value, which was estimated using quoted market prices for those or similar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multinational company, Schlumberger conducts its business in over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that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are reclassified into earnings in the same period or periods that the hedged item is recognized in earnings. The ineffective portion of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fair value of hedging instruments, if any, is recorded directly to earnings.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September 30, 2016, Schlumberger recognized a cumulative net $16 million loss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15" w:name="page16"/>
    <w:bookmarkEnd w:id="15"/>
    <w:p>
      <w:pPr>
        <w:jc w:val="both"/>
        <w:ind w:right="20"/>
        <w:spacing w:after="0" w:line="294" w:lineRule="auto"/>
        <w:rPr>
          <w:sz w:val="20"/>
          <w:szCs w:val="20"/>
          <w:color w:val="auto"/>
        </w:rPr>
      </w:pPr>
      <w:r>
        <w:rPr>
          <w:rFonts w:ascii="Arial" w:cs="Arial" w:eastAsia="Arial" w:hAnsi="Arial"/>
          <w:sz w:val="16"/>
          <w:szCs w:val="16"/>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fair value of the hedged item.</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At September 30, 2016, contracts were outstanding for the US dollar equivalent of $4.6 billion in various foreign currencies, of which $0.7 billion related to hedges of debt denominated in currencies other than the functional currency.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6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4"/>
        </w:trPr>
        <w:tc>
          <w:tcPr>
            <w:tcW w:w="4820" w:type="dxa"/>
            <w:vAlign w:val="bottom"/>
          </w:tcPr>
          <w:p>
            <w:pPr>
              <w:spacing w:after="0"/>
              <w:rPr>
                <w:sz w:val="24"/>
                <w:szCs w:val="24"/>
                <w:color w:val="auto"/>
              </w:rPr>
            </w:pPr>
          </w:p>
        </w:tc>
        <w:tc>
          <w:tcPr>
            <w:tcW w:w="2660" w:type="dxa"/>
            <w:vAlign w:val="bottom"/>
            <w:gridSpan w:val="4"/>
          </w:tcPr>
          <w:p>
            <w:pPr>
              <w:jc w:val="right"/>
              <w:ind w:right="255"/>
              <w:spacing w:after="0"/>
              <w:rPr>
                <w:sz w:val="20"/>
                <w:szCs w:val="20"/>
                <w:color w:val="auto"/>
              </w:rPr>
            </w:pPr>
            <w:r>
              <w:rPr>
                <w:rFonts w:ascii="Arial" w:cs="Arial" w:eastAsia="Arial" w:hAnsi="Arial"/>
                <w:sz w:val="16"/>
                <w:szCs w:val="16"/>
                <w:b w:val="1"/>
                <w:bCs w:val="1"/>
                <w:color w:val="auto"/>
              </w:rPr>
              <w:t>Fair Value of Derivatives</w:t>
            </w:r>
          </w:p>
        </w:tc>
        <w:tc>
          <w:tcPr>
            <w:tcW w:w="300" w:type="dxa"/>
            <w:vAlign w:val="bottom"/>
          </w:tcPr>
          <w:p>
            <w:pPr>
              <w:spacing w:after="0"/>
              <w:rPr>
                <w:sz w:val="24"/>
                <w:szCs w:val="24"/>
                <w:color w:val="auto"/>
              </w:rPr>
            </w:pPr>
          </w:p>
        </w:tc>
        <w:tc>
          <w:tcPr>
            <w:tcW w:w="3640" w:type="dxa"/>
            <w:vAlign w:val="bottom"/>
            <w:gridSpan w:val="2"/>
          </w:tcPr>
          <w:p>
            <w:pPr>
              <w:ind w:left="260"/>
              <w:spacing w:after="0"/>
              <w:rPr>
                <w:sz w:val="20"/>
                <w:szCs w:val="20"/>
                <w:color w:val="auto"/>
              </w:rPr>
            </w:pPr>
            <w:r>
              <w:rPr>
                <w:rFonts w:ascii="Arial" w:cs="Arial" w:eastAsia="Arial" w:hAnsi="Arial"/>
                <w:sz w:val="16"/>
                <w:szCs w:val="16"/>
                <w:color w:val="auto"/>
              </w:rPr>
              <w:t>Consolidated Balance Sheet Classification</w:t>
            </w:r>
          </w:p>
        </w:tc>
      </w:tr>
      <w:tr>
        <w:trPr>
          <w:trHeight w:val="204"/>
        </w:trPr>
        <w:tc>
          <w:tcPr>
            <w:tcW w:w="4820" w:type="dxa"/>
            <w:vAlign w:val="bottom"/>
          </w:tcPr>
          <w:p>
            <w:pPr>
              <w:spacing w:after="0"/>
              <w:rPr>
                <w:sz w:val="17"/>
                <w:szCs w:val="17"/>
                <w:color w:val="auto"/>
              </w:rPr>
            </w:pPr>
          </w:p>
        </w:tc>
        <w:tc>
          <w:tcPr>
            <w:tcW w:w="1060" w:type="dxa"/>
            <w:vAlign w:val="bottom"/>
            <w:tcBorders>
              <w:top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Sept. 30,</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6"/>
                <w:szCs w:val="16"/>
                <w:color w:val="auto"/>
              </w:rPr>
              <w:t>Dec. 31,</w:t>
            </w:r>
          </w:p>
        </w:tc>
        <w:tc>
          <w:tcPr>
            <w:tcW w:w="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r>
      <w:tr>
        <w:trPr>
          <w:trHeight w:val="215"/>
        </w:trPr>
        <w:tc>
          <w:tcPr>
            <w:tcW w:w="48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color w:val="auto"/>
              </w:rPr>
              <w:t>2015</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380" w:type="dxa"/>
            <w:vAlign w:val="bottom"/>
            <w:tcBorders>
              <w:bottom w:val="single" w:sz="8" w:color="CFF0FC"/>
            </w:tcBorders>
          </w:tcPr>
          <w:p>
            <w:pPr>
              <w:spacing w:after="0"/>
              <w:rPr>
                <w:sz w:val="18"/>
                <w:szCs w:val="18"/>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current assets</w:t>
            </w:r>
          </w:p>
        </w:tc>
      </w:tr>
      <w:tr>
        <w:trPr>
          <w:trHeight w:val="22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19"/>
        </w:trPr>
        <w:tc>
          <w:tcPr>
            <w:tcW w:w="48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r>
      <w:tr>
        <w:trPr>
          <w:trHeight w:val="219"/>
        </w:trPr>
        <w:tc>
          <w:tcPr>
            <w:tcW w:w="4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Pr>
          <w:p>
            <w:pPr>
              <w:jc w:val="right"/>
              <w:ind w:right="90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Pr>
          <w:p>
            <w:pPr>
              <w:spacing w:after="0"/>
              <w:rPr>
                <w:sz w:val="19"/>
                <w:szCs w:val="19"/>
                <w:color w:val="auto"/>
              </w:rPr>
            </w:pP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3640" w:type="dxa"/>
            <w:vAlign w:val="bottom"/>
            <w:gridSpan w:val="2"/>
          </w:tcPr>
          <w:p>
            <w:pPr>
              <w:ind w:left="260"/>
              <w:spacing w:after="0"/>
              <w:rPr>
                <w:sz w:val="20"/>
                <w:szCs w:val="20"/>
                <w:color w:val="auto"/>
              </w:rPr>
            </w:pPr>
            <w:r>
              <w:rPr>
                <w:rFonts w:ascii="Arial" w:cs="Arial" w:eastAsia="Arial" w:hAnsi="Arial"/>
                <w:sz w:val="18"/>
                <w:szCs w:val="18"/>
                <w:i w:val="1"/>
                <w:iCs w:val="1"/>
                <w:color w:val="auto"/>
              </w:rPr>
              <w:t>Other current assets</w:t>
            </w: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59"/>
        </w:trPr>
        <w:tc>
          <w:tcPr>
            <w:tcW w:w="482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tcPr>
          <w:p>
            <w:pPr>
              <w:spacing w:after="0"/>
              <w:rPr>
                <w:sz w:val="22"/>
                <w:szCs w:val="22"/>
                <w:color w:val="auto"/>
              </w:rPr>
            </w:pPr>
          </w:p>
        </w:tc>
        <w:tc>
          <w:tcPr>
            <w:tcW w:w="3380" w:type="dxa"/>
            <w:vAlign w:val="bottom"/>
            <w:tcBorders>
              <w:bottom w:val="single" w:sz="8" w:color="CFF0FC"/>
            </w:tcBorders>
          </w:tcPr>
          <w:p>
            <w:pPr>
              <w:spacing w:after="0"/>
              <w:rPr>
                <w:sz w:val="22"/>
                <w:szCs w:val="22"/>
                <w:color w:val="auto"/>
              </w:rPr>
            </w:pPr>
          </w:p>
        </w:tc>
      </w:tr>
      <w:tr>
        <w:trPr>
          <w:trHeight w:val="206"/>
        </w:trPr>
        <w:tc>
          <w:tcPr>
            <w:tcW w:w="48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Derivative Liabilities</w:t>
            </w: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380" w:type="dxa"/>
            <w:vAlign w:val="bottom"/>
            <w:shd w:val="clear" w:color="auto" w:fill="CFF0FC"/>
          </w:tcPr>
          <w:p>
            <w:pPr>
              <w:spacing w:after="0"/>
              <w:rPr>
                <w:sz w:val="17"/>
                <w:szCs w:val="17"/>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3640" w:type="dxa"/>
            <w:vAlign w:val="bottom"/>
            <w:gridSpan w:val="2"/>
          </w:tcPr>
          <w:p>
            <w:pPr>
              <w:ind w:left="260"/>
              <w:spacing w:after="0"/>
              <w:rPr>
                <w:sz w:val="20"/>
                <w:szCs w:val="20"/>
                <w:color w:val="auto"/>
              </w:rPr>
            </w:pPr>
            <w:r>
              <w:rPr>
                <w:rFonts w:ascii="Arial" w:cs="Arial" w:eastAsia="Arial" w:hAnsi="Arial"/>
                <w:sz w:val="18"/>
                <w:szCs w:val="18"/>
                <w:i w:val="1"/>
                <w:iCs w:val="1"/>
                <w:color w:val="auto"/>
              </w:rPr>
              <w:t>Other Liabilities</w:t>
            </w: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Cross currency swap</w:t>
            </w:r>
          </w:p>
        </w:tc>
        <w:tc>
          <w:tcPr>
            <w:tcW w:w="10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Liabilities</w:t>
            </w:r>
          </w:p>
        </w:tc>
      </w:tr>
      <w:tr>
        <w:trPr>
          <w:trHeight w:val="219"/>
        </w:trPr>
        <w:tc>
          <w:tcPr>
            <w:tcW w:w="48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r>
      <w:tr>
        <w:trPr>
          <w:trHeight w:val="219"/>
        </w:trPr>
        <w:tc>
          <w:tcPr>
            <w:tcW w:w="48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r>
      <w:tr>
        <w:trPr>
          <w:trHeight w:val="22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Other Liabilities</w:t>
            </w:r>
          </w:p>
        </w:tc>
      </w:tr>
      <w:tr>
        <w:trPr>
          <w:trHeight w:val="219"/>
        </w:trPr>
        <w:tc>
          <w:tcPr>
            <w:tcW w:w="48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that can be derived from, or corroborated by, observable data.</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effect of derivative instruments designated as fair value hedges and those not designated as hedges on the </w:t>
      </w:r>
      <w:r>
        <w:rPr>
          <w:rFonts w:ascii="Arial" w:cs="Arial" w:eastAsia="Arial" w:hAnsi="Arial"/>
          <w:sz w:val="14"/>
          <w:szCs w:val="14"/>
          <w:i w:val="1"/>
          <w:iCs w:val="1"/>
          <w:color w:val="auto"/>
        </w:rPr>
        <w:t>Consolidated Statement of Income</w:t>
      </w:r>
      <w:r>
        <w:rPr>
          <w:rFonts w:ascii="Arial" w:cs="Arial" w:eastAsia="Arial" w:hAnsi="Arial"/>
          <w:sz w:val="14"/>
          <w:szCs w:val="14"/>
          <w:color w:val="auto"/>
        </w:rPr>
        <w:t xml:space="preserv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i w:val="1"/>
                <w:iCs w:val="1"/>
                <w:color w:val="auto"/>
                <w:w w:val="93"/>
              </w:rPr>
              <w:t>(Stated in millions)</w:t>
            </w: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46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4"/>
              </w:rPr>
              <w:t>Gain (Loss) Recognized in Income</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20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6"/>
                <w:szCs w:val="16"/>
                <w:b w:val="1"/>
                <w:bCs w:val="1"/>
                <w:color w:val="auto"/>
              </w:rPr>
              <w:t>Third Quarter</w:t>
            </w: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Nine Months</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296"/>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6"/>
                <w:szCs w:val="16"/>
                <w:color w:val="auto"/>
                <w:w w:val="94"/>
              </w:rPr>
              <w:t>Consolidated Statement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color w:val="auto"/>
                <w:w w:val="89"/>
              </w:rPr>
              <w:t>2015</w:t>
            </w:r>
          </w:p>
        </w:tc>
        <w:tc>
          <w:tcPr>
            <w:tcW w:w="220" w:type="dxa"/>
            <w:vAlign w:val="bottom"/>
            <w:tcBorders>
              <w:bottom w:val="single" w:sz="8" w:color="CFF0FC"/>
            </w:tcBorders>
          </w:tcPr>
          <w:p>
            <w:pPr>
              <w:spacing w:after="0"/>
              <w:rPr>
                <w:sz w:val="17"/>
                <w:szCs w:val="17"/>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3"/>
              </w:rPr>
              <w:t>of Income Classification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tcPr>
          <w:p>
            <w:pPr>
              <w:spacing w:after="0"/>
              <w:rPr>
                <w:sz w:val="20"/>
                <w:szCs w:val="20"/>
                <w:color w:val="auto"/>
              </w:rPr>
            </w:pPr>
            <w:r>
              <w:rPr>
                <w:rFonts w:ascii="Arial" w:cs="Arial" w:eastAsia="Arial" w:hAnsi="Arial"/>
                <w:sz w:val="18"/>
                <w:szCs w:val="18"/>
                <w:color w:val="auto"/>
              </w:rPr>
              <w:t>Cross currency swap</w:t>
            </w:r>
          </w:p>
        </w:tc>
        <w:tc>
          <w:tcPr>
            <w:tcW w:w="740" w:type="dxa"/>
            <w:vAlign w:val="bottom"/>
          </w:tcPr>
          <w:p>
            <w:pPr>
              <w:jc w:val="right"/>
              <w:ind w:right="584"/>
              <w:spacing w:after="0"/>
              <w:rPr>
                <w:sz w:val="20"/>
                <w:szCs w:val="20"/>
                <w:color w:val="auto"/>
              </w:rPr>
            </w:pPr>
            <w:r>
              <w:rPr>
                <w:rFonts w:ascii="Arial" w:cs="Arial" w:eastAsia="Arial" w:hAnsi="Arial"/>
                <w:sz w:val="14"/>
                <w:szCs w:val="14"/>
                <w:b w:val="1"/>
                <w:bCs w:val="1"/>
                <w:color w:val="auto"/>
                <w:w w:val="76"/>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6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740" w:type="dxa"/>
            <w:vAlign w:val="bottom"/>
          </w:tcPr>
          <w:p>
            <w:pPr>
              <w:jc w:val="right"/>
              <w:ind w:right="584"/>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640" w:type="dxa"/>
            <w:vAlign w:val="bottom"/>
          </w:tcPr>
          <w:p>
            <w:pPr>
              <w:spacing w:after="0"/>
              <w:rPr>
                <w:sz w:val="20"/>
                <w:szCs w:val="20"/>
                <w:color w:val="auto"/>
              </w:rPr>
            </w:pPr>
            <w:r>
              <w:rPr>
                <w:rFonts w:ascii="Arial" w:cs="Arial" w:eastAsia="Arial" w:hAnsi="Arial"/>
                <w:sz w:val="18"/>
                <w:szCs w:val="18"/>
                <w:i w:val="1"/>
                <w:iCs w:val="1"/>
                <w:color w:val="auto"/>
                <w:w w:val="97"/>
              </w:rPr>
              <w:t>Cost of service/sales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16" w:name="page17"/>
    <w:bookmarkEnd w:id="16"/>
    <w:p>
      <w:pPr>
        <w:ind w:left="360" w:hanging="354"/>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(35%) to the consolidated effective income tax rate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rPr>
              <w:t>Nine Months</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5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State tax</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Non-US income taxed at different rates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Charges and credits (See Note 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The components of net deferred tax assets (liabilities) were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Sept. 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right"/>
              <w:ind w:right="6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260</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(3,171)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6"/>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(149)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Fixed assets, net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6"/>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717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(2,231)</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75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The above deferred tax balances at September 30, 2016 and December 31, 2015 were net of valuation allowances relating to net operating losses in certain countries of $170 million and $162 million, respectively.</w:t>
      </w:r>
    </w:p>
    <w:p>
      <w:pPr>
        <w:spacing w:after="0" w:line="319" w:lineRule="exact"/>
        <w:rPr>
          <w:sz w:val="20"/>
          <w:szCs w:val="20"/>
          <w:color w:val="auto"/>
        </w:rPr>
      </w:pPr>
    </w:p>
    <w:p>
      <w:pPr>
        <w:ind w:left="360" w:hanging="354"/>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18"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proceedings is remote. However, litigation is inherently uncertain and it is not possible to predict the ultimate disposition of any of these proceedings.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Segment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3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8"/>
                <w:szCs w:val="18"/>
                <w:b w:val="1"/>
                <w:bCs w:val="1"/>
                <w:color w:val="auto"/>
              </w:rPr>
              <w:t>Third Quarter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color w:val="auto"/>
              </w:rPr>
              <w:t>Third Quarter 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p>
        </w:tc>
        <w:tc>
          <w:tcPr>
            <w:tcW w:w="20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Drilling</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Cameron</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(237)</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20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shd w:val="clear" w:color="auto" w:fill="CFF0FC"/>
          </w:tcPr>
          <w:p>
            <w:pPr>
              <w:spacing w:after="0"/>
              <w:rPr>
                <w:sz w:val="19"/>
                <w:szCs w:val="19"/>
                <w:color w:val="auto"/>
              </w:rPr>
            </w:pPr>
          </w:p>
        </w:tc>
        <w:tc>
          <w:tcPr>
            <w:tcW w:w="20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38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8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300" w:right="20" w:hanging="287"/>
        <w:spacing w:after="0" w:line="361" w:lineRule="auto"/>
        <w:tabs>
          <w:tab w:leader="none" w:pos="241" w:val="left"/>
        </w:tabs>
        <w:numPr>
          <w:ilvl w:val="0"/>
          <w:numId w:val="23"/>
        </w:numPr>
        <w:rPr>
          <w:rFonts w:ascii="Arial" w:cs="Arial" w:eastAsia="Arial" w:hAnsi="Arial"/>
          <w:sz w:val="13"/>
          <w:szCs w:val="13"/>
          <w:color w:val="auto"/>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(including intangible asset amortization expense resulting from the acquisition of Cameron), certain centrally managed initiatives and other nonoperating items.</w:t>
      </w:r>
    </w:p>
    <w:p>
      <w:pPr>
        <w:spacing w:after="0" w:line="33" w:lineRule="exact"/>
        <w:rPr>
          <w:rFonts w:ascii="Arial" w:cs="Arial" w:eastAsia="Arial" w:hAnsi="Arial"/>
          <w:sz w:val="13"/>
          <w:szCs w:val="13"/>
          <w:color w:val="auto"/>
        </w:rPr>
      </w:pPr>
    </w:p>
    <w:p>
      <w:pPr>
        <w:ind w:left="280" w:hanging="255"/>
        <w:spacing w:after="0"/>
        <w:tabs>
          <w:tab w:leader="none" w:pos="280" w:val="left"/>
        </w:tabs>
        <w:numPr>
          <w:ilvl w:val="2"/>
          <w:numId w:val="23"/>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($7 million in 2016; $5 million in 2015).</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23"/>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($14 million in 2016; $8 million in 2015).</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23"/>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8"/>
                <w:szCs w:val="18"/>
                <w:b w:val="1"/>
                <w:bCs w:val="1"/>
                <w:color w:val="auto"/>
              </w:rPr>
              <w:t>Nine Months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8"/>
                <w:szCs w:val="18"/>
                <w:color w:val="auto"/>
              </w:rPr>
              <w:t>Nine Months 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5"/>
              </w:rPr>
              <w:t>Revenue</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6"/>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5,044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6,529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(283)</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(72)</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9"/>
        </w:trPr>
        <w:tc>
          <w:tcPr>
            <w:tcW w:w="582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(679)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(391)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(3,144)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20,703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(1,691)</w:t>
            </w:r>
          </w:p>
        </w:tc>
        <w:tc>
          <w:tcPr>
            <w:tcW w:w="2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300" w:right="20" w:hanging="287"/>
        <w:spacing w:after="0" w:line="361" w:lineRule="auto"/>
        <w:tabs>
          <w:tab w:leader="none" w:pos="241" w:val="left"/>
        </w:tabs>
        <w:numPr>
          <w:ilvl w:val="0"/>
          <w:numId w:val="24"/>
        </w:numPr>
        <w:rPr>
          <w:rFonts w:ascii="Arial" w:cs="Arial" w:eastAsia="Arial" w:hAnsi="Arial"/>
          <w:sz w:val="13"/>
          <w:szCs w:val="13"/>
          <w:color w:val="auto"/>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(including intangible asset amortization expense resulting from the acquisition of Cameron), certain centrally managed initiatives and other nonoperating items.</w:t>
      </w:r>
    </w:p>
    <w:p>
      <w:pPr>
        <w:spacing w:after="0" w:line="33" w:lineRule="exact"/>
        <w:rPr>
          <w:rFonts w:ascii="Arial" w:cs="Arial" w:eastAsia="Arial" w:hAnsi="Arial"/>
          <w:sz w:val="13"/>
          <w:szCs w:val="13"/>
          <w:color w:val="auto"/>
        </w:rPr>
      </w:pPr>
    </w:p>
    <w:p>
      <w:pPr>
        <w:ind w:left="280" w:hanging="255"/>
        <w:spacing w:after="0"/>
        <w:tabs>
          <w:tab w:leader="none" w:pos="280" w:val="left"/>
        </w:tabs>
        <w:numPr>
          <w:ilvl w:val="2"/>
          <w:numId w:val="24"/>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($20 million in 2016; $16 million in 2015).</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24"/>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($40 million in 2016; $20 million in 2015).</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24"/>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299" w:lineRule="exact"/>
        <w:rPr>
          <w:sz w:val="20"/>
          <w:szCs w:val="20"/>
          <w:color w:val="auto"/>
        </w:rPr>
      </w:pPr>
    </w:p>
    <w:p>
      <w:pPr>
        <w:ind w:left="360" w:hanging="354"/>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6"/>
          </w:tcPr>
          <w:p>
            <w:pPr>
              <w:jc w:val="right"/>
              <w:ind w:right="2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49"/>
        </w:trPr>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rPr>
              <w:t>Third Quarter</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Nine Months</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2015</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2016</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2015</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96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US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Int'l</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US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Int'l</w:t>
            </w:r>
          </w:p>
        </w:tc>
        <w:tc>
          <w:tcPr>
            <w:tcW w:w="2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7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2960" w:type="dxa"/>
            <w:vAlign w:val="bottom"/>
          </w:tcPr>
          <w:p>
            <w:pPr>
              <w:spacing w:after="0"/>
              <w:rPr>
                <w:sz w:val="20"/>
                <w:szCs w:val="20"/>
                <w:color w:val="auto"/>
              </w:rPr>
            </w:pPr>
            <w:r>
              <w:rPr>
                <w:rFonts w:ascii="Arial" w:cs="Arial" w:eastAsia="Arial" w:hAnsi="Arial"/>
                <w:sz w:val="18"/>
                <w:szCs w:val="18"/>
                <w:color w:val="auto"/>
              </w:rPr>
              <w:t>Interest cost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(128)</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(178)</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(391)</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20"/>
                <w:szCs w:val="20"/>
                <w:color w:val="auto"/>
              </w:rPr>
            </w:pPr>
          </w:p>
        </w:tc>
      </w:tr>
      <w:tr>
        <w:trPr>
          <w:trHeight w:val="239"/>
        </w:trPr>
        <w:tc>
          <w:tcPr>
            <w:tcW w:w="29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5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2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0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71"/>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29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8"/>
          </w:tcPr>
          <w:p>
            <w:pPr>
              <w:jc w:val="right"/>
              <w:ind w:right="1000"/>
              <w:spacing w:after="0"/>
              <w:rPr>
                <w:sz w:val="20"/>
                <w:szCs w:val="20"/>
                <w:color w:val="auto"/>
              </w:rPr>
            </w:pPr>
            <w:r>
              <w:rPr>
                <w:rFonts w:ascii="Arial" w:cs="Arial" w:eastAsia="Arial" w:hAnsi="Arial"/>
                <w:sz w:val="18"/>
                <w:szCs w:val="18"/>
                <w:b w:val="1"/>
                <w:bCs w:val="1"/>
                <w:color w:val="auto"/>
              </w:rPr>
              <w:t>Third Quarter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99"/>
              </w:rPr>
              <w:t>2015</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Service cost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76"/>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9"/>
                <w:szCs w:val="19"/>
                <w:color w:val="auto"/>
              </w:rPr>
            </w:pPr>
          </w:p>
        </w:tc>
        <w:tc>
          <w:tcPr>
            <w:tcW w:w="260" w:type="dxa"/>
            <w:vAlign w:val="bottom"/>
            <w:tcBorders>
              <w:left w:val="single" w:sz="8" w:color="CFF0FC"/>
              <w:right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6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44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gridSpan w:val="3"/>
          </w:tcPr>
          <w:p>
            <w:pPr>
              <w:spacing w:after="0"/>
              <w:rPr>
                <w:sz w:val="20"/>
                <w:szCs w:val="20"/>
                <w:color w:val="auto"/>
              </w:rPr>
            </w:pPr>
            <w:r>
              <w:rPr>
                <w:rFonts w:ascii="Arial" w:cs="Arial" w:eastAsia="Arial" w:hAnsi="Arial"/>
                <w:sz w:val="18"/>
                <w:szCs w:val="18"/>
                <w:color w:val="auto"/>
              </w:rPr>
              <w:t>Amortization of prior service credit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60" w:type="dxa"/>
            <w:vAlign w:val="bottom"/>
            <w:tcBorders>
              <w:left w:val="single" w:sz="8" w:color="CFF0FC"/>
              <w:bottom w:val="single" w:sz="8" w:color="auto"/>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16. Accumulated Other Comprehensive Loss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7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760" w:type="dxa"/>
            <w:vAlign w:val="bottom"/>
            <w:gridSpan w:val="3"/>
          </w:tcPr>
          <w:p>
            <w:pPr>
              <w:spacing w:after="0"/>
              <w:rPr>
                <w:sz w:val="20"/>
                <w:szCs w:val="20"/>
                <w:color w:val="auto"/>
              </w:rPr>
            </w:pPr>
            <w:r>
              <w:rPr>
                <w:rFonts w:ascii="Arial" w:cs="Arial" w:eastAsia="Arial" w:hAnsi="Arial"/>
                <w:sz w:val="18"/>
                <w:szCs w:val="18"/>
                <w:i w:val="1"/>
                <w:iCs w:val="1"/>
                <w:color w:val="auto"/>
                <w:w w:val="92"/>
              </w:rPr>
              <w:t xml:space="preserve">Accumulated other comprehensive loss </w:t>
            </w:r>
            <w:r>
              <w:rPr>
                <w:rFonts w:ascii="Arial" w:cs="Arial" w:eastAsia="Arial" w:hAnsi="Arial"/>
                <w:sz w:val="18"/>
                <w:szCs w:val="18"/>
                <w:color w:val="auto"/>
                <w:w w:val="92"/>
              </w:rPr>
              <w:t>consists of the following: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Unrealized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6"/>
              </w:rPr>
              <w:t>Pension and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Loss 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Marketable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w w:val="92"/>
              </w:rPr>
              <w:t>Cash Flow</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0"/>
              </w:rPr>
              <w:t>Postretirement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Borders>
              <w:bottom w:val="single" w:sz="8" w:color="CFF0FC"/>
            </w:tcBorders>
          </w:tcPr>
          <w:p>
            <w:pPr>
              <w:spacing w:after="0"/>
              <w:rPr>
                <w:sz w:val="18"/>
                <w:szCs w:val="18"/>
                <w:color w:val="auto"/>
              </w:rPr>
            </w:pPr>
          </w:p>
        </w:tc>
        <w:tc>
          <w:tcPr>
            <w:tcW w:w="310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6"/>
              </w:rPr>
              <w:t>Securities</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Hedges</w:t>
            </w:r>
          </w:p>
        </w:tc>
        <w:tc>
          <w:tcPr>
            <w:tcW w:w="12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88"/>
              </w:rPr>
              <w:t>Benefit Plans</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(2,053)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(2,466)</w:t>
            </w:r>
          </w:p>
        </w:tc>
        <w:tc>
          <w:tcPr>
            <w:tcW w:w="440" w:type="dxa"/>
            <w:vAlign w:val="bottom"/>
            <w:gridSpan w:val="2"/>
            <w:shd w:val="clear" w:color="auto" w:fill="CFF0FC"/>
          </w:tcPr>
          <w:p>
            <w:pPr>
              <w:jc w:val="right"/>
              <w:ind w:right="16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gridSpan w:val="3"/>
          </w:tcPr>
          <w:p>
            <w:pPr>
              <w:spacing w:after="0"/>
              <w:rPr>
                <w:sz w:val="20"/>
                <w:szCs w:val="20"/>
                <w:color w:val="auto"/>
              </w:rPr>
            </w:pPr>
            <w:r>
              <w:rPr>
                <w:rFonts w:ascii="Arial" w:cs="Arial" w:eastAsia="Arial" w:hAnsi="Arial"/>
                <w:sz w:val="18"/>
                <w:szCs w:val="18"/>
                <w:color w:val="auto"/>
              </w:rPr>
              <w:t>Other comprehensive gain (loss) before reclassifications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w:t>
            </w: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60" w:type="dxa"/>
            <w:vAlign w:val="bottom"/>
            <w:gridSpan w:val="3"/>
            <w:vMerge w:val="continue"/>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3"/>
            <w:shd w:val="clear" w:color="auto" w:fill="CFF0FC"/>
          </w:tcPr>
          <w:p>
            <w:pPr>
              <w:jc w:val="right"/>
              <w:ind w:right="1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w:t>
            </w: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Balance, September 30, 2016</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11"/>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(2,291)</w:t>
            </w:r>
          </w:p>
        </w:tc>
        <w:tc>
          <w:tcPr>
            <w:tcW w:w="44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Unrealized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6"/>
              </w:rPr>
              <w:t>Pension and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Gain/(Loss) 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Marketable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w w:val="97"/>
              </w:rPr>
              <w:t>Cash Flow</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Postretirement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Borders>
              <w:bottom w:val="single" w:sz="8" w:color="CFF0FC"/>
            </w:tcBorders>
          </w:tcPr>
          <w:p>
            <w:pPr>
              <w:spacing w:after="0"/>
              <w:rPr>
                <w:sz w:val="18"/>
                <w:szCs w:val="18"/>
                <w:color w:val="auto"/>
              </w:rPr>
            </w:pPr>
          </w:p>
        </w:tc>
        <w:tc>
          <w:tcPr>
            <w:tcW w:w="310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Adjustments</w:t>
            </w:r>
          </w:p>
        </w:tc>
        <w:tc>
          <w:tcPr>
            <w:tcW w:w="180" w:type="dxa"/>
            <w:vAlign w:val="bottom"/>
            <w:tcBorders>
              <w:bottom w:val="single" w:sz="8" w:color="CFF0FC"/>
            </w:tcBorders>
            <w:gridSpan w:val="2"/>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6"/>
              </w:rPr>
              <w:t>Securities</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Hedges</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Benefit Plans</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(1,531)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(2,589)</w:t>
            </w: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gridSpan w:val="3"/>
          </w:tcPr>
          <w:p>
            <w:pPr>
              <w:spacing w:after="0"/>
              <w:rPr>
                <w:sz w:val="20"/>
                <w:szCs w:val="20"/>
                <w:color w:val="auto"/>
              </w:rPr>
            </w:pPr>
            <w:r>
              <w:rPr>
                <w:rFonts w:ascii="Arial" w:cs="Arial" w:eastAsia="Arial" w:hAnsi="Arial"/>
                <w:sz w:val="18"/>
                <w:szCs w:val="18"/>
                <w:color w:val="auto"/>
              </w:rPr>
              <w:t>Other comprehensive loss before reclassifications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60" w:type="dxa"/>
            <w:vAlign w:val="bottom"/>
            <w:gridSpan w:val="3"/>
            <w:vMerge w:val="continue"/>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3"/>
            <w:shd w:val="clear" w:color="auto" w:fill="CFF0FC"/>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Balance, September 30, 2015</w:t>
            </w:r>
          </w:p>
        </w:tc>
        <w:tc>
          <w:tcPr>
            <w:tcW w:w="14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60" w:type="dxa"/>
            <w:vAlign w:val="bottom"/>
            <w:gridSpan w:val="3"/>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(1,791)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(2,318)</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19" w:name="page20"/>
    <w:bookmarkEnd w:id="19"/>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2016 Compared to Third Quarter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8"/>
                <w:szCs w:val="18"/>
                <w:b w:val="1"/>
                <w:bCs w:val="1"/>
                <w:color w:val="auto"/>
              </w:rPr>
              <w:t>Third Quarter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color w:val="auto"/>
              </w:rPr>
              <w:t>Third Quarter 2015</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(38)</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(237)</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ind w:left="300" w:hanging="286"/>
        <w:spacing w:after="0" w:line="273" w:lineRule="auto"/>
        <w:tabs>
          <w:tab w:leader="none" w:pos="237" w:val="left"/>
        </w:tabs>
        <w:numPr>
          <w:ilvl w:val="0"/>
          <w:numId w:val="26"/>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The third quarter of 2016 includes $63 million of amortization expense associated with intangible assets recorded as a result of the acquisition of Cameron, which was completed on April 1, 2016.</w:t>
      </w:r>
    </w:p>
    <w:p>
      <w:pPr>
        <w:spacing w:after="0" w:line="89" w:lineRule="exact"/>
        <w:rPr>
          <w:rFonts w:ascii="Arial" w:cs="Arial" w:eastAsia="Arial" w:hAnsi="Arial"/>
          <w:sz w:val="15"/>
          <w:szCs w:val="15"/>
          <w:color w:val="auto"/>
        </w:rPr>
      </w:pPr>
    </w:p>
    <w:p>
      <w:pPr>
        <w:ind w:left="280" w:hanging="223"/>
        <w:spacing w:after="0"/>
        <w:tabs>
          <w:tab w:leader="none" w:pos="280" w:val="left"/>
        </w:tabs>
        <w:numPr>
          <w:ilvl w:val="3"/>
          <w:numId w:val="26"/>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($7 million in 2016; $5 million in 2015).</w:t>
      </w:r>
    </w:p>
    <w:p>
      <w:pPr>
        <w:spacing w:after="0" w:line="134" w:lineRule="exact"/>
        <w:rPr>
          <w:rFonts w:ascii="Arial" w:cs="Arial" w:eastAsia="Arial" w:hAnsi="Arial"/>
          <w:sz w:val="15"/>
          <w:szCs w:val="15"/>
          <w:color w:val="auto"/>
        </w:rPr>
      </w:pPr>
    </w:p>
    <w:p>
      <w:pPr>
        <w:ind w:left="300" w:hanging="270"/>
        <w:spacing w:after="0"/>
        <w:tabs>
          <w:tab w:leader="none" w:pos="300" w:val="left"/>
        </w:tabs>
        <w:numPr>
          <w:ilvl w:val="2"/>
          <w:numId w:val="26"/>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($14 million in 2016; $8 million in 2015).</w:t>
      </w:r>
    </w:p>
    <w:p>
      <w:pPr>
        <w:spacing w:after="0" w:line="134" w:lineRule="exact"/>
        <w:rPr>
          <w:rFonts w:ascii="Arial" w:cs="Arial" w:eastAsia="Arial" w:hAnsi="Arial"/>
          <w:sz w:val="15"/>
          <w:szCs w:val="15"/>
          <w:color w:val="auto"/>
        </w:rPr>
      </w:pPr>
    </w:p>
    <w:p>
      <w:pPr>
        <w:ind w:left="280" w:hanging="267"/>
        <w:spacing w:after="0"/>
        <w:tabs>
          <w:tab w:leader="none" w:pos="280" w:val="left"/>
        </w:tabs>
        <w:numPr>
          <w:ilvl w:val="1"/>
          <w:numId w:val="26"/>
        </w:numPr>
        <w:rPr>
          <w:rFonts w:ascii="Arial" w:cs="Arial" w:eastAsia="Arial" w:hAnsi="Arial"/>
          <w:sz w:val="15"/>
          <w:szCs w:val="15"/>
          <w:color w:val="auto"/>
        </w:rPr>
      </w:pPr>
      <w:r>
        <w:rPr>
          <w:rFonts w:ascii="Arial" w:cs="Arial" w:eastAsia="Arial" w:hAnsi="Arial"/>
          <w:sz w:val="16"/>
          <w:szCs w:val="16"/>
          <w:color w:val="auto"/>
        </w:rPr>
        <w:t xml:space="preserve">Charges and credits recorded during the third quarter of 2016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 2016, Schlumberger acquired all of the outstanding shares of Cameron International Corporation (Cameron), a leading provider of flow equipment products, systems and services to the oil and gas industry worldwide. The acquisition is expected to create technology-driven growth by integrating Schlumberger reservoir and well technologies with Cameron wellhead and surface equipment, flow control and processing technology. The combination of the two complementary technology portfolios provides the industry’s most comprehensive range of products and services, from exploration to production and integrated pore-to-pipeline solutions that optimize hydrocarbon recovery to deliver reservoir performance.</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terms of the merger agreement, Cameron became a wholly-owned subsidiary of Schlumberger. Each share of Cameron common stock issued and outstanding immediately prior to the effective time of the merger was converted into the right to receive 0.716 shares of Schlumberger stock and $14.44 in cash. As a result, Schlumberger issued approximately 138 million shares of its common stock and paid cash of approximately $2.8 billion in connection with this transaction. Based on the closing price of Schlumberger’s common stock on April 1, 2016, the total fair value of the consideration transferred to effect the acquisition of Cameron was approximately $12.8 billion. Cameron’s revenue for the year ended December 31, 2015 was $8.8 billion.</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Third-quarter 2016 revenue of $7.0 billion decreased 17% year-on-year. The Cameron Group contributed $1.3 billion of revenue to the third quarter of 2016. Excluding the impact of the Cameron Group, revenue declined 33% year-on-year.</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Third-quarter 2016 revenue from the Reservoir Characterization and Production Groups each declined year-on-year by 29% as a result of lower demand for exploration- and development-related products and services as E&amp;P budgets were further reduced. Drilling Group revenue fell by 37% due to the rig count decline in both North America and internationally.</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Third-quarter 2016 pretax operating margin decreased 634 basis points (bps) to 12%, as a result of the overall decline in activity and pervasive pricing concessions. The margin decrease was the highest in the Drilling Group, which contracted by 764 bps to 11%. Reservoir Characterization Group pretax operating margin fell 684 bps to 19%, while the Production Group decreased 652 bps to 5%. The Cameron Group posted a pretax margin of 16%.</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Third-quarter 2016 revenue of $1.7 billion decreased 29% year-on-year primarily due to sustained cuts in exploration and discretionary spending that impacted Wireline, Testing Services and SIS software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684 bps to 19% mainly due to reduced high-margin Wireline and Testing Services activities.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Third-quarter 2016 revenue of $2.0 billion decreased 37% year-on-year primarily due to the severe drop in rig count in both North America and internationally, combined with pricing pressure that mainly affected the Drilling &amp; Measurements and M-I SWACO Technologies.</w:t>
      </w:r>
    </w:p>
    <w:p>
      <w:pPr>
        <w:spacing w:after="0" w:line="17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Year-on-year, pretax operating margin decreased 764 bps to 11% primarily due to the significant decline in higher-margin activities of Drilling &amp; Measurements combined with pricing weakness.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Third-quarter 2016 revenue of $2.1 billion decreased 29% year-on-year with most of the revenue decrease attributable to a decline in North America, particularly on Well Services pressure pumping technologies driven by activity declines and pricing pressure as the land rig count declined dramatically.</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Year-on-year, pretax operating margin decreased 652 bps to 5% as a result of lower activity and increasing pricing pressure, which continued to impact North America 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1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Cameron Group contributed third-quarter revenue of $1.3 billion and pretax operating margin of 16%. Revenue was impacted by a declining project backlog as well as a further slowdown in North America land activity, which also affected the short-cycle businesses of the Valves &amp; Measurement and Surface product lines.</w:t>
      </w:r>
    </w:p>
    <w:p>
      <w:pPr>
        <w:spacing w:after="0" w:line="18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Pretax operating margin of 16% was driven by strong project execution in OneSubsea, improved manufacturing efficiency, and overall strong cost control across the Group.</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Nine Months 2016 Compared to Nine Months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3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8"/>
                <w:szCs w:val="18"/>
                <w:b w:val="1"/>
                <w:bCs w:val="1"/>
                <w:color w:val="auto"/>
              </w:rPr>
              <w:t>Nine Months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8"/>
                <w:szCs w:val="18"/>
                <w:color w:val="auto"/>
              </w:rPr>
              <w:t>Nine Months 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before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p>
        </w:tc>
        <w:tc>
          <w:tcPr>
            <w:tcW w:w="20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5,044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Drilling</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Cameron</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(283)</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(72)</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(679)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(391)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(3,144)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20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shd w:val="clear" w:color="auto" w:fill="CFF0FC"/>
          </w:tcPr>
          <w:p>
            <w:pPr>
              <w:spacing w:after="0"/>
              <w:rPr>
                <w:sz w:val="19"/>
                <w:szCs w:val="19"/>
                <w:color w:val="auto"/>
              </w:rPr>
            </w:pPr>
          </w:p>
        </w:tc>
        <w:tc>
          <w:tcPr>
            <w:tcW w:w="20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(1,691)</w:t>
            </w:r>
          </w:p>
        </w:tc>
        <w:tc>
          <w:tcPr>
            <w:tcW w:w="2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8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8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0" w:right="219" w:bottom="1440" w:gutter="0" w:footer="0" w:header="0"/>
        </w:sectPr>
      </w:pPr>
    </w:p>
    <w:bookmarkStart w:id="21" w:name="page22"/>
    <w:bookmarkEnd w:id="21"/>
    <w:p>
      <w:pPr>
        <w:ind w:left="300" w:hanging="286"/>
        <w:spacing w:after="0" w:line="273" w:lineRule="auto"/>
        <w:tabs>
          <w:tab w:leader="none" w:pos="237" w:val="left"/>
        </w:tabs>
        <w:numPr>
          <w:ilvl w:val="0"/>
          <w:numId w:val="27"/>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The nine months ended September 30, 2016 includes $126 million of amortization expense associated with intangible assets recorded as a result of the acquisition of Cameron.</w:t>
      </w:r>
    </w:p>
    <w:p>
      <w:pPr>
        <w:spacing w:after="0" w:line="89" w:lineRule="exact"/>
        <w:rPr>
          <w:rFonts w:ascii="Arial" w:cs="Arial" w:eastAsia="Arial" w:hAnsi="Arial"/>
          <w:sz w:val="15"/>
          <w:szCs w:val="15"/>
          <w:color w:val="auto"/>
        </w:rPr>
      </w:pPr>
    </w:p>
    <w:p>
      <w:pPr>
        <w:ind w:left="280" w:hanging="223"/>
        <w:spacing w:after="0"/>
        <w:tabs>
          <w:tab w:leader="none" w:pos="280" w:val="left"/>
        </w:tabs>
        <w:numPr>
          <w:ilvl w:val="3"/>
          <w:numId w:val="27"/>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($20 million in 2016; $16 million in 2015).</w:t>
      </w:r>
    </w:p>
    <w:p>
      <w:pPr>
        <w:spacing w:after="0" w:line="134" w:lineRule="exact"/>
        <w:rPr>
          <w:rFonts w:ascii="Arial" w:cs="Arial" w:eastAsia="Arial" w:hAnsi="Arial"/>
          <w:sz w:val="15"/>
          <w:szCs w:val="15"/>
          <w:color w:val="auto"/>
        </w:rPr>
      </w:pPr>
    </w:p>
    <w:p>
      <w:pPr>
        <w:ind w:left="300" w:hanging="270"/>
        <w:spacing w:after="0"/>
        <w:tabs>
          <w:tab w:leader="none" w:pos="300" w:val="left"/>
        </w:tabs>
        <w:numPr>
          <w:ilvl w:val="2"/>
          <w:numId w:val="27"/>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($40 million in 2016; $21 million in 2015).</w:t>
      </w:r>
    </w:p>
    <w:p>
      <w:pPr>
        <w:spacing w:after="0" w:line="134" w:lineRule="exact"/>
        <w:rPr>
          <w:rFonts w:ascii="Arial" w:cs="Arial" w:eastAsia="Arial" w:hAnsi="Arial"/>
          <w:sz w:val="15"/>
          <w:szCs w:val="15"/>
          <w:color w:val="auto"/>
        </w:rPr>
      </w:pPr>
    </w:p>
    <w:p>
      <w:pPr>
        <w:ind w:left="240" w:hanging="227"/>
        <w:spacing w:after="0"/>
        <w:tabs>
          <w:tab w:leader="none" w:pos="240" w:val="left"/>
        </w:tabs>
        <w:numPr>
          <w:ilvl w:val="1"/>
          <w:numId w:val="27"/>
        </w:numPr>
        <w:rPr>
          <w:rFonts w:ascii="Arial" w:cs="Arial" w:eastAsia="Arial" w:hAnsi="Arial"/>
          <w:sz w:val="15"/>
          <w:szCs w:val="15"/>
          <w:color w:val="auto"/>
        </w:rPr>
      </w:pPr>
      <w:r>
        <w:rPr>
          <w:rFonts w:ascii="Arial" w:cs="Arial" w:eastAsia="Arial" w:hAnsi="Arial"/>
          <w:sz w:val="16"/>
          <w:szCs w:val="16"/>
          <w:color w:val="auto"/>
        </w:rPr>
        <w:t xml:space="preserve">Charges and credits recorded during the first nine months of 2016 and 2015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2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Nine-month 2016 revenue of $20.7 billion decreased 25% year-on-year. This included six months of activity from the acquired Cameron businesses. The Cameron Group contributed $2.9 billion of revenue. Excluding the impact of the Cameron Group, revenue declined 36% year-on-year.</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Nine-month 2016 revenue from the Reservoir Characterization and Production Groups each declined year-on-year by 33% as a result of lower demand for exploration- and development-related products and services as E&amp;P budgets were further reduced. Drilling Group revenue fell by 38% due to the rig count decline in both North America and internationally.</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Nine-month 2016 pretax operating margin decreased 694 bps to 12%, as a result of the overall decline in activity and pervasive pricing concessions. The margin decrease was highest in the Reservoir Characterization Group, which contracted by 767 bps to 18%. Drilling Group pretax operating margin fell 765 bps to 12%, while the Production Group decreased 704 bps to 6% The Cameron Group posted a pretax operating margin of 16%.</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Nine-month 2016 revenue of $5.0 billion decreased 33% year-on-year primarily due to sustained cuts in exploration and discretionary spending that primarily impacted Wireline, Testing Services and SIS software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767 bps to 18% due to reduced high-margin Wireline and Testing Services activities.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Nine-month 2016 revenue of $6.5 billion decreased 38% year-on-year primarily due to the severe drop in rig count in both North America and internationally combined with pricing pressure that mainly affected Drilling &amp; Measurements and M-I SWACO Technologies.</w:t>
      </w:r>
    </w:p>
    <w:p>
      <w:pPr>
        <w:spacing w:after="0" w:line="17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Year-on-year, pretax operating margin decreased 765 bps to 12% primarily due to the significant decline in higher-margin activities of Drilling &amp; Measurements combined with pricing weakness.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Nine-month 2016 revenue of $6.5 billion decreased 33% year-on-year with most of the revenue decrease attributable to a decline in North America, particularly on Well Services pressure pumping technologies driven by activity declines and pricing pressure as the land rig count declined dramatically.</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decreased 704 bps to 6% as a result of lower activity and increasing pricing pressure, which continued to impact North America 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Cameron Group contributed six-month revenue of $2.9 billion and pretax operating margin of 16%. Revenue was impacted by a declining project backlog as well as a further slowdown in North America land activity, which also affected the short-cycle businesses of the Valves &amp; Measurement and Surface product lines.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Pretax operating margin of 16% was driven by strong project execution in OneSubsea, improved manufacturing efficiency, and overall strong cost control across the Group.</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8"/>
                <w:szCs w:val="18"/>
                <w:b w:val="1"/>
                <w:bCs w:val="1"/>
                <w:color w:val="auto"/>
              </w:rPr>
              <w:t>Third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8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860" w:type="dxa"/>
            <w:vAlign w:val="bottom"/>
            <w:shd w:val="clear" w:color="auto" w:fill="CFF0FC"/>
          </w:tcPr>
          <w:p>
            <w:pPr>
              <w:jc w:val="right"/>
              <w:ind w:right="700"/>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62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0"/>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62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decreases in earnings of equity method investments primarily reflects the effects of the downturn in the oil and gas industry, which has negatively impacted the majority of Schlumberger’s investments in affiliates, particularly those in North America.</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increases in interest income are primarily attributable to the higher cash and short-term investment balances as a result of the issuance of $6.0 billion of Senior Notes during the fourth quarter of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2015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8"/>
                <w:szCs w:val="18"/>
                <w:b w:val="1"/>
                <w:bCs w:val="1"/>
                <w:color w:val="auto"/>
                <w:w w:val="95"/>
              </w:rPr>
              <w:t>Third Quarter</w:t>
            </w:r>
          </w:p>
        </w:tc>
        <w:tc>
          <w:tcPr>
            <w:tcW w:w="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Nine Months</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0"/>
        </w:trPr>
        <w:tc>
          <w:tcPr>
            <w:tcW w:w="56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4"/>
              </w:rPr>
              <w:t>2015</w:t>
            </w:r>
          </w:p>
        </w:tc>
        <w:tc>
          <w:tcPr>
            <w:tcW w:w="180" w:type="dxa"/>
            <w:vAlign w:val="bottom"/>
            <w:tcBorders>
              <w:bottom w:val="single" w:sz="8" w:color="CFF0FC"/>
            </w:tcBorders>
          </w:tcPr>
          <w:p>
            <w:pPr>
              <w:spacing w:after="0"/>
              <w:rPr>
                <w:sz w:val="19"/>
                <w:szCs w:val="19"/>
                <w:color w:val="auto"/>
              </w:rPr>
            </w:pPr>
          </w:p>
        </w:tc>
      </w:tr>
      <w:tr>
        <w:trPr>
          <w:trHeight w:val="219"/>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3.6%</w:t>
            </w: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3.6%</w:t>
            </w: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w:t>
            </w:r>
          </w:p>
        </w:tc>
        <w:tc>
          <w:tcPr>
            <w:tcW w:w="8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Although </w:t>
      </w:r>
      <w:r>
        <w:rPr>
          <w:rFonts w:ascii="Arial" w:cs="Arial" w:eastAsia="Arial" w:hAnsi="Arial"/>
          <w:sz w:val="17"/>
          <w:szCs w:val="17"/>
          <w:i w:val="1"/>
          <w:iCs w:val="1"/>
          <w:color w:val="auto"/>
        </w:rPr>
        <w:t>Research &amp; engineering</w:t>
      </w:r>
      <w:r>
        <w:rPr>
          <w:rFonts w:ascii="Arial" w:cs="Arial" w:eastAsia="Arial" w:hAnsi="Arial"/>
          <w:sz w:val="17"/>
          <w:szCs w:val="17"/>
          <w:color w:val="auto"/>
        </w:rPr>
        <w:t xml:space="preserve"> and </w:t>
      </w:r>
      <w:r>
        <w:rPr>
          <w:rFonts w:ascii="Arial" w:cs="Arial" w:eastAsia="Arial" w:hAnsi="Arial"/>
          <w:sz w:val="17"/>
          <w:szCs w:val="17"/>
          <w:i w:val="1"/>
          <w:iCs w:val="1"/>
          <w:color w:val="auto"/>
        </w:rPr>
        <w:t>General &amp; administrative</w:t>
      </w:r>
      <w:r>
        <w:rPr>
          <w:rFonts w:ascii="Arial" w:cs="Arial" w:eastAsia="Arial" w:hAnsi="Arial"/>
          <w:sz w:val="17"/>
          <w:szCs w:val="17"/>
          <w:color w:val="auto"/>
        </w:rPr>
        <w:t xml:space="preserve"> costs have increased as a percentage of </w:t>
      </w:r>
      <w:r>
        <w:rPr>
          <w:rFonts w:ascii="Arial" w:cs="Arial" w:eastAsia="Arial" w:hAnsi="Arial"/>
          <w:sz w:val="17"/>
          <w:szCs w:val="17"/>
          <w:i w:val="1"/>
          <w:iCs w:val="1"/>
          <w:color w:val="auto"/>
        </w:rPr>
        <w:t>Revenue</w:t>
      </w:r>
      <w:r>
        <w:rPr>
          <w:rFonts w:ascii="Arial" w:cs="Arial" w:eastAsia="Arial" w:hAnsi="Arial"/>
          <w:sz w:val="17"/>
          <w:szCs w:val="17"/>
          <w:color w:val="auto"/>
        </w:rPr>
        <w:t>, they have decreased in absolute dollar terms as a result of cost control measures that Schlumberger has implemented, offset in part by the impact of the Cameron acquisition.</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of $149 million for the third quarter of 2016 increased by $63 million compared to the same period of the prior year. Interest expense of $431 million for the nine months ended September 30, 2016 increased by $177 million compared to the same period of the prior year. These increases were primarily due to the issuance of $6.0 billion of Senior Notes during the fourth quarter of 2015 and the impact of the $3.0 billion of debt assumed in the acquisition of Cameron.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effective tax rate for the third quarter of 2016 was 5% compared to 20% for the same period of the prior year. The charges described in Note 2 to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reduced the third quarter 2016 effective tax rate by 11 percentage points. The remaining decrease in the effective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attributable to the geographic mix of earnings, as Schlumberger generated a greater portion of its pretax earnings outside of North America during the third quarter of 2016 as compared to the same period last year.</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The effective tax rate for the nine months ended September 30, 2016 was 15% compared to 22% for the same period of the prior year. The charges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reduced the effective tax rate for the nine months ended September 30, 2016 by one percentage point and increased the effective tax for the nine months ended September 30, 2015 by one percentage point. Excluding the impact of the charges, the effective tax rate for the first nine months of 2016 was 16% and 21% for the same period in the prior year. This decrease was primarily attributable to the fact that Schlumberger generated a greater portion of its pretax earnings outside of North America during the nine months ended September 30, 2016 as compared to the same period last year.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connection with Schlumberger’s acquisition of Cameron (see Note 4 – </w:t>
      </w:r>
      <w:r>
        <w:rPr>
          <w:rFonts w:ascii="Arial" w:cs="Arial" w:eastAsia="Arial" w:hAnsi="Arial"/>
          <w:sz w:val="18"/>
          <w:szCs w:val="18"/>
          <w:i w:val="1"/>
          <w:iCs w:val="1"/>
          <w:color w:val="auto"/>
        </w:rPr>
        <w:t>Acquisition of Cameron</w:t>
      </w:r>
      <w:r>
        <w:rPr>
          <w:rFonts w:ascii="Arial" w:cs="Arial" w:eastAsia="Arial" w:hAnsi="Arial"/>
          <w:sz w:val="18"/>
          <w:szCs w:val="18"/>
          <w:color w:val="auto"/>
        </w:rPr>
        <w:t xml:space="preserve">), Schlumberger recorded $237 million of pretax charges ($177 million after-tax) in the third quarter of 2016, consisting of the following pretax amounts: $149 million relating to the amortization of purchase accounting adjustments associated with the write-up of acquired inventory to its estimated fair value; $11 million of facility closure costs; $46 million of employee benefits including retention bonuses; and $31 million of other merger and integration-related costs. 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3" w:name="page24"/>
    <w:bookmarkEnd w:id="23"/>
    <w:p>
      <w:pPr>
        <w:jc w:val="both"/>
        <w:ind w:right="20"/>
        <w:spacing w:after="0" w:line="303" w:lineRule="auto"/>
        <w:rPr>
          <w:sz w:val="20"/>
          <w:szCs w:val="20"/>
          <w:color w:val="auto"/>
        </w:rPr>
      </w:pPr>
      <w:r>
        <w:rPr>
          <w:rFonts w:ascii="Arial" w:cs="Arial" w:eastAsia="Arial" w:hAnsi="Arial"/>
          <w:sz w:val="16"/>
          <w:szCs w:val="16"/>
          <w:color w:val="auto"/>
        </w:rPr>
        <w:t xml:space="preserve">During the second quarter of 2016, Schlumberger recorded $2.573 billion of asset impairment and workforce reduction charges and $335 million of merger and integration-related charges associated with the acquisition of Cameron which are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and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respectively,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These charges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first nine months of 2016: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Tax</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4"/>
                <w:szCs w:val="24"/>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200" w:type="dxa"/>
            <w:vAlign w:val="bottom"/>
            <w:gridSpan w:val="2"/>
            <w:shd w:val="clear" w:color="auto" w:fill="CFF0FC"/>
          </w:tcPr>
          <w:p>
            <w:pPr>
              <w:jc w:val="right"/>
              <w:ind w:right="7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North America pressure pumping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Facilities impairments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Other fixed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Inventory write-downs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Multiclient seismic data impairment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restructuring charges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Amortization of inventory fair value adjustment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Merger-related employee benefits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Professional fees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Facility closure costs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merger and integration-related</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3,144</w:t>
            </w:r>
          </w:p>
        </w:tc>
        <w:tc>
          <w:tcPr>
            <w:tcW w:w="1200" w:type="dxa"/>
            <w:vAlign w:val="bottom"/>
            <w:gridSpan w:val="2"/>
            <w:shd w:val="clear" w:color="auto" w:fill="CFF0FC"/>
          </w:tcPr>
          <w:p>
            <w:pPr>
              <w:jc w:val="right"/>
              <w:ind w:right="7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2016.</w:t>
      </w:r>
    </w:p>
    <w:p>
      <w:pPr>
        <w:spacing w:after="0" w:line="218"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 xml:space="preserve">Schlumberger recorded charges during the first quarter of 2015, all of which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Income</w:t>
      </w:r>
      <w:r>
        <w:rPr>
          <w:rFonts w:ascii="Arial" w:cs="Arial" w:eastAsia="Arial" w:hAnsi="Arial"/>
          <w:sz w:val="17"/>
          <w:szCs w:val="17"/>
          <w:color w:val="auto"/>
        </w:rPr>
        <w:t>. These charges, which are summarized below, are more fully described in Note 2 to the</w:t>
      </w:r>
      <w:r>
        <w:rPr>
          <w:rFonts w:ascii="Arial" w:cs="Arial" w:eastAsia="Arial" w:hAnsi="Arial"/>
          <w:sz w:val="17"/>
          <w:szCs w:val="17"/>
          <w:i w:val="1"/>
          <w:iCs w:val="1"/>
          <w:color w:val="auto"/>
        </w:rPr>
        <w:t xml:space="preserve"> Consolidated Financial Statements</w:t>
      </w:r>
      <w:r>
        <w:rPr>
          <w:rFonts w:ascii="Arial" w:cs="Arial" w:eastAsia="Arial" w:hAnsi="Arial"/>
          <w:sz w:val="17"/>
          <w:szCs w:val="17"/>
          <w:color w:val="auto"/>
        </w:rPr>
        <w: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220" w:type="dxa"/>
            <w:vAlign w:val="bottom"/>
            <w:tcBorders>
              <w:bottom w:val="single" w:sz="8" w:color="CFF0FC"/>
            </w:tcBorders>
          </w:tcPr>
          <w:p>
            <w:pPr>
              <w:spacing w:after="0"/>
              <w:rPr>
                <w:sz w:val="24"/>
                <w:szCs w:val="24"/>
                <w:color w:val="auto"/>
              </w:rPr>
            </w:pPr>
          </w:p>
        </w:tc>
        <w:tc>
          <w:tcPr>
            <w:tcW w:w="250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Tax</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348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4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25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spacing w:after="0"/>
              <w:rPr>
                <w:sz w:val="19"/>
                <w:szCs w:val="19"/>
                <w:color w:val="auto"/>
              </w:rPr>
            </w:pPr>
          </w:p>
        </w:tc>
        <w:tc>
          <w:tcPr>
            <w:tcW w:w="348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24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bottom w:val="single" w:sz="8" w:color="CFF0FC"/>
            </w:tcBorders>
            <w:vMerge w:val="restart"/>
          </w:tcPr>
          <w:p>
            <w:pPr>
              <w:jc w:val="right"/>
              <w:ind w:right="831"/>
              <w:spacing w:after="0"/>
              <w:rPr>
                <w:sz w:val="20"/>
                <w:szCs w:val="20"/>
                <w:color w:val="auto"/>
              </w:rPr>
            </w:pPr>
            <w:r>
              <w:rPr>
                <w:rFonts w:ascii="Arial" w:cs="Arial" w:eastAsia="Arial" w:hAnsi="Arial"/>
                <w:sz w:val="18"/>
                <w:szCs w:val="18"/>
                <w:color w:val="auto"/>
              </w:rPr>
              <w:t>24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2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2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There were no charges or credits recorded during the second and third quarters of 2015.</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Debt</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7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w w:val="99"/>
              </w:rPr>
              <w:t>Nine Months ended Sept. 30,</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3,144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Pension and other postretirement benefits funding</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Increase in working capital</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(490)</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4,248</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SPM investments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(869)</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costs capitalized</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(497)</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(2)</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(1,951)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(662)</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(3,866)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Discontinued operations - settlement with U.S. Department of Justice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Arial" w:cs="Arial" w:eastAsia="Arial" w:hAnsi="Arial"/>
                <w:sz w:val="18"/>
                <w:szCs w:val="18"/>
                <w:color w:val="auto"/>
              </w:rPr>
              <w:t>(Increase) decrease in Net Debt</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(4,620)</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(5,547)</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Net Debt, End of period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tcPr>
          <w:p>
            <w:pPr>
              <w:spacing w:after="0"/>
              <w:rPr>
                <w:sz w:val="19"/>
                <w:szCs w:val="19"/>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(10,167)</w:t>
            </w:r>
          </w:p>
        </w:tc>
        <w:tc>
          <w:tcPr>
            <w:tcW w:w="280" w:type="dxa"/>
            <w:vAlign w:val="bottom"/>
            <w:vMerge w:val="continue"/>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hanging="514"/>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5"/>
          <w:szCs w:val="15"/>
          <w:color w:val="auto"/>
        </w:rPr>
        <w:t>Includes depreciation of property, plant and equipment and amortization of intangible assets, multiclient seismic data costs and SPM investments.</w:t>
      </w:r>
    </w:p>
    <w:p>
      <w:pPr>
        <w:spacing w:after="0" w:line="146" w:lineRule="exact"/>
        <w:rPr>
          <w:rFonts w:ascii="Arial" w:cs="Arial" w:eastAsia="Arial" w:hAnsi="Arial"/>
          <w:sz w:val="13"/>
          <w:szCs w:val="13"/>
          <w:color w:val="auto"/>
        </w:rPr>
      </w:pPr>
    </w:p>
    <w:p>
      <w:pPr>
        <w:jc w:val="both"/>
        <w:ind w:left="580" w:hanging="545"/>
        <w:spacing w:after="0" w:line="250" w:lineRule="auto"/>
        <w:tabs>
          <w:tab w:leader="none" w:pos="645" w:val="left"/>
        </w:tabs>
        <w:numPr>
          <w:ilvl w:val="1"/>
          <w:numId w:val="28"/>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1"/>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Sept.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Sept.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Net Debt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3,441</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Long-term debt – current portion</w:t>
            </w: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(1,951)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(17,538)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(14,442)</w:t>
            </w:r>
          </w:p>
        </w:tc>
        <w:tc>
          <w:tcPr>
            <w:tcW w:w="0" w:type="dxa"/>
            <w:vAlign w:val="bottom"/>
          </w:tcPr>
          <w:p>
            <w:pPr>
              <w:spacing w:after="0"/>
              <w:rPr>
                <w:sz w:val="1"/>
                <w:szCs w:val="1"/>
                <w:color w:val="auto"/>
              </w:rPr>
            </w:pPr>
          </w:p>
        </w:tc>
      </w:tr>
      <w:tr>
        <w:trPr>
          <w:trHeight w:val="20"/>
        </w:trPr>
        <w:tc>
          <w:tcPr>
            <w:tcW w:w="6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(10,167)</w:t>
            </w:r>
          </w:p>
        </w:tc>
        <w:tc>
          <w:tcPr>
            <w:tcW w:w="160" w:type="dxa"/>
            <w:vAlign w:val="bottom"/>
            <w:vMerge w:val="continue"/>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(5,204)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2016 and 2015 included:</w:t>
      </w:r>
    </w:p>
    <w:p>
      <w:pPr>
        <w:spacing w:after="0" w:line="218" w:lineRule="exact"/>
        <w:rPr>
          <w:sz w:val="20"/>
          <w:szCs w:val="20"/>
          <w:color w:val="auto"/>
        </w:rPr>
      </w:pPr>
    </w:p>
    <w:p>
      <w:pPr>
        <w:jc w:val="both"/>
        <w:ind w:left="1040" w:hanging="369"/>
        <w:spacing w:after="0" w:line="303"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Schlumberger paid $2.8 billion of cash in connection with the April 1, 2016 acquisition of Cameron. Additionally, as a result of the acquisition of Cameron, Schlumberger assumed net debt of $785 million. This amount consisted of $3.0 billion of debt (including a $244 million adjustment to increase Cameron’s long-term fixed rate debt to its estimated fair value) and $2.2 billion of cash and short-term investments.</w:t>
      </w:r>
    </w:p>
    <w:p>
      <w:pPr>
        <w:spacing w:after="0" w:line="47" w:lineRule="exact"/>
        <w:rPr>
          <w:rFonts w:ascii="Arial" w:cs="Arial" w:eastAsia="Arial" w:hAnsi="Arial"/>
          <w:sz w:val="16"/>
          <w:szCs w:val="16"/>
          <w:color w:val="auto"/>
        </w:rPr>
      </w:pPr>
    </w:p>
    <w:p>
      <w:pPr>
        <w:ind w:left="1040" w:hanging="369"/>
        <w:spacing w:after="0"/>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During the second quarter of 2016, Schlumberger repurchased approximately $1.4 billion of Cameron’s long-term fixed-rate debt.</w:t>
      </w:r>
    </w:p>
    <w:p>
      <w:pPr>
        <w:spacing w:after="0" w:line="218" w:lineRule="exact"/>
        <w:rPr>
          <w:rFonts w:ascii="Arial" w:cs="Arial" w:eastAsia="Arial" w:hAnsi="Arial"/>
          <w:sz w:val="18"/>
          <w:szCs w:val="18"/>
          <w:color w:val="auto"/>
        </w:rPr>
      </w:pPr>
    </w:p>
    <w:p>
      <w:pPr>
        <w:jc w:val="both"/>
        <w:ind w:left="1020" w:hanging="376"/>
        <w:spacing w:after="0" w:line="25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July 18, 2013, the Schlumberger Board of Directors (the “Board”) approved a $10 billion share repurchase program to be completed at the latest by June 30, 2018. Schlumberger had repurchased $9.2 billion of shares under this new share repurchase program as of September 30, 2016.</w:t>
      </w:r>
    </w:p>
    <w:p>
      <w:pPr>
        <w:spacing w:after="0" w:line="8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following table summarizes the activity under this share repurchase program:</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18"/>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Total cost</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Total number</w:t>
            </w: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Average price</w:t>
            </w:r>
          </w:p>
        </w:tc>
      </w:tr>
      <w:tr>
        <w:trPr>
          <w:trHeight w:val="213"/>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of shares</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of shares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paid per</w:t>
            </w:r>
          </w:p>
        </w:tc>
      </w:tr>
      <w:tr>
        <w:trPr>
          <w:trHeight w:val="215"/>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purchased</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purchased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84"/>
              </w:rPr>
              <w:t>share</w:t>
            </w:r>
          </w:p>
        </w:tc>
      </w:tr>
      <w:tr>
        <w:trPr>
          <w:trHeight w:val="222"/>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2016</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662</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69.64</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color w:val="auto"/>
              </w:rPr>
              <w:t>Nine months ended September 30, 2015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83.52</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ind w:left="1060" w:right="180"/>
        <w:spacing w:after="0" w:line="295" w:lineRule="auto"/>
        <w:rPr>
          <w:sz w:val="20"/>
          <w:szCs w:val="20"/>
          <w:color w:val="auto"/>
        </w:rPr>
      </w:pPr>
      <w:r>
        <w:rPr>
          <w:rFonts w:ascii="Arial" w:cs="Arial" w:eastAsia="Arial" w:hAnsi="Arial"/>
          <w:sz w:val="17"/>
          <w:szCs w:val="17"/>
          <w:color w:val="auto"/>
        </w:rPr>
        <w:t>On January 21, 2016, the Board approved a new $10 billion share repurchase program for Schlumberger common stock. The new program will take effect once the remaining $0.8 billion authorized to be repurchased under the July 18, 2013 program is exhausted.</w:t>
      </w:r>
    </w:p>
    <w:p>
      <w:pPr>
        <w:spacing w:after="0" w:line="197" w:lineRule="exact"/>
        <w:rPr>
          <w:sz w:val="20"/>
          <w:szCs w:val="20"/>
          <w:color w:val="auto"/>
        </w:rPr>
      </w:pPr>
    </w:p>
    <w:p>
      <w:pPr>
        <w:ind w:left="1020" w:hanging="363"/>
        <w:spacing w:after="0" w:line="295"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Capital expenditures were $1.4 billion during the first nine months of 2016 compared to $1.8 billion during the first nine months of 2015. Capital expenditures for full-year 2016 are expected to be approximately $2.0 billion as compared to expenditures of $2.4 billion in 2015.</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April 2016, Schlumberger announced that it would reduce its activity in Venezuela to align operations with cash collections as a result of insufficient payments received in recent quarters and a lack of progress in establishing new mechanisms that address past and future accounts receivable. Venezuela represented less than 5% of Schlumberger’s consolidated revenue for the year ended December 31, 2015.</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operates in more than 85 countries. At September 30, 2016, only five of those countries individually accounted for greater than 5% of Schlumberger’s accounts receivable balances, of which only two (the United States and Venezuela) accounted for greater than 10%. Schlumberger’s net receivable balance in Venezuela as of September 30, 2016 was approximately $1.2 billion.</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2016, Schlumberger had $10.8 billion of cash and short-term investments on hand. Schlumberger had separate committed debt facility agreements aggregating $6.8 billion with commercial banks, of which $3.8 billion was available and unused as of September 30, 2016. The $6.8 billion of committed debt facility agreements included $6.5 billion of committed facilities that support commercial paper programs. Schlumberger believes these amounts are sufficient to meet future business requirements for at least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September 30, 2016 were $3.0 billion.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0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Groups and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our future cash flows; the success of our transformation efforts;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third-quarter 2016 Form 10-Q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2015. Schlumberger’s exposure to market risk has not changed materially since December 31,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13—</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April 1, 2016, Schlumberger completed the acquisition of Cameron and therefore no longer faces risks associated with the ability to complete the Cameron merger. Except as described in the foregoing sentence, as of the date of this filing, there have been no material changes from the risk factors previously disclosed in Part 1, Item 1A, of Schlumberger’s Annual Report on Form 10-K for the fiscal year ended December 31, 2015.</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July 18, 2013, the Board approved a $10 billion share repurchase program for shares of Schlumberger common stock, to be completed at the latest by June 30,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September 30, 2016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2"/>
              </w:rPr>
              <w:t>(Stated in thousands, except per share amounts)</w:t>
            </w:r>
          </w:p>
        </w:tc>
      </w:tr>
      <w:tr>
        <w:trPr>
          <w:trHeight w:val="413"/>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4"/>
              </w:rPr>
              <w:t>shares purchased</w:t>
            </w:r>
          </w:p>
        </w:tc>
        <w:tc>
          <w:tcPr>
            <w:tcW w:w="24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w w:val="86"/>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7"/>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5"/>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under the</w:t>
            </w:r>
          </w:p>
        </w:tc>
      </w:tr>
      <w:tr>
        <w:trPr>
          <w:trHeight w:val="207"/>
        </w:trPr>
        <w:tc>
          <w:tcPr>
            <w:tcW w:w="588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shares purchased</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color w:val="auto"/>
                <w:w w:val="87"/>
              </w:rPr>
              <w:t>paid per share</w:t>
            </w:r>
          </w:p>
        </w:tc>
        <w:tc>
          <w:tcPr>
            <w:tcW w:w="2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program</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5"/>
              <w:spacing w:after="0"/>
              <w:rPr>
                <w:sz w:val="20"/>
                <w:szCs w:val="20"/>
                <w:color w:val="auto"/>
              </w:rPr>
            </w:pPr>
            <w:r>
              <w:rPr>
                <w:rFonts w:ascii="Arial" w:cs="Arial" w:eastAsia="Arial" w:hAnsi="Arial"/>
                <w:sz w:val="16"/>
                <w:szCs w:val="16"/>
                <w:color w:val="auto"/>
                <w:w w:val="90"/>
              </w:rPr>
              <w:t>program</w:t>
            </w:r>
          </w:p>
        </w:tc>
        <w:tc>
          <w:tcPr>
            <w:tcW w:w="100" w:type="dxa"/>
            <w:vAlign w:val="bottom"/>
            <w:tcBorders>
              <w:bottom w:val="single" w:sz="8" w:color="CFF0FC"/>
            </w:tcBorders>
          </w:tcPr>
          <w:p>
            <w:pPr>
              <w:spacing w:after="0"/>
              <w:rPr>
                <w:sz w:val="17"/>
                <w:szCs w:val="17"/>
                <w:color w:val="auto"/>
              </w:rPr>
            </w:pPr>
          </w:p>
        </w:tc>
      </w:tr>
      <w:tr>
        <w:trPr>
          <w:trHeight w:val="222"/>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July 1 through July 31, 2016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912,867</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August 1 through August 31, 2016</w:t>
            </w:r>
          </w:p>
        </w:tc>
        <w:tc>
          <w:tcPr>
            <w:tcW w:w="1160" w:type="dxa"/>
            <w:vAlign w:val="bottom"/>
          </w:tcPr>
          <w:p>
            <w:pPr>
              <w:jc w:val="right"/>
              <w:spacing w:after="0"/>
              <w:rPr>
                <w:sz w:val="20"/>
                <w:szCs w:val="20"/>
                <w:color w:val="auto"/>
              </w:rPr>
            </w:pPr>
            <w:r>
              <w:rPr>
                <w:rFonts w:ascii="Arial" w:cs="Arial" w:eastAsia="Arial" w:hAnsi="Arial"/>
                <w:sz w:val="18"/>
                <w:szCs w:val="18"/>
                <w:color w:val="auto"/>
              </w:rPr>
              <w:t>238.6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78.83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894,057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September 1 through September 30, 2016</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76.70</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761,532</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2,017.0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77.02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2,017.0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January 21, 2016, the Board approved a new $10 billion share repurchase program for Schlumberger common stock. This new program will take effect once the remaining $0.8 billion authorized to be repurchased under the July 18, 2013 program is exhausted.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completed the wind down of its service operations in Iran during 2013. Prior to this, certain non-US subsidiaries of Schlumberger provided oilfield services to the National Iranian Oil Company and certain of its affiliates (“NIOC”).</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Schlumberger’s residual transactions or dealings with the government of Iran in the third quarter of 2016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3.1 to Schlumberger’s Current Report on Form 8-K filed on April 6, 2016)</w:t>
      </w:r>
    </w:p>
    <w:p>
      <w:pPr>
        <w:spacing w:after="0" w:line="86" w:lineRule="exact"/>
        <w:rPr>
          <w:sz w:val="20"/>
          <w:szCs w:val="20"/>
          <w:color w:val="auto"/>
        </w:rPr>
      </w:pPr>
    </w:p>
    <w:p>
      <w:pPr>
        <w:ind w:left="440" w:right="80"/>
        <w:spacing w:after="0" w:line="266"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May 14, 2015)</w:t>
      </w:r>
    </w:p>
    <w:p>
      <w:pPr>
        <w:spacing w:after="0" w:line="86" w:lineRule="exact"/>
        <w:rPr>
          <w:sz w:val="20"/>
          <w:szCs w:val="20"/>
          <w:color w:val="auto"/>
        </w:rPr>
      </w:pPr>
    </w:p>
    <w:p>
      <w:pPr>
        <w:ind w:left="440" w:right="380"/>
        <w:spacing w:after="0" w:line="266" w:lineRule="auto"/>
        <w:tabs>
          <w:tab w:leader="none" w:pos="5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86" w:lineRule="exact"/>
        <w:rPr>
          <w:rFonts w:ascii="Arial" w:cs="Arial" w:eastAsia="Arial" w:hAnsi="Arial"/>
          <w:sz w:val="18"/>
          <w:szCs w:val="18"/>
          <w:color w:val="auto"/>
        </w:rPr>
      </w:pPr>
    </w:p>
    <w:p>
      <w:pPr>
        <w:ind w:left="440" w:right="440"/>
        <w:spacing w:after="0" w:line="266" w:lineRule="auto"/>
        <w:tabs>
          <w:tab w:leader="none" w:pos="5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86" w:lineRule="exact"/>
        <w:rPr>
          <w:sz w:val="20"/>
          <w:szCs w:val="20"/>
          <w:color w:val="auto"/>
        </w:rPr>
      </w:pPr>
    </w:p>
    <w:p>
      <w:pPr>
        <w:ind w:left="440" w:right="100"/>
        <w:spacing w:after="0" w:line="266" w:lineRule="auto"/>
        <w:tabs>
          <w:tab w:leader="none" w:pos="6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86" w:lineRule="exact"/>
        <w:rPr>
          <w:rFonts w:ascii="Arial" w:cs="Arial" w:eastAsia="Arial" w:hAnsi="Arial"/>
          <w:sz w:val="18"/>
          <w:szCs w:val="18"/>
          <w:color w:val="auto"/>
        </w:rPr>
      </w:pPr>
    </w:p>
    <w:p>
      <w:pPr>
        <w:ind w:left="440" w:right="140"/>
        <w:spacing w:after="0" w:line="266" w:lineRule="auto"/>
        <w:tabs>
          <w:tab w:leader="none" w:pos="6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Sarbanes-Oxley Act of 2002</w:t>
      </w:r>
    </w:p>
    <w:p>
      <w:pPr>
        <w:spacing w:after="0" w:line="86" w:lineRule="exact"/>
        <w:rPr>
          <w:sz w:val="20"/>
          <w:szCs w:val="20"/>
          <w:color w:val="auto"/>
        </w:rPr>
      </w:pPr>
    </w:p>
    <w:p>
      <w:pPr>
        <w:ind w:left="580" w:hanging="140"/>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25" w:lineRule="exact"/>
        <w:rPr>
          <w:rFonts w:ascii="Arial" w:cs="Arial" w:eastAsia="Arial" w:hAnsi="Arial"/>
          <w:sz w:val="18"/>
          <w:szCs w:val="18"/>
          <w:color w:val="auto"/>
        </w:rPr>
      </w:pPr>
    </w:p>
    <w:p>
      <w:pPr>
        <w:ind w:left="440" w:right="320"/>
        <w:spacing w:after="0" w:line="253" w:lineRule="auto"/>
        <w:tabs>
          <w:tab w:leader="none" w:pos="5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September 30, 2016,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97" w:lineRule="exact"/>
        <w:rPr>
          <w:rFonts w:ascii="Arial" w:cs="Arial" w:eastAsia="Arial" w:hAnsi="Arial"/>
          <w:sz w:val="18"/>
          <w:szCs w:val="18"/>
          <w:color w:val="auto"/>
        </w:rPr>
      </w:pPr>
    </w:p>
    <w:p>
      <w:pPr>
        <w:ind w:left="580" w:hanging="140"/>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9" w:name="page30"/>
    <w:bookmarkEnd w:id="29"/>
    <w:p>
      <w:pPr>
        <w:jc w:val="center"/>
        <w:ind w:right="-399"/>
        <w:spacing w:after="0"/>
        <w:rPr>
          <w:sz w:val="20"/>
          <w:szCs w:val="20"/>
          <w:color w:val="auto"/>
        </w:rPr>
      </w:pPr>
      <w:r>
        <w:rPr>
          <w:rFonts w:ascii="Arial" w:cs="Arial" w:eastAsia="Arial" w:hAnsi="Arial"/>
          <w:sz w:val="18"/>
          <w:szCs w:val="18"/>
          <w:color w:val="auto"/>
        </w:rPr>
        <w:t>SIGNATURE</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spacing w:after="0"/>
        <w:tabs>
          <w:tab w:leader="none" w:pos="7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2016</w:t>
      </w:r>
      <w:r>
        <w:rPr>
          <w:sz w:val="20"/>
          <w:szCs w:val="20"/>
          <w:color w:val="auto"/>
        </w:rPr>
        <w:tab/>
      </w:r>
      <w:r>
        <w:rPr>
          <w:rFonts w:ascii="Arial" w:cs="Arial" w:eastAsia="Arial" w:hAnsi="Arial"/>
          <w:sz w:val="16"/>
          <w:szCs w:val="16"/>
          <w:color w:val="auto"/>
        </w:rPr>
        <w:t>/s/ Howard Guild</w:t>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-100965</wp:posOffset>
            </wp:positionV>
            <wp:extent cx="29114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240" w:top="127" w:right="6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Date: October 26, 2016</w:t>
            </w:r>
          </w:p>
        </w:tc>
        <w:tc>
          <w:tcPr>
            <w:tcW w:w="7160" w:type="dxa"/>
            <w:vAlign w:val="bottom"/>
            <w:gridSpan w:val="2"/>
          </w:tcPr>
          <w:p>
            <w:pPr>
              <w:ind w:left="2600"/>
              <w:spacing w:after="0"/>
              <w:rPr>
                <w:sz w:val="20"/>
                <w:szCs w:val="20"/>
                <w:color w:val="auto"/>
              </w:rPr>
            </w:pPr>
            <w:r>
              <w:rPr>
                <w:rFonts w:ascii="Arial" w:cs="Arial" w:eastAsia="Arial" w:hAnsi="Arial"/>
                <w:sz w:val="18"/>
                <w:szCs w:val="18"/>
                <w:color w:val="auto"/>
              </w:rPr>
              <w:t>/s/ Paal Kibsgaard</w:t>
            </w:r>
          </w:p>
        </w:tc>
      </w:tr>
      <w:tr>
        <w:trPr>
          <w:trHeight w:val="194"/>
        </w:trPr>
        <w:tc>
          <w:tcPr>
            <w:tcW w:w="4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5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4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October 26, 2016</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19685</wp:posOffset>
            </wp:positionV>
            <wp:extent cx="29025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Simon Ayat</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September 30, 2016 as filed with the Securities and Exchange Commission on the date hereof (the “Report”), I, Paal Kibsgaard, Chief Executive Officer of the Company, certify, pursuant to 18 U.S.C. § 1350, as adopted pursuant to § 906 of the Sarbanes-Oxley Act of 2002, that:</w:t>
      </w:r>
    </w:p>
    <w:p>
      <w:pPr>
        <w:spacing w:after="0" w:line="82" w:lineRule="exact"/>
        <w:rPr>
          <w:sz w:val="20"/>
          <w:szCs w:val="20"/>
          <w:color w:val="auto"/>
        </w:rPr>
      </w:pPr>
    </w:p>
    <w:p>
      <w:pPr>
        <w:ind w:left="1020" w:hanging="509"/>
        <w:spacing w:after="0" w:line="26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Date: October 26, 2016</w:t>
            </w:r>
          </w:p>
        </w:tc>
        <w:tc>
          <w:tcPr>
            <w:tcW w:w="4860" w:type="dxa"/>
            <w:vAlign w:val="bottom"/>
            <w:gridSpan w:val="2"/>
          </w:tcPr>
          <w:p>
            <w:pPr>
              <w:ind w:left="1840"/>
              <w:spacing w:after="0"/>
              <w:rPr>
                <w:sz w:val="20"/>
                <w:szCs w:val="20"/>
                <w:color w:val="auto"/>
              </w:rPr>
            </w:pPr>
            <w:r>
              <w:rPr>
                <w:rFonts w:ascii="Arial" w:cs="Arial" w:eastAsia="Arial" w:hAnsi="Arial"/>
                <w:sz w:val="18"/>
                <w:szCs w:val="18"/>
                <w:color w:val="auto"/>
              </w:rPr>
              <w:t>/s/ Paal Kibsgaard</w:t>
            </w:r>
          </w:p>
        </w:tc>
      </w:tr>
      <w:tr>
        <w:trPr>
          <w:trHeight w:val="194"/>
        </w:trPr>
        <w:tc>
          <w:tcPr>
            <w:tcW w:w="3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3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2016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47" w:lineRule="exact"/>
        <w:rPr>
          <w:sz w:val="20"/>
          <w:szCs w:val="20"/>
          <w:color w:val="auto"/>
        </w:rPr>
      </w:pPr>
    </w:p>
    <w:p>
      <w:pPr>
        <w:ind w:left="1020" w:hanging="509"/>
        <w:spacing w:after="0" w:line="26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Date: October 26, 2016</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24"/>
        </w:trPr>
        <w:tc>
          <w:tcPr>
            <w:tcW w:w="54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00" w:lineRule="exact"/>
        <w:rPr>
          <w:sz w:val="20"/>
          <w:szCs w:val="20"/>
          <w:color w:val="auto"/>
        </w:rPr>
      </w:pPr>
    </w:p>
    <w:p>
      <w:pPr>
        <w:spacing w:after="0" w:line="370"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8" w:lineRule="exact"/>
        <w:rPr>
          <w:sz w:val="20"/>
          <w:szCs w:val="20"/>
          <w:color w:val="auto"/>
        </w:rPr>
      </w:pPr>
    </w:p>
    <w:p>
      <w:pPr>
        <w:ind w:right="20" w:firstLine="518"/>
        <w:spacing w:after="0" w:line="278"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September 30, 2016. Due to timing and other factors, the data may not agree with the mine data retrieval system maintained by the MSHA at www.MSHA.gov.</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7"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5"/>
              </w:rPr>
              <w:t>Received</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rPr>
              <w:t>Notice of</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2"/>
              </w:rPr>
              <w:t>Pattern of</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3"/>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9"/>
              </w:rPr>
              <w:t>Violations</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1"/>
              </w:rPr>
              <w:t>Have Pattern</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7"/>
              </w:rPr>
              <w:t>Under</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Under</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center"/>
              <w:ind w:left="18"/>
              <w:spacing w:after="0" w:line="133" w:lineRule="exact"/>
              <w:rPr>
                <w:sz w:val="20"/>
                <w:szCs w:val="20"/>
                <w:color w:val="auto"/>
              </w:rPr>
            </w:pPr>
            <w:r>
              <w:rPr>
                <w:rFonts w:ascii="Arial" w:cs="Arial" w:eastAsia="Arial" w:hAnsi="Arial"/>
                <w:sz w:val="12"/>
                <w:szCs w:val="12"/>
                <w:color w:val="auto"/>
                <w:w w:val="94"/>
              </w:rPr>
              <w:t>Section 104(d)</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rPr>
              <w:t>Mining</w:t>
            </w: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89"/>
              </w:rPr>
              <w:t>Section</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89"/>
              </w:rPr>
              <w:t>Pending as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78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0" w:type="dxa"/>
            <w:vAlign w:val="bottom"/>
          </w:tcPr>
          <w:p>
            <w:pPr>
              <w:spacing w:after="0"/>
              <w:rPr>
                <w:sz w:val="1"/>
                <w:szCs w:val="1"/>
                <w:color w:val="auto"/>
              </w:rPr>
            </w:pPr>
          </w:p>
        </w:tc>
      </w:tr>
      <w:tr>
        <w:trPr>
          <w:trHeight w:val="133"/>
        </w:trPr>
        <w:tc>
          <w:tcPr>
            <w:tcW w:w="1900" w:type="dxa"/>
            <w:vAlign w:val="bottom"/>
          </w:tcPr>
          <w:p>
            <w:pPr>
              <w:spacing w:after="0" w:line="133" w:lineRule="exact"/>
              <w:rPr>
                <w:sz w:val="20"/>
                <w:szCs w:val="20"/>
                <w:color w:val="auto"/>
              </w:rPr>
            </w:pPr>
            <w:r>
              <w:rPr>
                <w:rFonts w:ascii="Arial" w:cs="Arial" w:eastAsia="Arial" w:hAnsi="Arial"/>
                <w:sz w:val="12"/>
                <w:szCs w:val="12"/>
                <w:color w:val="auto"/>
              </w:rPr>
              <w:t>Mine or Operating Name/MSHA</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 104</w:t>
            </w:r>
          </w:p>
        </w:tc>
        <w:tc>
          <w:tcPr>
            <w:tcW w:w="3020" w:type="dxa"/>
            <w:vAlign w:val="bottom"/>
            <w:gridSpan w:val="4"/>
          </w:tcPr>
          <w:p>
            <w:pPr>
              <w:ind w:left="20"/>
              <w:spacing w:after="0" w:line="133" w:lineRule="exact"/>
              <w:rPr>
                <w:sz w:val="20"/>
                <w:szCs w:val="20"/>
                <w:color w:val="auto"/>
              </w:rPr>
            </w:pPr>
            <w:r>
              <w:rPr>
                <w:rFonts w:ascii="Arial" w:cs="Arial" w:eastAsia="Arial" w:hAnsi="Arial"/>
                <w:sz w:val="12"/>
                <w:szCs w:val="12"/>
                <w:color w:val="auto"/>
                <w:w w:val="94"/>
              </w:rPr>
              <w:t>Section 104(b) Citations and Section 110(b) Section 107(a)</w:t>
            </w:r>
          </w:p>
        </w:tc>
        <w:tc>
          <w:tcPr>
            <w:tcW w:w="980" w:type="dxa"/>
            <w:vAlign w:val="bottom"/>
          </w:tcPr>
          <w:p>
            <w:pPr>
              <w:jc w:val="center"/>
              <w:spacing w:after="0" w:line="133" w:lineRule="exact"/>
              <w:rPr>
                <w:sz w:val="20"/>
                <w:szCs w:val="20"/>
                <w:color w:val="auto"/>
              </w:rPr>
            </w:pPr>
            <w:r>
              <w:rPr>
                <w:rFonts w:ascii="Arial" w:cs="Arial" w:eastAsia="Arial" w:hAnsi="Arial"/>
                <w:sz w:val="12"/>
                <w:szCs w:val="12"/>
                <w:color w:val="auto"/>
                <w:w w:val="93"/>
              </w:rPr>
              <w:t>Proposed MSHA</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w w:val="91"/>
              </w:rPr>
              <w:t>Related</w:t>
            </w: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5"/>
              </w:rPr>
              <w:t>Last Day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9"/>
              </w:rPr>
              <w:t>Initiated During</w:t>
            </w:r>
          </w:p>
        </w:tc>
        <w:tc>
          <w:tcPr>
            <w:tcW w:w="780" w:type="dxa"/>
            <w:vAlign w:val="bottom"/>
          </w:tcPr>
          <w:p>
            <w:pPr>
              <w:jc w:val="center"/>
              <w:spacing w:after="0" w:line="133" w:lineRule="exact"/>
              <w:rPr>
                <w:sz w:val="20"/>
                <w:szCs w:val="20"/>
                <w:color w:val="auto"/>
              </w:rPr>
            </w:pPr>
            <w:r>
              <w:rPr>
                <w:rFonts w:ascii="Arial" w:cs="Arial" w:eastAsia="Arial" w:hAnsi="Arial"/>
                <w:sz w:val="12"/>
                <w:szCs w:val="12"/>
                <w:color w:val="auto"/>
                <w:w w:val="91"/>
              </w:rPr>
              <w:t>Resolved</w:t>
            </w:r>
          </w:p>
        </w:tc>
        <w:tc>
          <w:tcPr>
            <w:tcW w:w="0" w:type="dxa"/>
            <w:vAlign w:val="bottom"/>
          </w:tcPr>
          <w:p>
            <w:pPr>
              <w:spacing w:after="0"/>
              <w:rPr>
                <w:sz w:val="1"/>
                <w:szCs w:val="1"/>
                <w:color w:val="auto"/>
              </w:rPr>
            </w:pPr>
          </w:p>
        </w:tc>
      </w:tr>
      <w:tr>
        <w:trPr>
          <w:trHeight w:val="147"/>
        </w:trPr>
        <w:tc>
          <w:tcPr>
            <w:tcW w:w="1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S&amp;S Citations</w:t>
            </w:r>
          </w:p>
        </w:tc>
        <w:tc>
          <w:tcPr>
            <w:tcW w:w="66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color w:val="auto"/>
                <w:w w:val="92"/>
              </w:rPr>
              <w:t>Orders</w:t>
            </w:r>
          </w:p>
        </w:tc>
        <w:tc>
          <w:tcPr>
            <w:tcW w:w="86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Orders</w:t>
            </w: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color w:val="auto"/>
                <w:w w:val="97"/>
              </w:rPr>
              <w:t>(2) Violations</w:t>
            </w: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color w:val="auto"/>
                <w:w w:val="92"/>
              </w:rPr>
              <w:t>Orders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Assessments</w:t>
            </w:r>
            <w:r>
              <w:rPr>
                <w:rFonts w:ascii="Arial" w:cs="Arial" w:eastAsia="Arial" w:hAnsi="Arial"/>
                <w:sz w:val="10"/>
                <w:szCs w:val="10"/>
                <w:color w:val="auto"/>
                <w:w w:val="90"/>
              </w:rPr>
              <w:t>(1)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Fatalities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During Period</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Arial" w:cs="Arial" w:eastAsia="Arial" w:hAnsi="Arial"/>
                <w:sz w:val="12"/>
                <w:szCs w:val="12"/>
                <w:color w:val="auto"/>
              </w:rPr>
              <w:t>Battle Mountain Grinding</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Plant/2600828</w:t>
            </w: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89"/>
              </w:rPr>
              <w:t>$241</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1900" w:type="dxa"/>
            <w:vAlign w:val="bottom"/>
          </w:tcPr>
          <w:p>
            <w:pPr>
              <w:spacing w:after="0"/>
              <w:rPr>
                <w:sz w:val="20"/>
                <w:szCs w:val="20"/>
                <w:color w:val="auto"/>
              </w:rPr>
            </w:pPr>
            <w:r>
              <w:rPr>
                <w:rFonts w:ascii="Arial" w:cs="Arial" w:eastAsia="Arial" w:hAnsi="Arial"/>
                <w:sz w:val="12"/>
                <w:szCs w:val="12"/>
                <w:color w:val="auto"/>
                <w:w w:val="99"/>
              </w:rPr>
              <w:t>Greybull Milling Operation/4800602</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$228</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99"/>
        </w:trPr>
        <w:tc>
          <w:tcPr>
            <w:tcW w:w="1900" w:type="dxa"/>
            <w:vAlign w:val="bottom"/>
          </w:tcPr>
          <w:p>
            <w:pPr>
              <w:spacing w:after="0"/>
              <w:rPr>
                <w:sz w:val="20"/>
                <w:szCs w:val="20"/>
                <w:color w:val="auto"/>
              </w:rPr>
            </w:pPr>
            <w:r>
              <w:rPr>
                <w:rFonts w:ascii="Arial" w:cs="Arial" w:eastAsia="Arial" w:hAnsi="Arial"/>
                <w:sz w:val="12"/>
                <w:szCs w:val="12"/>
                <w:color w:val="auto"/>
                <w:w w:val="99"/>
              </w:rPr>
              <w:t>Greybull Mining Operation/4800603</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46"/>
        </w:trPr>
        <w:tc>
          <w:tcPr>
            <w:tcW w:w="1900" w:type="dxa"/>
            <w:vAlign w:val="bottom"/>
          </w:tcPr>
          <w:p>
            <w:pPr>
              <w:spacing w:after="0"/>
              <w:rPr>
                <w:sz w:val="20"/>
                <w:szCs w:val="20"/>
                <w:color w:val="auto"/>
              </w:rPr>
            </w:pPr>
            <w:r>
              <w:rPr>
                <w:rFonts w:ascii="Arial" w:cs="Arial" w:eastAsia="Arial" w:hAnsi="Arial"/>
                <w:sz w:val="12"/>
                <w:szCs w:val="12"/>
                <w:color w:val="auto"/>
              </w:rPr>
              <w:t>Greystone Mine/2600411</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rPr>
              <w:t>$0*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80" w:right="60" w:hanging="474"/>
        <w:spacing w:after="0" w:line="253"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included are the total dollar value of proposed assessments received from MSHA on or before September 30, 2016,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September 30, 2016, MSHA had not yet proposed an assessment for one S&amp;S citation at Greystone Mine/2600411.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lvl w:ilvl="1">
      <w:lvlJc w:val="left"/>
      <w:lvlText w:val="•"/>
      <w:numFmt w:val="bullet"/>
      <w:start w:val="1"/>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1."/>
      <w:numFmt w:val="decimal"/>
      <w:start w:val="4"/>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5"/>
    </w:lvl>
  </w:abstractNum>
  <w:abstractNum w:abstractNumId="12">
    <w:nsid w:val="4353D0CD"/>
    <w:multiLevelType w:val="hybridMultilevel"/>
    <w:lvl w:ilvl="0">
      <w:lvlJc w:val="left"/>
      <w:lvlText w:val="%1."/>
      <w:numFmt w:val="decimal"/>
      <w:start w:val="6"/>
    </w:lvl>
  </w:abstractNum>
  <w:abstractNum w:abstractNumId="13">
    <w:nsid w:val="B03E0C6"/>
    <w:multiLevelType w:val="hybridMultilevel"/>
    <w:lvl w:ilvl="0">
      <w:lvlJc w:val="left"/>
      <w:lvlText w:val="%1."/>
      <w:numFmt w:val="decimal"/>
      <w:start w:val="7"/>
    </w:lvl>
  </w:abstractNum>
  <w:abstractNum w:abstractNumId="14">
    <w:nsid w:val="189A769B"/>
    <w:multiLevelType w:val="hybridMultilevel"/>
    <w:lvl w:ilvl="0">
      <w:lvlJc w:val="left"/>
      <w:lvlText w:val="%1."/>
      <w:numFmt w:val="decimal"/>
      <w:start w:val="8"/>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9"/>
    </w:lvl>
  </w:abstractNum>
  <w:abstractNum w:abstractNumId="18">
    <w:nsid w:val="836C40E"/>
    <w:multiLevelType w:val="hybridMultilevel"/>
    <w:lvl w:ilvl="0">
      <w:lvlJc w:val="left"/>
      <w:lvlText w:val="%1."/>
      <w:numFmt w:val="decimal"/>
      <w:start w:val="10"/>
    </w:lvl>
  </w:abstractNum>
  <w:abstractNum w:abstractNumId="19">
    <w:nsid w:val="2901D82"/>
    <w:multiLevelType w:val="hybridMultilevel"/>
    <w:lvl w:ilvl="0">
      <w:lvlJc w:val="left"/>
      <w:lvlText w:val="%1."/>
      <w:numFmt w:val="decimal"/>
      <w:start w:val="11"/>
    </w:lvl>
  </w:abstractNum>
  <w:abstractNum w:abstractNumId="20">
    <w:nsid w:val="3A95F874"/>
    <w:multiLevelType w:val="hybridMultilevel"/>
    <w:lvl w:ilvl="0">
      <w:lvlJc w:val="left"/>
      <w:lvlText w:val="%1."/>
      <w:numFmt w:val="decimal"/>
      <w:start w:val="12"/>
    </w:lvl>
  </w:abstractNum>
  <w:abstractNum w:abstractNumId="21">
    <w:nsid w:val="8138641"/>
    <w:multiLevelType w:val="hybridMultilevel"/>
    <w:lvl w:ilvl="0">
      <w:lvlJc w:val="left"/>
      <w:lvlText w:val="%1."/>
      <w:numFmt w:val="decimal"/>
      <w:start w:val="13"/>
    </w:lvl>
  </w:abstractNum>
  <w:abstractNum w:abstractNumId="22">
    <w:nsid w:val="1E7FF521"/>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3">
    <w:nsid w:val="7C3DBD3D"/>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4">
    <w:nsid w:val="737B8DDC"/>
    <w:multiLevelType w:val="hybridMultilevel"/>
    <w:lvl w:ilvl="0">
      <w:lvlJc w:val="left"/>
      <w:lvlText w:val="%1."/>
      <w:numFmt w:val="decimal"/>
      <w:start w:val="15"/>
    </w:lvl>
  </w:abstractNum>
  <w:abstractNum w:abstractNumId="25">
    <w:nsid w:val="6CEAF087"/>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6">
    <w:nsid w:val="22221A70"/>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7">
    <w:nsid w:val="4516DDE9"/>
    <w:multiLevelType w:val="hybridMultilevel"/>
    <w:lvl w:ilvl="0">
      <w:lvlJc w:val="left"/>
      <w:lvlText w:val="(%1)"/>
      <w:numFmt w:val="decimal"/>
      <w:start w:val="1"/>
    </w:lvl>
    <w:lvl w:ilvl="1">
      <w:lvlJc w:val="left"/>
      <w:lvlText w:val="(%2)"/>
      <w:numFmt w:val="decimal"/>
      <w:start w:val="2"/>
    </w:lvl>
  </w:abstractNum>
  <w:abstractNum w:abstractNumId="28">
    <w:nsid w:val="3006C83E"/>
    <w:multiLevelType w:val="hybridMultilevel"/>
    <w:lvl w:ilvl="0">
      <w:lvlJc w:val="left"/>
      <w:lvlText w:val="•"/>
      <w:numFmt w:val="bullet"/>
      <w:start w:val="1"/>
    </w:lvl>
    <w:lvl w:ilvl="1">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2019-12-29T10:44:25Z</dcterms:created>
  <dcterms:modified xsi:type="dcterms:W3CDTF">2019-12-29T10:44:25Z</dcterms:modified>
</cp:coreProperties>
</file>