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w:t>
      </w:r>
    </w:p>
    <w:p>
      <w:pPr>
        <w:jc w:val="center"/>
        <w:ind w:right="-4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880"/>
        <w:spacing w:after="0"/>
        <w:rPr>
          <w:sz w:val="20"/>
          <w:szCs w:val="20"/>
          <w:color w:val="auto"/>
        </w:rPr>
      </w:pPr>
      <w:r>
        <w:rPr>
          <w:rFonts w:ascii="Arial" w:cs="Arial" w:eastAsia="Arial" w:hAnsi="Arial"/>
          <w:sz w:val="22"/>
          <w:szCs w:val="22"/>
          <w:b w:val="1"/>
          <w:bCs w:val="1"/>
          <w:color w:val="auto"/>
        </w:rPr>
        <w:t>Date of Report (Date of earliest event reported): April 9,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419"/>
        <w:spacing w:after="0"/>
        <w:rPr>
          <w:sz w:val="20"/>
          <w:szCs w:val="20"/>
          <w:color w:val="auto"/>
        </w:rPr>
      </w:pPr>
      <w:r>
        <w:rPr>
          <w:rFonts w:ascii="Arial" w:cs="Arial" w:eastAsia="Arial" w:hAnsi="Arial"/>
          <w:sz w:val="36"/>
          <w:szCs w:val="36"/>
          <w:b w:val="1"/>
          <w:bCs w:val="1"/>
          <w:color w:val="auto"/>
        </w:rPr>
        <w:t>SCHLUMBERGER N.V. (SCHLUMBERGER LIMITED)</w:t>
      </w:r>
    </w:p>
    <w:p>
      <w:pPr>
        <w:spacing w:after="0" w:line="45"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1860"/>
          </w:cols>
          <w:pgMar w:left="240" w:top="368" w:right="63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860"/>
        <w:spacing w:after="0"/>
        <w:rPr>
          <w:sz w:val="20"/>
          <w:szCs w:val="20"/>
          <w:color w:val="auto"/>
        </w:rPr>
      </w:pPr>
      <w:r>
        <w:rPr>
          <w:rFonts w:ascii="Arial" w:cs="Arial" w:eastAsia="Arial" w:hAnsi="Arial"/>
          <w:sz w:val="14"/>
          <w:szCs w:val="14"/>
          <w:b w:val="1"/>
          <w:bCs w:val="1"/>
          <w:color w:val="auto"/>
        </w:rPr>
        <w:t>(IRS Employer</w:t>
      </w:r>
    </w:p>
    <w:p>
      <w:pPr>
        <w:jc w:val="center"/>
        <w:ind w:right="8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980"/>
          </w:cols>
          <w:pgMar w:left="240" w:top="368" w:right="639" w:bottom="1440" w:gutter="0" w:footer="0" w:header="0"/>
          <w:type w:val="continuous"/>
        </w:sectPr>
      </w:pPr>
    </w:p>
    <w:p>
      <w:pPr>
        <w:spacing w:after="0" w:line="6"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25" w:lineRule="exact"/>
        <w:rPr>
          <w:sz w:val="24"/>
          <w:szCs w:val="24"/>
          <w:color w:val="auto"/>
        </w:rPr>
      </w:pPr>
    </w:p>
    <w:p>
      <w:pPr>
        <w:ind w:left="374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368" w:right="639" w:bottom="1440" w:gutter="0" w:footer="0" w:header="0"/>
          <w:type w:val="continuous"/>
        </w:sectPr>
      </w:pPr>
    </w:p>
    <w:p>
      <w:pPr>
        <w:spacing w:after="0" w:line="215"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375-3400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 Submission of Matters to a Vote of Security Holders.</w:t>
      </w:r>
    </w:p>
    <w:p>
      <w:pPr>
        <w:spacing w:after="0" w:line="12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2014 Annual General Meeting of Stockholders (the “Annual Meeting”) of Schlumberger Limited (Schlumberger N.V.), a Curaçao corporation (“Schlumberger”), was held on April 9, 2014. At the Annual Meeting, the stockholders of Schlumberger:</w:t>
      </w:r>
    </w:p>
    <w:p>
      <w:pPr>
        <w:spacing w:after="0" w:line="76"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1—elected all 11 director nominees;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2—approved, on an advisory basis, Schlumberger’s executive compensation;</w:t>
      </w:r>
    </w:p>
    <w:p>
      <w:pPr>
        <w:spacing w:after="0" w:line="130" w:lineRule="exact"/>
        <w:rPr>
          <w:rFonts w:ascii="Arial" w:cs="Arial" w:eastAsia="Arial" w:hAnsi="Arial"/>
          <w:sz w:val="18"/>
          <w:szCs w:val="18"/>
          <w:color w:val="auto"/>
        </w:rPr>
      </w:pPr>
    </w:p>
    <w:p>
      <w:pPr>
        <w:jc w:val="both"/>
        <w:ind w:left="900" w:right="460" w:hanging="325"/>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3—approved Schlumberger’s Consolidated Balance Sheet as at December 31, 2013, its Consolidated Statement of Income for the year ended December 31, 2013, and the declarations of dividends by the Board of Directors in 2013 as reflected in Schlumberger’s 2013 Annual Report to Stockholders; and</w:t>
      </w:r>
    </w:p>
    <w:p>
      <w:pPr>
        <w:spacing w:after="0" w:line="86"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4—approved the appointment of PricewaterhouseCoopers LLP as the independent registered public accounting firm to audit the accounts of Schlumberger for 2014.</w:t>
      </w:r>
    </w:p>
    <w:p>
      <w:pPr>
        <w:spacing w:after="0" w:line="170"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The proposals are described in detail in Schlumberger’s definitive proxy statement for the Annual Meeting, which was filed with the SEC on February 12, 2014 (the “Definitive Proxy Statement”).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results are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1—Election of Directors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director nominees were elected at the Annual Meeting.</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1360" w:type="dxa"/>
            <w:vAlign w:val="bottom"/>
            <w:gridSpan w:val="2"/>
          </w:tcPr>
          <w:p>
            <w:pPr>
              <w:ind w:left="360"/>
              <w:spacing w:after="0"/>
              <w:rPr>
                <w:sz w:val="20"/>
                <w:szCs w:val="20"/>
                <w:color w:val="auto"/>
              </w:rPr>
            </w:pPr>
            <w:r>
              <w:rPr>
                <w:rFonts w:ascii="Arial" w:cs="Arial" w:eastAsia="Arial" w:hAnsi="Arial"/>
                <w:sz w:val="14"/>
                <w:szCs w:val="14"/>
                <w:b w:val="1"/>
                <w:bCs w:val="1"/>
                <w:color w:val="auto"/>
              </w:rPr>
              <w:t>For</w:t>
            </w: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Against</w:t>
            </w: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Abstain</w:t>
            </w:r>
          </w:p>
        </w:tc>
        <w:tc>
          <w:tcPr>
            <w:tcW w:w="11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Broker Non-votes</w:t>
            </w: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Peter L.S. Currie</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957,172,566</w:t>
            </w:r>
          </w:p>
        </w:tc>
        <w:tc>
          <w:tcPr>
            <w:tcW w:w="4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1,087,442</w:t>
            </w:r>
          </w:p>
        </w:tc>
        <w:tc>
          <w:tcPr>
            <w:tcW w:w="4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2,533,485</w:t>
            </w:r>
          </w:p>
        </w:tc>
        <w:tc>
          <w:tcPr>
            <w:tcW w:w="4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94,994,193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Tony Isaac</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950,910,874</w:t>
            </w:r>
          </w:p>
        </w:tc>
        <w:tc>
          <w:tcPr>
            <w:tcW w:w="4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7,359,589</w:t>
            </w:r>
          </w:p>
        </w:tc>
        <w:tc>
          <w:tcPr>
            <w:tcW w:w="1200" w:type="dxa"/>
            <w:vAlign w:val="bottom"/>
            <w:gridSpan w:val="2"/>
          </w:tcPr>
          <w:p>
            <w:pPr>
              <w:ind w:left="60"/>
              <w:spacing w:after="0"/>
              <w:rPr>
                <w:sz w:val="20"/>
                <w:szCs w:val="20"/>
                <w:color w:val="auto"/>
              </w:rPr>
            </w:pPr>
            <w:r>
              <w:rPr>
                <w:rFonts w:ascii="Arial" w:cs="Arial" w:eastAsia="Arial" w:hAnsi="Arial"/>
                <w:sz w:val="18"/>
                <w:szCs w:val="18"/>
                <w:color w:val="auto"/>
              </w:rPr>
              <w:t>2,523,030</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94,994,193</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K. Vaman Kamath</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955,378,172</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2,868,154</w:t>
            </w:r>
          </w:p>
        </w:tc>
        <w:tc>
          <w:tcPr>
            <w:tcW w:w="1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2,547,167</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94,994,193</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Maureen Kempston Darkes</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928,669,139</w:t>
            </w:r>
          </w:p>
        </w:tc>
        <w:tc>
          <w:tcPr>
            <w:tcW w:w="4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29,567,314</w:t>
            </w:r>
          </w:p>
        </w:tc>
        <w:tc>
          <w:tcPr>
            <w:tcW w:w="1200" w:type="dxa"/>
            <w:vAlign w:val="bottom"/>
            <w:gridSpan w:val="2"/>
          </w:tcPr>
          <w:p>
            <w:pPr>
              <w:ind w:left="60"/>
              <w:spacing w:after="0"/>
              <w:rPr>
                <w:sz w:val="20"/>
                <w:szCs w:val="20"/>
                <w:color w:val="auto"/>
              </w:rPr>
            </w:pPr>
            <w:r>
              <w:rPr>
                <w:rFonts w:ascii="Arial" w:cs="Arial" w:eastAsia="Arial" w:hAnsi="Arial"/>
                <w:sz w:val="18"/>
                <w:szCs w:val="18"/>
                <w:color w:val="auto"/>
              </w:rPr>
              <w:t>2,557,040</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94,994,193</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Paal Kibsgaard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957,093,196</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1,206,437</w:t>
            </w:r>
          </w:p>
        </w:tc>
        <w:tc>
          <w:tcPr>
            <w:tcW w:w="1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2,493,860</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94,994,193</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Nikolay Kudryavtsev</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955,711,847</w:t>
            </w:r>
          </w:p>
        </w:tc>
        <w:tc>
          <w:tcPr>
            <w:tcW w:w="4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2,487,466</w:t>
            </w:r>
          </w:p>
        </w:tc>
        <w:tc>
          <w:tcPr>
            <w:tcW w:w="1200" w:type="dxa"/>
            <w:vAlign w:val="bottom"/>
            <w:gridSpan w:val="2"/>
          </w:tcPr>
          <w:p>
            <w:pPr>
              <w:ind w:left="60"/>
              <w:spacing w:after="0"/>
              <w:rPr>
                <w:sz w:val="20"/>
                <w:szCs w:val="20"/>
                <w:color w:val="auto"/>
              </w:rPr>
            </w:pPr>
            <w:r>
              <w:rPr>
                <w:rFonts w:ascii="Arial" w:cs="Arial" w:eastAsia="Arial" w:hAnsi="Arial"/>
                <w:sz w:val="18"/>
                <w:szCs w:val="18"/>
                <w:color w:val="auto"/>
              </w:rPr>
              <w:t>2,594,180</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94,994,193</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Michael E. Marks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953,297,476</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4,969,247</w:t>
            </w:r>
          </w:p>
        </w:tc>
        <w:tc>
          <w:tcPr>
            <w:tcW w:w="1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2,526,770</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94,994,193</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Lubna S. Olayan</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952,955,792</w:t>
            </w:r>
          </w:p>
        </w:tc>
        <w:tc>
          <w:tcPr>
            <w:tcW w:w="4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4,393,098</w:t>
            </w:r>
          </w:p>
        </w:tc>
        <w:tc>
          <w:tcPr>
            <w:tcW w:w="1200" w:type="dxa"/>
            <w:vAlign w:val="bottom"/>
            <w:gridSpan w:val="2"/>
          </w:tcPr>
          <w:p>
            <w:pPr>
              <w:ind w:left="60"/>
              <w:spacing w:after="0"/>
              <w:rPr>
                <w:sz w:val="20"/>
                <w:szCs w:val="20"/>
                <w:color w:val="auto"/>
              </w:rPr>
            </w:pPr>
            <w:r>
              <w:rPr>
                <w:rFonts w:ascii="Arial" w:cs="Arial" w:eastAsia="Arial" w:hAnsi="Arial"/>
                <w:sz w:val="18"/>
                <w:szCs w:val="18"/>
                <w:color w:val="auto"/>
              </w:rPr>
              <w:t>3,444,603</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94,994,193</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Leo Rafael Reif</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955,910,731</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2,342,425</w:t>
            </w:r>
          </w:p>
        </w:tc>
        <w:tc>
          <w:tcPr>
            <w:tcW w:w="1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2,540,337</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94,994,193</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Tore I. Sandvold</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947,855,975</w:t>
            </w:r>
          </w:p>
        </w:tc>
        <w:tc>
          <w:tcPr>
            <w:tcW w:w="4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9,870,186</w:t>
            </w:r>
          </w:p>
        </w:tc>
        <w:tc>
          <w:tcPr>
            <w:tcW w:w="1200" w:type="dxa"/>
            <w:vAlign w:val="bottom"/>
            <w:gridSpan w:val="2"/>
          </w:tcPr>
          <w:p>
            <w:pPr>
              <w:ind w:left="60"/>
              <w:spacing w:after="0"/>
              <w:rPr>
                <w:sz w:val="20"/>
                <w:szCs w:val="20"/>
                <w:color w:val="auto"/>
              </w:rPr>
            </w:pPr>
            <w:r>
              <w:rPr>
                <w:rFonts w:ascii="Arial" w:cs="Arial" w:eastAsia="Arial" w:hAnsi="Arial"/>
                <w:sz w:val="18"/>
                <w:szCs w:val="18"/>
                <w:color w:val="auto"/>
              </w:rPr>
              <w:t>3,067,332</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94,994,193</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Henri Seydoux</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952,789,144</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1,510,984</w:t>
            </w:r>
          </w:p>
        </w:tc>
        <w:tc>
          <w:tcPr>
            <w:tcW w:w="1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6,493,365</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94,994,193</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2—Advisory Resolution to Approve Executive Compensation</w:t>
      </w:r>
    </w:p>
    <w:p>
      <w:pPr>
        <w:spacing w:after="0" w:line="11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The advisory resolution to approve Schlumberger’s executive compensation, as described in the Definitive Proxy Statement, was approved with approximately 97.1% of the votes cast at the Annual Meeting voting in favor of the advisory resolution.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80" w:type="dxa"/>
            <w:vAlign w:val="bottom"/>
            <w:gridSpan w:val="2"/>
          </w:tcPr>
          <w:p>
            <w:pPr>
              <w:ind w:left="380"/>
              <w:spacing w:after="0"/>
              <w:rPr>
                <w:sz w:val="20"/>
                <w:szCs w:val="20"/>
                <w:color w:val="auto"/>
              </w:rPr>
            </w:pPr>
            <w:r>
              <w:rPr>
                <w:rFonts w:ascii="Arial" w:cs="Arial" w:eastAsia="Arial" w:hAnsi="Arial"/>
                <w:sz w:val="14"/>
                <w:szCs w:val="14"/>
                <w:b w:val="1"/>
                <w:bCs w:val="1"/>
                <w:color w:val="auto"/>
              </w:rPr>
              <w:t>For</w:t>
            </w:r>
          </w:p>
        </w:tc>
        <w:tc>
          <w:tcPr>
            <w:tcW w:w="3380" w:type="dxa"/>
            <w:vAlign w:val="bottom"/>
            <w:gridSpan w:val="2"/>
          </w:tcPr>
          <w:p>
            <w:pPr>
              <w:ind w:left="200"/>
              <w:spacing w:after="0"/>
              <w:rPr>
                <w:sz w:val="20"/>
                <w:szCs w:val="20"/>
                <w:color w:val="auto"/>
              </w:rPr>
            </w:pPr>
            <w:r>
              <w:rPr>
                <w:rFonts w:ascii="Arial" w:cs="Arial" w:eastAsia="Arial" w:hAnsi="Arial"/>
                <w:sz w:val="14"/>
                <w:szCs w:val="14"/>
                <w:b w:val="1"/>
                <w:bCs w:val="1"/>
                <w:color w:val="auto"/>
              </w:rPr>
              <w:t>Against</w:t>
            </w:r>
          </w:p>
        </w:tc>
        <w:tc>
          <w:tcPr>
            <w:tcW w:w="3300" w:type="dxa"/>
            <w:vAlign w:val="bottom"/>
            <w:gridSpan w:val="2"/>
          </w:tcPr>
          <w:p>
            <w:pPr>
              <w:ind w:left="160"/>
              <w:spacing w:after="0"/>
              <w:rPr>
                <w:sz w:val="20"/>
                <w:szCs w:val="20"/>
                <w:color w:val="auto"/>
              </w:rPr>
            </w:pPr>
            <w:r>
              <w:rPr>
                <w:rFonts w:ascii="Arial" w:cs="Arial" w:eastAsia="Arial" w:hAnsi="Arial"/>
                <w:sz w:val="14"/>
                <w:szCs w:val="14"/>
                <w:b w:val="1"/>
                <w:bCs w:val="1"/>
                <w:color w:val="auto"/>
              </w:rPr>
              <w:t>Abstain</w:t>
            </w: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Broker Non-votes</w:t>
            </w:r>
          </w:p>
        </w:tc>
      </w:tr>
      <w:tr>
        <w:trPr>
          <w:trHeight w:val="210"/>
        </w:trPr>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927,376,735</w:t>
            </w:r>
          </w:p>
        </w:tc>
        <w:tc>
          <w:tcPr>
            <w:tcW w:w="24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27,890,913</w:t>
            </w:r>
          </w:p>
        </w:tc>
        <w:tc>
          <w:tcPr>
            <w:tcW w:w="24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5,525,845</w:t>
            </w:r>
          </w:p>
        </w:tc>
        <w:tc>
          <w:tcPr>
            <w:tcW w:w="25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94,994,193</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3—Financial Statements and Dividends</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proposal to approve Schlumberger’s Consolidated Balance Sheet as at December 31, 2013, its Consolidated Statement of Income for the year ended December 31, 2013, and the declarations of dividends by the Board of Directors in 2013 as reflected in Schlumberger’s 2013 Annual Report to Stockholders, as described in the Definitive Proxy Statement, was approved with approximately 99.8% of the votes cast at the Annual Meeting voting for the proposal.</w:t>
      </w:r>
    </w:p>
    <w:p>
      <w:pPr>
        <w:sectPr>
          <w:pgSz w:w="11900" w:h="16838" w:orient="portrait"/>
          <w:cols w:equalWidth="0" w:num="1">
            <w:col w:w="11420"/>
          </w:cols>
          <w:pgMar w:left="240" w:top="27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1"/>
        </w:trPr>
        <w:tc>
          <w:tcPr>
            <w:tcW w:w="3620" w:type="dxa"/>
            <w:vAlign w:val="bottom"/>
            <w:gridSpan w:val="2"/>
          </w:tcPr>
          <w:p>
            <w:pPr>
              <w:ind w:left="440"/>
              <w:spacing w:after="0"/>
              <w:rPr>
                <w:sz w:val="20"/>
                <w:szCs w:val="20"/>
                <w:color w:val="auto"/>
              </w:rPr>
            </w:pPr>
            <w:r>
              <w:rPr>
                <w:rFonts w:ascii="Arial" w:cs="Arial" w:eastAsia="Arial" w:hAnsi="Arial"/>
                <w:sz w:val="14"/>
                <w:szCs w:val="14"/>
                <w:b w:val="1"/>
                <w:bCs w:val="1"/>
                <w:color w:val="auto"/>
              </w:rPr>
              <w:t>For</w:t>
            </w:r>
          </w:p>
        </w:tc>
        <w:tc>
          <w:tcPr>
            <w:tcW w:w="3300" w:type="dxa"/>
            <w:vAlign w:val="bottom"/>
            <w:gridSpan w:val="2"/>
          </w:tcPr>
          <w:p>
            <w:pPr>
              <w:ind w:left="140"/>
              <w:spacing w:after="0"/>
              <w:rPr>
                <w:sz w:val="20"/>
                <w:szCs w:val="20"/>
                <w:color w:val="auto"/>
              </w:rPr>
            </w:pPr>
            <w:r>
              <w:rPr>
                <w:rFonts w:ascii="Arial" w:cs="Arial" w:eastAsia="Arial" w:hAnsi="Arial"/>
                <w:sz w:val="14"/>
                <w:szCs w:val="14"/>
                <w:b w:val="1"/>
                <w:bCs w:val="1"/>
                <w:color w:val="auto"/>
              </w:rPr>
              <w:t>Against</w:t>
            </w:r>
          </w:p>
        </w:tc>
        <w:tc>
          <w:tcPr>
            <w:tcW w:w="3320" w:type="dxa"/>
            <w:vAlign w:val="bottom"/>
            <w:gridSpan w:val="2"/>
          </w:tcPr>
          <w:p>
            <w:pPr>
              <w:ind w:left="160"/>
              <w:spacing w:after="0"/>
              <w:rPr>
                <w:sz w:val="20"/>
                <w:szCs w:val="20"/>
                <w:color w:val="auto"/>
              </w:rPr>
            </w:pPr>
            <w:r>
              <w:rPr>
                <w:rFonts w:ascii="Arial" w:cs="Arial" w:eastAsia="Arial" w:hAnsi="Arial"/>
                <w:sz w:val="14"/>
                <w:szCs w:val="14"/>
                <w:b w:val="1"/>
                <w:bCs w:val="1"/>
                <w:color w:val="auto"/>
              </w:rPr>
              <w:t>Abstain</w:t>
            </w:r>
          </w:p>
        </w:tc>
        <w:tc>
          <w:tcPr>
            <w:tcW w:w="11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Broker Non-votes</w:t>
            </w:r>
          </w:p>
        </w:tc>
      </w:tr>
      <w:tr>
        <w:trPr>
          <w:trHeight w:val="210"/>
        </w:trPr>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1,050,633,853</w:t>
            </w:r>
          </w:p>
        </w:tc>
        <w:tc>
          <w:tcPr>
            <w:tcW w:w="25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2,141,669</w:t>
            </w:r>
          </w:p>
        </w:tc>
        <w:tc>
          <w:tcPr>
            <w:tcW w:w="25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3,012,164</w:t>
            </w:r>
          </w:p>
        </w:tc>
        <w:tc>
          <w:tcPr>
            <w:tcW w:w="25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3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Item 4—Independent Registered Public Accounting Firm</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proposal to approve the appointment of PricewaterhouseCoopers LLP as the independent registered public accounting firm to audit the accounts of Schlumberger for 2014, as described in the Definitive Proxy Statement, was approved with approximately 99.0% of the votes cast at the Annual Meeting voting for the proposal.</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80" w:type="dxa"/>
            <w:vAlign w:val="bottom"/>
            <w:gridSpan w:val="2"/>
          </w:tcPr>
          <w:p>
            <w:pPr>
              <w:ind w:left="440"/>
              <w:spacing w:after="0"/>
              <w:rPr>
                <w:sz w:val="20"/>
                <w:szCs w:val="20"/>
                <w:color w:val="auto"/>
              </w:rPr>
            </w:pPr>
            <w:r>
              <w:rPr>
                <w:rFonts w:ascii="Arial" w:cs="Arial" w:eastAsia="Arial" w:hAnsi="Arial"/>
                <w:sz w:val="14"/>
                <w:szCs w:val="14"/>
                <w:b w:val="1"/>
                <w:bCs w:val="1"/>
                <w:color w:val="auto"/>
              </w:rPr>
              <w:t>For</w:t>
            </w:r>
          </w:p>
        </w:tc>
        <w:tc>
          <w:tcPr>
            <w:tcW w:w="3360" w:type="dxa"/>
            <w:vAlign w:val="bottom"/>
            <w:gridSpan w:val="2"/>
          </w:tcPr>
          <w:p>
            <w:pPr>
              <w:ind w:left="200"/>
              <w:spacing w:after="0"/>
              <w:rPr>
                <w:sz w:val="20"/>
                <w:szCs w:val="20"/>
                <w:color w:val="auto"/>
              </w:rPr>
            </w:pPr>
            <w:r>
              <w:rPr>
                <w:rFonts w:ascii="Arial" w:cs="Arial" w:eastAsia="Arial" w:hAnsi="Arial"/>
                <w:sz w:val="14"/>
                <w:szCs w:val="14"/>
                <w:b w:val="1"/>
                <w:bCs w:val="1"/>
                <w:color w:val="auto"/>
              </w:rPr>
              <w:t>Against</w:t>
            </w:r>
          </w:p>
        </w:tc>
        <w:tc>
          <w:tcPr>
            <w:tcW w:w="3300" w:type="dxa"/>
            <w:vAlign w:val="bottom"/>
            <w:gridSpan w:val="2"/>
          </w:tcPr>
          <w:p>
            <w:pPr>
              <w:ind w:left="160"/>
              <w:spacing w:after="0"/>
              <w:rPr>
                <w:sz w:val="20"/>
                <w:szCs w:val="20"/>
                <w:color w:val="auto"/>
              </w:rPr>
            </w:pPr>
            <w:r>
              <w:rPr>
                <w:rFonts w:ascii="Arial" w:cs="Arial" w:eastAsia="Arial" w:hAnsi="Arial"/>
                <w:sz w:val="14"/>
                <w:szCs w:val="14"/>
                <w:b w:val="1"/>
                <w:bCs w:val="1"/>
                <w:color w:val="auto"/>
              </w:rPr>
              <w:t>Abstain</w:t>
            </w:r>
          </w:p>
        </w:tc>
        <w:tc>
          <w:tcPr>
            <w:tcW w:w="11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Broker Non-votes</w:t>
            </w:r>
          </w:p>
        </w:tc>
      </w:tr>
      <w:tr>
        <w:trPr>
          <w:trHeight w:val="210"/>
        </w:trPr>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1,041,708,288</w:t>
            </w:r>
          </w:p>
        </w:tc>
        <w:tc>
          <w:tcPr>
            <w:tcW w:w="24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10,341,724</w:t>
            </w:r>
          </w:p>
        </w:tc>
        <w:tc>
          <w:tcPr>
            <w:tcW w:w="24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3,737,674</w:t>
            </w:r>
          </w:p>
        </w:tc>
        <w:tc>
          <w:tcPr>
            <w:tcW w:w="25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bl>
    <w:p>
      <w:pPr>
        <w:sectPr>
          <w:pgSz w:w="11900" w:h="16838" w:orient="portrait"/>
          <w:cols w:equalWidth="0" w:num="1">
            <w:col w:w="11420"/>
          </w:cols>
          <w:pgMar w:left="240" w:top="26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2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Saul R. Laureles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Saul R.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9, 2014</w:t>
      </w:r>
    </w:p>
    <w:sectPr>
      <w:pgSz w:w="11900" w:h="16838" w:orient="portrait"/>
      <w:cols w:equalWidth="0" w:num="1">
        <w:col w:w="11260"/>
      </w:cols>
      <w:pgMar w:left="240" w:top="27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2019-12-05T14:07:46Z</dcterms:created>
  <dcterms:modified xsi:type="dcterms:W3CDTF">2019-12-05T14:07:46Z</dcterms:modified>
</cp:coreProperties>
</file>