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63"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Date of Report (date of earliest event reported): October 21, 2003</w:t>
      </w:r>
    </w:p>
    <w:p>
      <w:pPr>
        <w:spacing w:after="0" w:line="271"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900" w:type="dxa"/>
            <w:vAlign w:val="bottom"/>
          </w:tcPr>
          <w:p>
            <w:pPr>
              <w:jc w:val="center"/>
              <w:ind w:right="1276"/>
              <w:spacing w:after="0"/>
              <w:rPr>
                <w:sz w:val="20"/>
                <w:szCs w:val="20"/>
                <w:color w:val="auto"/>
              </w:rPr>
            </w:pPr>
            <w:r>
              <w:rPr>
                <w:rFonts w:ascii="Arial" w:cs="Arial" w:eastAsia="Arial" w:hAnsi="Arial"/>
                <w:sz w:val="18"/>
                <w:szCs w:val="18"/>
                <w:b w:val="1"/>
                <w:bCs w:val="1"/>
                <w:color w:val="auto"/>
                <w:w w:val="88"/>
              </w:rPr>
              <w:t>Netherlands Antilles</w:t>
            </w:r>
          </w:p>
        </w:tc>
        <w:tc>
          <w:tcPr>
            <w:tcW w:w="2820" w:type="dxa"/>
            <w:vAlign w:val="bottom"/>
          </w:tcPr>
          <w:p>
            <w:pPr>
              <w:jc w:val="right"/>
              <w:ind w:right="1222"/>
              <w:spacing w:after="0"/>
              <w:rPr>
                <w:sz w:val="20"/>
                <w:szCs w:val="20"/>
                <w:color w:val="auto"/>
              </w:rPr>
            </w:pPr>
            <w:r>
              <w:rPr>
                <w:rFonts w:ascii="Arial" w:cs="Arial" w:eastAsia="Arial" w:hAnsi="Arial"/>
                <w:sz w:val="18"/>
                <w:szCs w:val="18"/>
                <w:b w:val="1"/>
                <w:bCs w:val="1"/>
                <w:color w:val="auto"/>
              </w:rPr>
              <w:t>1-4601</w:t>
            </w:r>
          </w:p>
        </w:tc>
        <w:tc>
          <w:tcPr>
            <w:tcW w:w="3300" w:type="dxa"/>
            <w:vAlign w:val="bottom"/>
          </w:tcPr>
          <w:p>
            <w:pPr>
              <w:jc w:val="right"/>
              <w:ind w:right="479"/>
              <w:spacing w:after="0"/>
              <w:rPr>
                <w:sz w:val="20"/>
                <w:szCs w:val="20"/>
                <w:color w:val="auto"/>
              </w:rPr>
            </w:pPr>
            <w:r>
              <w:rPr>
                <w:rFonts w:ascii="Arial" w:cs="Arial" w:eastAsia="Arial" w:hAnsi="Arial"/>
                <w:sz w:val="18"/>
                <w:szCs w:val="18"/>
                <w:b w:val="1"/>
                <w:bCs w:val="1"/>
                <w:color w:val="auto"/>
              </w:rPr>
              <w:t>52-0684746</w:t>
            </w:r>
          </w:p>
        </w:tc>
      </w:tr>
      <w:tr>
        <w:trPr>
          <w:trHeight w:val="174"/>
        </w:trPr>
        <w:tc>
          <w:tcPr>
            <w:tcW w:w="3900" w:type="dxa"/>
            <w:vAlign w:val="bottom"/>
          </w:tcPr>
          <w:p>
            <w:pPr>
              <w:jc w:val="center"/>
              <w:ind w:right="1256"/>
              <w:spacing w:after="0"/>
              <w:rPr>
                <w:sz w:val="20"/>
                <w:szCs w:val="20"/>
                <w:color w:val="auto"/>
              </w:rPr>
            </w:pPr>
            <w:r>
              <w:rPr>
                <w:rFonts w:ascii="Arial" w:cs="Arial" w:eastAsia="Arial" w:hAnsi="Arial"/>
                <w:sz w:val="14"/>
                <w:szCs w:val="14"/>
                <w:b w:val="1"/>
                <w:bCs w:val="1"/>
                <w:color w:val="auto"/>
                <w:w w:val="87"/>
              </w:rPr>
              <w:t>(State or other jurisdiction of incorporation)</w:t>
            </w:r>
          </w:p>
        </w:tc>
        <w:tc>
          <w:tcPr>
            <w:tcW w:w="2820" w:type="dxa"/>
            <w:vAlign w:val="bottom"/>
          </w:tcPr>
          <w:p>
            <w:pPr>
              <w:jc w:val="center"/>
              <w:ind w:right="202"/>
              <w:spacing w:after="0"/>
              <w:rPr>
                <w:sz w:val="20"/>
                <w:szCs w:val="20"/>
                <w:color w:val="auto"/>
              </w:rPr>
            </w:pPr>
            <w:r>
              <w:rPr>
                <w:rFonts w:ascii="Arial" w:cs="Arial" w:eastAsia="Arial" w:hAnsi="Arial"/>
                <w:sz w:val="14"/>
                <w:szCs w:val="14"/>
                <w:b w:val="1"/>
                <w:bCs w:val="1"/>
                <w:color w:val="auto"/>
                <w:w w:val="88"/>
              </w:rPr>
              <w:t>(Commission File Number)</w:t>
            </w:r>
          </w:p>
        </w:tc>
        <w:tc>
          <w:tcPr>
            <w:tcW w:w="3300" w:type="dxa"/>
            <w:vAlign w:val="bottom"/>
          </w:tcPr>
          <w:p>
            <w:pPr>
              <w:jc w:val="center"/>
              <w:ind w:left="1259"/>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86"/>
        </w:trPr>
        <w:tc>
          <w:tcPr>
            <w:tcW w:w="3900" w:type="dxa"/>
            <w:vAlign w:val="bottom"/>
          </w:tcPr>
          <w:p>
            <w:pPr>
              <w:jc w:val="center"/>
              <w:ind w:left="436"/>
              <w:spacing w:after="0"/>
              <w:rPr>
                <w:sz w:val="20"/>
                <w:szCs w:val="20"/>
                <w:color w:val="auto"/>
              </w:rPr>
            </w:pPr>
            <w:r>
              <w:rPr>
                <w:rFonts w:ascii="Arial" w:cs="Arial" w:eastAsia="Arial" w:hAnsi="Arial"/>
                <w:sz w:val="18"/>
                <w:szCs w:val="18"/>
                <w:b w:val="1"/>
                <w:bCs w:val="1"/>
                <w:color w:val="auto"/>
                <w:w w:val="88"/>
              </w:rPr>
              <w:t>153 East 53rd Street, 57th Floor</w:t>
            </w:r>
          </w:p>
        </w:tc>
        <w:tc>
          <w:tcPr>
            <w:tcW w:w="28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28"/>
        </w:trPr>
        <w:tc>
          <w:tcPr>
            <w:tcW w:w="3900" w:type="dxa"/>
            <w:vAlign w:val="bottom"/>
          </w:tcPr>
          <w:p>
            <w:pPr>
              <w:jc w:val="center"/>
              <w:ind w:left="436"/>
              <w:spacing w:after="0"/>
              <w:rPr>
                <w:sz w:val="20"/>
                <w:szCs w:val="20"/>
                <w:color w:val="auto"/>
              </w:rPr>
            </w:pPr>
            <w:r>
              <w:rPr>
                <w:rFonts w:ascii="Arial" w:cs="Arial" w:eastAsia="Arial" w:hAnsi="Arial"/>
                <w:sz w:val="18"/>
                <w:szCs w:val="18"/>
                <w:b w:val="1"/>
                <w:bCs w:val="1"/>
                <w:color w:val="auto"/>
                <w:w w:val="90"/>
              </w:rPr>
              <w:t>New York, New York</w:t>
            </w:r>
          </w:p>
        </w:tc>
        <w:tc>
          <w:tcPr>
            <w:tcW w:w="2820" w:type="dxa"/>
            <w:vAlign w:val="bottom"/>
          </w:tcPr>
          <w:p>
            <w:pPr>
              <w:spacing w:after="0"/>
              <w:rPr>
                <w:sz w:val="19"/>
                <w:szCs w:val="19"/>
                <w:color w:val="auto"/>
              </w:rPr>
            </w:pPr>
          </w:p>
        </w:tc>
        <w:tc>
          <w:tcPr>
            <w:tcW w:w="3300" w:type="dxa"/>
            <w:vAlign w:val="bottom"/>
          </w:tcPr>
          <w:p>
            <w:pPr>
              <w:jc w:val="right"/>
              <w:ind w:right="1439"/>
              <w:spacing w:after="0"/>
              <w:rPr>
                <w:sz w:val="20"/>
                <w:szCs w:val="20"/>
                <w:color w:val="auto"/>
              </w:rPr>
            </w:pPr>
            <w:r>
              <w:rPr>
                <w:rFonts w:ascii="Arial" w:cs="Arial" w:eastAsia="Arial" w:hAnsi="Arial"/>
                <w:sz w:val="18"/>
                <w:szCs w:val="18"/>
                <w:b w:val="1"/>
                <w:bCs w:val="1"/>
                <w:color w:val="auto"/>
              </w:rPr>
              <w:t>10022-4624</w:t>
            </w:r>
          </w:p>
        </w:tc>
      </w:tr>
      <w:tr>
        <w:trPr>
          <w:trHeight w:val="420"/>
        </w:trPr>
        <w:tc>
          <w:tcPr>
            <w:tcW w:w="3900" w:type="dxa"/>
            <w:vAlign w:val="bottom"/>
          </w:tcPr>
          <w:p>
            <w:pPr>
              <w:jc w:val="center"/>
              <w:ind w:left="436"/>
              <w:spacing w:after="0"/>
              <w:rPr>
                <w:sz w:val="20"/>
                <w:szCs w:val="20"/>
                <w:color w:val="auto"/>
              </w:rPr>
            </w:pPr>
            <w:r>
              <w:rPr>
                <w:rFonts w:ascii="Arial" w:cs="Arial" w:eastAsia="Arial" w:hAnsi="Arial"/>
                <w:sz w:val="18"/>
                <w:szCs w:val="18"/>
                <w:b w:val="1"/>
                <w:bCs w:val="1"/>
                <w:color w:val="auto"/>
                <w:w w:val="88"/>
              </w:rPr>
              <w:t>42, rue Saint-Dominique</w:t>
            </w:r>
          </w:p>
        </w:tc>
        <w:tc>
          <w:tcPr>
            <w:tcW w:w="28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28"/>
        </w:trPr>
        <w:tc>
          <w:tcPr>
            <w:tcW w:w="3900" w:type="dxa"/>
            <w:vAlign w:val="bottom"/>
          </w:tcPr>
          <w:p>
            <w:pPr>
              <w:jc w:val="center"/>
              <w:ind w:left="436"/>
              <w:spacing w:after="0"/>
              <w:rPr>
                <w:sz w:val="20"/>
                <w:szCs w:val="20"/>
                <w:color w:val="auto"/>
              </w:rPr>
            </w:pPr>
            <w:r>
              <w:rPr>
                <w:rFonts w:ascii="Arial" w:cs="Arial" w:eastAsia="Arial" w:hAnsi="Arial"/>
                <w:sz w:val="18"/>
                <w:szCs w:val="18"/>
                <w:b w:val="1"/>
                <w:bCs w:val="1"/>
                <w:color w:val="auto"/>
                <w:w w:val="90"/>
              </w:rPr>
              <w:t>Paris, France</w:t>
            </w:r>
          </w:p>
        </w:tc>
        <w:tc>
          <w:tcPr>
            <w:tcW w:w="2820" w:type="dxa"/>
            <w:vAlign w:val="bottom"/>
          </w:tcPr>
          <w:p>
            <w:pPr>
              <w:spacing w:after="0"/>
              <w:rPr>
                <w:sz w:val="19"/>
                <w:szCs w:val="19"/>
                <w:color w:val="auto"/>
              </w:rPr>
            </w:pPr>
          </w:p>
        </w:tc>
        <w:tc>
          <w:tcPr>
            <w:tcW w:w="3300" w:type="dxa"/>
            <w:vAlign w:val="bottom"/>
          </w:tcPr>
          <w:p>
            <w:pPr>
              <w:jc w:val="right"/>
              <w:ind w:right="1639"/>
              <w:spacing w:after="0"/>
              <w:rPr>
                <w:sz w:val="20"/>
                <w:szCs w:val="20"/>
                <w:color w:val="auto"/>
              </w:rPr>
            </w:pPr>
            <w:r>
              <w:rPr>
                <w:rFonts w:ascii="Arial" w:cs="Arial" w:eastAsia="Arial" w:hAnsi="Arial"/>
                <w:sz w:val="18"/>
                <w:szCs w:val="18"/>
                <w:b w:val="1"/>
                <w:bCs w:val="1"/>
                <w:color w:val="auto"/>
              </w:rPr>
              <w:t>75007</w:t>
            </w:r>
          </w:p>
        </w:tc>
      </w:tr>
      <w:tr>
        <w:trPr>
          <w:trHeight w:val="420"/>
        </w:trPr>
        <w:tc>
          <w:tcPr>
            <w:tcW w:w="3900" w:type="dxa"/>
            <w:vAlign w:val="bottom"/>
          </w:tcPr>
          <w:p>
            <w:pPr>
              <w:jc w:val="center"/>
              <w:ind w:left="436"/>
              <w:spacing w:after="0"/>
              <w:rPr>
                <w:sz w:val="20"/>
                <w:szCs w:val="20"/>
                <w:color w:val="auto"/>
              </w:rPr>
            </w:pPr>
            <w:r>
              <w:rPr>
                <w:rFonts w:ascii="Arial" w:cs="Arial" w:eastAsia="Arial" w:hAnsi="Arial"/>
                <w:sz w:val="18"/>
                <w:szCs w:val="18"/>
                <w:b w:val="1"/>
                <w:bCs w:val="1"/>
                <w:color w:val="auto"/>
                <w:w w:val="89"/>
              </w:rPr>
              <w:t>Parkstraat 83,</w:t>
            </w:r>
          </w:p>
        </w:tc>
        <w:tc>
          <w:tcPr>
            <w:tcW w:w="28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16"/>
        </w:trPr>
        <w:tc>
          <w:tcPr>
            <w:tcW w:w="3900" w:type="dxa"/>
            <w:vAlign w:val="bottom"/>
          </w:tcPr>
          <w:p>
            <w:pPr>
              <w:jc w:val="center"/>
              <w:ind w:left="436"/>
              <w:spacing w:after="0"/>
              <w:rPr>
                <w:sz w:val="20"/>
                <w:szCs w:val="20"/>
                <w:color w:val="auto"/>
              </w:rPr>
            </w:pPr>
            <w:r>
              <w:rPr>
                <w:rFonts w:ascii="Arial" w:cs="Arial" w:eastAsia="Arial" w:hAnsi="Arial"/>
                <w:sz w:val="18"/>
                <w:szCs w:val="18"/>
                <w:b w:val="1"/>
                <w:bCs w:val="1"/>
                <w:color w:val="auto"/>
                <w:w w:val="88"/>
              </w:rPr>
              <w:t>The Hague,</w:t>
            </w:r>
          </w:p>
        </w:tc>
        <w:tc>
          <w:tcPr>
            <w:tcW w:w="28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8"/>
        </w:trPr>
        <w:tc>
          <w:tcPr>
            <w:tcW w:w="3900" w:type="dxa"/>
            <w:vAlign w:val="bottom"/>
          </w:tcPr>
          <w:p>
            <w:pPr>
              <w:jc w:val="center"/>
              <w:ind w:left="436"/>
              <w:spacing w:after="0"/>
              <w:rPr>
                <w:sz w:val="20"/>
                <w:szCs w:val="20"/>
                <w:color w:val="auto"/>
              </w:rPr>
            </w:pPr>
            <w:r>
              <w:rPr>
                <w:rFonts w:ascii="Arial" w:cs="Arial" w:eastAsia="Arial" w:hAnsi="Arial"/>
                <w:sz w:val="18"/>
                <w:szCs w:val="18"/>
                <w:b w:val="1"/>
                <w:bCs w:val="1"/>
                <w:color w:val="auto"/>
                <w:w w:val="89"/>
              </w:rPr>
              <w:t>The Netherlands</w:t>
            </w:r>
          </w:p>
        </w:tc>
        <w:tc>
          <w:tcPr>
            <w:tcW w:w="2820" w:type="dxa"/>
            <w:vAlign w:val="bottom"/>
          </w:tcPr>
          <w:p>
            <w:pPr>
              <w:spacing w:after="0"/>
              <w:rPr>
                <w:sz w:val="18"/>
                <w:szCs w:val="18"/>
                <w:color w:val="auto"/>
              </w:rPr>
            </w:pPr>
          </w:p>
        </w:tc>
        <w:tc>
          <w:tcPr>
            <w:tcW w:w="3300" w:type="dxa"/>
            <w:vAlign w:val="bottom"/>
          </w:tcPr>
          <w:p>
            <w:pPr>
              <w:jc w:val="center"/>
              <w:ind w:right="479"/>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3900" w:type="dxa"/>
            <w:vAlign w:val="bottom"/>
          </w:tcPr>
          <w:p>
            <w:pPr>
              <w:jc w:val="center"/>
              <w:ind w:left="436"/>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2820" w:type="dxa"/>
            <w:vAlign w:val="bottom"/>
          </w:tcPr>
          <w:p>
            <w:pPr>
              <w:spacing w:after="0"/>
              <w:rPr>
                <w:sz w:val="15"/>
                <w:szCs w:val="15"/>
                <w:color w:val="auto"/>
              </w:rPr>
            </w:pPr>
          </w:p>
        </w:tc>
        <w:tc>
          <w:tcPr>
            <w:tcW w:w="3300" w:type="dxa"/>
            <w:vAlign w:val="bottom"/>
          </w:tcPr>
          <w:p>
            <w:pPr>
              <w:jc w:val="center"/>
              <w:ind w:right="479"/>
              <w:spacing w:after="0"/>
              <w:rPr>
                <w:sz w:val="20"/>
                <w:szCs w:val="20"/>
                <w:color w:val="auto"/>
              </w:rPr>
            </w:pPr>
            <w:r>
              <w:rPr>
                <w:rFonts w:ascii="Arial" w:cs="Arial" w:eastAsia="Arial" w:hAnsi="Arial"/>
                <w:sz w:val="14"/>
                <w:szCs w:val="14"/>
                <w:b w:val="1"/>
                <w:bCs w:val="1"/>
                <w:color w:val="auto"/>
                <w:w w:val="86"/>
              </w:rPr>
              <w:t>(Zip or Postal Codes)</w:t>
            </w:r>
          </w:p>
        </w:tc>
      </w:tr>
    </w:tbl>
    <w:p>
      <w:pPr>
        <w:spacing w:after="0" w:line="270" w:lineRule="exact"/>
        <w:rPr>
          <w:sz w:val="24"/>
          <w:szCs w:val="24"/>
          <w:color w:val="auto"/>
        </w:rPr>
      </w:pPr>
    </w:p>
    <w:p>
      <w:pPr>
        <w:ind w:left="186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-351790</wp:posOffset>
            </wp:positionH>
            <wp:positionV relativeFrom="paragraph">
              <wp:posOffset>269875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020"/>
          </w:cols>
          <w:pgMar w:left="800" w:top="665" w:right="1079" w:bottom="1440" w:gutter="0" w:footer="0" w:header="0"/>
        </w:sectPr>
      </w:pPr>
    </w:p>
    <w:bookmarkStart w:id="1" w:name="page2"/>
    <w:bookmarkEnd w:id="1"/>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FINANCIAL STATEMENTS AND EXHIBITS</w:t>
      </w:r>
    </w:p>
    <w:p>
      <w:pPr>
        <w:spacing w:after="0" w:line="83"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99.1  Third Quarter 2003 Press Release dated October 21, 2003.</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99.2  Question and Answer document on the October 21, 2003 Press Release.</w:t>
      </w:r>
    </w:p>
    <w:p>
      <w:pPr>
        <w:spacing w:after="0" w:line="29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83"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Third Quarter Press Release attached hereto as Exhibit 99.1, and the Question and Answer document attached hereto as Exhibit 99.2, which are incorporated in this Item 12 by reference, were posted on the Schlumberger internet web site (www.slb.com/ir) on October 21, 2003.</w:t>
      </w:r>
    </w:p>
    <w:p>
      <w:pPr>
        <w:spacing w:after="0" w:line="7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Third Quarter Press Release and Question and Answer document, these documents also include the following non-GAAP financial measures (as defined under the SEC’s Regulation G):</w:t>
      </w:r>
    </w:p>
    <w:p>
      <w:pPr>
        <w:spacing w:after="0" w:line="127" w:lineRule="exact"/>
        <w:rPr>
          <w:sz w:val="20"/>
          <w:szCs w:val="20"/>
          <w:color w:val="auto"/>
        </w:rPr>
      </w:pPr>
    </w:p>
    <w:p>
      <w:pPr>
        <w:ind w:left="800" w:right="60" w:hanging="346"/>
        <w:spacing w:after="0" w:line="306"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Net debt</w:t>
      </w:r>
      <w:r>
        <w:rPr>
          <w:rFonts w:ascii="Arial" w:cs="Arial" w:eastAsia="Arial" w:hAnsi="Arial"/>
          <w:sz w:val="16"/>
          <w:szCs w:val="16"/>
          <w:color w:val="auto"/>
        </w:rPr>
        <w:t>: Net debt is gross debt less cash, short-term investments and fixed income investments held to maturity. Management believes that “net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useful information regarding the level of the Company’s indebtedness by reflecting cash and investments that could be used to repay debt, and that the level of net debt provides useful information as to the results of the Company’s deleveraging efforts.</w:t>
      </w:r>
    </w:p>
    <w:p>
      <w:pPr>
        <w:spacing w:after="0" w:line="12" w:lineRule="exact"/>
        <w:rPr>
          <w:rFonts w:ascii="Arial" w:cs="Arial" w:eastAsia="Arial" w:hAnsi="Arial"/>
          <w:sz w:val="16"/>
          <w:szCs w:val="16"/>
          <w:color w:val="auto"/>
        </w:rPr>
      </w:pPr>
    </w:p>
    <w:p>
      <w:pPr>
        <w:ind w:left="800" w:hanging="346"/>
        <w:spacing w:after="0" w:line="289"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Income from continuing operations before charges and credits and effective tax rate before charges and credits</w:t>
      </w:r>
      <w:r>
        <w:rPr>
          <w:rFonts w:ascii="Arial" w:cs="Arial" w:eastAsia="Arial" w:hAnsi="Arial"/>
          <w:sz w:val="16"/>
          <w:szCs w:val="16"/>
          <w:color w:val="auto"/>
        </w:rPr>
        <w:t>: The third quarter of 2003 includes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$86 million charge related to the extinguishment of certain European debt ($0.14 per share) and also includes a $205 million ($0.34 per share) multiclient library impairment charge (pretax $398 million, tax benefit $106 million and minority interest credit $88 million), a $38 million ($0.06 per share) vessel impairment charge (pretax $54 million and minority interest credit of $16 million) and a pretax and after tax gain of $31 million ($0.05 per share) on the sale of a rig. In addition, the quarter included a provision for insurance claims and a release of a prior period business divestiture reserve which substantially offset. Management believes that the exclusion of these items enables it to evaluate more effectively the Company’s operations period over period and to identify operating trends that could otherwise be masked by the excluded items. The effective tax rate for the third quarter of 2003, including charges and credits, was 20%.</w:t>
      </w:r>
    </w:p>
    <w:p>
      <w:pPr>
        <w:spacing w:after="0" w:line="23" w:lineRule="exact"/>
        <w:rPr>
          <w:rFonts w:ascii="Arial" w:cs="Arial" w:eastAsia="Arial" w:hAnsi="Arial"/>
          <w:sz w:val="16"/>
          <w:szCs w:val="16"/>
          <w:color w:val="auto"/>
        </w:rPr>
      </w:pPr>
    </w:p>
    <w:p>
      <w:pPr>
        <w:ind w:left="800" w:right="80" w:hanging="346"/>
        <w:spacing w:after="0" w:line="256"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WesternGeco pretax operating loss before charges and credits. </w:t>
      </w:r>
      <w:r>
        <w:rPr>
          <w:rFonts w:ascii="Arial" w:cs="Arial" w:eastAsia="Arial" w:hAnsi="Arial"/>
          <w:sz w:val="18"/>
          <w:szCs w:val="18"/>
          <w:color w:val="auto"/>
        </w:rPr>
        <w:t>As described above, the third quarter of 2003 includes a multiclient library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charge and a vessel impairment charge. Management believes that the exclusion of these items from WesternGeco pretax operating loss enables it to evaluate more effectively WesternGeco’s operations period over period and to identify operating trends that could otherwise be masked by the excluded items.</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the Company’s financial statements and filings with the Securities and Exchange Commission.</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RANK</w:t>
      </w:r>
      <w:r>
        <w:rPr>
          <w:rFonts w:ascii="Arial" w:cs="Arial" w:eastAsia="Arial" w:hAnsi="Arial"/>
          <w:sz w:val="16"/>
          <w:szCs w:val="16"/>
          <w:color w:val="auto"/>
        </w:rPr>
        <w:t xml:space="preserve"> A. S</w:t>
      </w:r>
      <w:r>
        <w:rPr>
          <w:rFonts w:ascii="Arial" w:cs="Arial" w:eastAsia="Arial" w:hAnsi="Arial"/>
          <w:sz w:val="13"/>
          <w:szCs w:val="13"/>
          <w:color w:val="auto"/>
        </w:rPr>
        <w:t>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Accounting Officer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2003</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109220</wp:posOffset>
            </wp:positionV>
            <wp:extent cx="5179695" cy="600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7969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Announces Third Quarter 2003 Results</w:t>
      </w:r>
    </w:p>
    <w:p>
      <w:pPr>
        <w:spacing w:after="0" w:line="15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NEW YORK, October 21, 2003 </w:t>
      </w:r>
      <w:r>
        <w:rPr>
          <w:rFonts w:ascii="Arial" w:cs="Arial" w:eastAsia="Arial" w:hAnsi="Arial"/>
          <w:sz w:val="18"/>
          <w:szCs w:val="18"/>
          <w:color w:val="auto"/>
        </w:rPr>
        <w:t>– Schlumberger Limited (NYSE:SLB) today reported third quarter 2003 operating revenue of $3.51 billion versus $3.39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2002. Income from continuing operations of $242 million was 44% higher than last year before charges and credits. Net loss of $55 million was after net charges of $298 million, which included the final charge of $86 million related to the extinguishment of certain European bonds and an impairment charge of $205 million after tax and minority interest against the WesternGeco multiclient seismic library.</w:t>
      </w:r>
    </w:p>
    <w:p>
      <w:pPr>
        <w:spacing w:after="0" w:line="12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Income from continuing operations, excluding net charges, was $0.41 per share compared to $0.29 per share last year. Including the net charges, loss from continuing operations was $0.09 per share compared to income of $0.29 per share last year.</w:t>
      </w:r>
    </w:p>
    <w:p>
      <w:pPr>
        <w:spacing w:after="0" w:line="11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Oilfield Services revenue of $2.18 billion increased 2% compared to the second quarter of 2003, and 8% compared to the third quarter of last year. Pretax operating income of $393 million increased 3% sequentially and 20% year-on-year.</w:t>
      </w:r>
    </w:p>
    <w:p>
      <w:pPr>
        <w:spacing w:after="0" w:line="118"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WesternGeco revenue of $263 million was 14% lower than the second quarter of 2003, and 34% lower compared to the third quarter of last year. Pretax operating loss of $36 million, which excluded the impairment charge, deteriorated $20 million sequentially and compared to break-even in the third quarter of 2002.</w:t>
      </w:r>
    </w:p>
    <w:p>
      <w:pPr>
        <w:spacing w:after="0" w:line="4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SchlumbergerSema revenue of $792 million was 6% lower sequentially, but was 6% higher year-on-year. Pretax operating income of $27 million increased $3 million sequentially and $30 million year-on-year.</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Schlumberger Smart Cards revenue of $202 million increased 25% sequentially and 27% year-on-year. Pretax operating income of $22 million significantly increased from $8 million in the last quarter and $7 million in the third quarter of 2002.</w:t>
      </w:r>
    </w:p>
    <w:p>
      <w:pPr>
        <w:spacing w:after="0" w:line="118"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color w:val="auto"/>
        </w:rPr>
        <w:t>On September 22, Schlumberger signed a binding agreement with Atos Origin for the sale of the majority of SchlumbergerSema businesses. The transaction, which is expected to close in January 2004, consists of €400 million in cash and a fixed number of 19.3 million of Atos Origin common shares. Schlumberger will retain a number of specific activities that include Business Continuity, Infodata and Telecom Products, which are being considered for future divestiture. Additionally, Schlumberger will retain the activity of IT Services for the oil and gas industry.</w:t>
      </w:r>
    </w:p>
    <w:p>
      <w:pPr>
        <w:spacing w:after="0" w:line="99"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Schlumberger Chairman and CEO Andrew Gould commented, “The oilfield activity trends noted in the second quarter continued in the third with strength in the Americas, Russia and the Middle East. Gas remained the primary driver in North America, while in Latin America energy supply growth needs in Mexico and a further resumption of drilling activity in Venezuela spurred activity. Demand for a range of wireline logging, well services</w:t>
      </w:r>
    </w:p>
    <w:p>
      <w:pPr>
        <w:sectPr>
          <w:pgSz w:w="11900" w:h="16838" w:orient="portrait"/>
          <w:cols w:equalWidth="0" w:num="1">
            <w:col w:w="11420"/>
          </w:cols>
          <w:pgMar w:left="240" w:top="125" w:right="239" w:bottom="1440" w:gutter="0" w:footer="0" w:header="0"/>
        </w:sectPr>
      </w:pPr>
    </w:p>
    <w:bookmarkStart w:id="4" w:name="page5"/>
    <w:bookmarkEnd w:id="4"/>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well completions technologies was strong in the Middle East. Growth in Oilfield Services pretax operating income exceeded revenue growth by a very satisfactory margin.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further write-down of the WesternGeco data library reflects the continued distressed conditions of the multiclient business, particularly in the Gulf of Mexico.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acceptance of Q-Technology remains encouraging with several highly successful surveys during the quarter.</w:t>
      </w:r>
    </w:p>
    <w:p>
      <w:pPr>
        <w:spacing w:after="0" w:line="151"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The agreement for the sale of the majority of the SchlumbergerSema businesses to Atos Origin is a major step in our strategy of refocusing Schlumberger on our core business of technical services and reservoir solutions to the upstream oil and gas industry. We have retained the information technology business in upstream oil and gas, and combined it with our Schlumberger Information Solutions segment to provide a powerful and focused offering to enhance the core Exploration &amp; Production operational processes, including those relating to real-time reservoir management and data transmission.</w:t>
      </w:r>
    </w:p>
    <w:p>
      <w:pPr>
        <w:spacing w:after="0" w:line="9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Looking ahead, North American gas storage is likely to reach sufficient pre-winter storage levels, but this should not affect the level of gas drilling activity significantly, as the challenge will remain the maintenance of current levels of production. Increasing supplies of oil from non-OPEC sources would indicate a flattening of activity in the coming quarters.”</w:t>
      </w:r>
    </w:p>
    <w:p>
      <w:pPr>
        <w:sectPr>
          <w:pgSz w:w="11900" w:h="16838" w:orient="portrait"/>
          <w:cols w:equalWidth="0" w:num="1">
            <w:col w:w="11420"/>
          </w:cols>
          <w:pgMar w:left="240" w:top="2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Income (Unaudited)</w:t>
      </w:r>
    </w:p>
    <w:p>
      <w:pPr>
        <w:spacing w:after="0" w:line="196" w:lineRule="exact"/>
        <w:rPr>
          <w:sz w:val="20"/>
          <w:szCs w:val="20"/>
          <w:color w:val="auto"/>
        </w:rPr>
      </w:pPr>
    </w:p>
    <w:p>
      <w:pPr>
        <w:ind w:left="7700"/>
        <w:spacing w:after="0"/>
        <w:rPr>
          <w:sz w:val="20"/>
          <w:szCs w:val="20"/>
          <w:color w:val="auto"/>
        </w:rPr>
      </w:pPr>
      <w:r>
        <w:rPr>
          <w:rFonts w:ascii="Arial" w:cs="Arial" w:eastAsia="Arial" w:hAnsi="Arial"/>
          <w:sz w:val="12"/>
          <w:szCs w:val="12"/>
          <w:b w:val="1"/>
          <w:bCs w:val="1"/>
          <w:i w:val="1"/>
          <w:iCs w:val="1"/>
          <w:color w:val="auto"/>
        </w:rPr>
        <w:t>(Stated in thousands except per share amounts)</w:t>
      </w:r>
    </w:p>
    <w:p>
      <w:pPr>
        <w:spacing w:after="0" w:line="76" w:lineRule="exact"/>
        <w:rPr>
          <w:sz w:val="20"/>
          <w:szCs w:val="20"/>
          <w:color w:val="auto"/>
        </w:rPr>
      </w:pPr>
    </w:p>
    <w:p>
      <w:pPr>
        <w:jc w:val="right"/>
        <w:ind w:right="800"/>
        <w:spacing w:after="0"/>
        <w:tabs>
          <w:tab w:leader="none" w:pos="720" w:val="left"/>
        </w:tabs>
        <w:rPr>
          <w:sz w:val="20"/>
          <w:szCs w:val="20"/>
          <w:color w:val="auto"/>
        </w:rPr>
      </w:pPr>
      <w:r>
        <w:rPr>
          <w:rFonts w:ascii="Arial" w:cs="Arial" w:eastAsia="Arial" w:hAnsi="Arial"/>
          <w:sz w:val="14"/>
          <w:szCs w:val="14"/>
          <w:b w:val="1"/>
          <w:bCs w:val="1"/>
          <w:color w:val="auto"/>
        </w:rPr>
        <w:t>Third Quarter</w:t>
      </w:r>
      <w:r>
        <w:rPr>
          <w:sz w:val="20"/>
          <w:szCs w:val="20"/>
          <w:color w:val="auto"/>
        </w:rPr>
        <w:tab/>
      </w:r>
      <w:r>
        <w:rPr>
          <w:rFonts w:ascii="Arial" w:cs="Arial" w:eastAsia="Arial" w:hAnsi="Arial"/>
          <w:sz w:val="12"/>
          <w:szCs w:val="12"/>
          <w:b w:val="1"/>
          <w:bCs w:val="1"/>
          <w:color w:val="auto"/>
        </w:rPr>
        <w:t>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68580</wp:posOffset>
            </wp:positionV>
            <wp:extent cx="29159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For Periods Ended September 30</w:t>
            </w:r>
          </w:p>
        </w:tc>
        <w:tc>
          <w:tcPr>
            <w:tcW w:w="8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740" w:type="dxa"/>
            <w:vAlign w:val="bottom"/>
            <w:gridSpan w:val="2"/>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67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3,508,067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4"/>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6"/>
              </w:rPr>
              <w:t>10,309,931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Operating</w:t>
            </w:r>
          </w:p>
        </w:tc>
        <w:tc>
          <w:tcPr>
            <w:tcW w:w="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3,388,985</w:t>
            </w:r>
          </w:p>
        </w:tc>
        <w:tc>
          <w:tcPr>
            <w:tcW w:w="420" w:type="dxa"/>
            <w:vAlign w:val="bottom"/>
            <w:gridSpan w:val="4"/>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Interest and other income</w:t>
            </w:r>
            <w:r>
              <w:rPr>
                <w:rFonts w:ascii="Arial" w:cs="Arial" w:eastAsia="Arial" w:hAnsi="Arial"/>
                <w:sz w:val="22"/>
                <w:szCs w:val="22"/>
                <w:color w:val="auto"/>
                <w:vertAlign w:val="superscript"/>
              </w:rPr>
              <w:t>(1)</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29,579</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40,917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98,325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6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3,537,646</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3,429,902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10,408,256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7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Expenses</w:t>
            </w: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7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3,164,248</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8,545,768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40" w:type="dxa"/>
            <w:vAlign w:val="bottom"/>
            <w:gridSpan w:val="2"/>
          </w:tcPr>
          <w:p>
            <w:pPr>
              <w:ind w:left="440"/>
              <w:spacing w:after="0" w:line="210" w:lineRule="exact"/>
              <w:rPr>
                <w:sz w:val="20"/>
                <w:szCs w:val="20"/>
                <w:color w:val="auto"/>
              </w:rPr>
            </w:pPr>
            <w:r>
              <w:rPr>
                <w:rFonts w:ascii="Arial" w:cs="Arial" w:eastAsia="Arial" w:hAnsi="Arial"/>
                <w:sz w:val="18"/>
                <w:szCs w:val="18"/>
                <w:color w:val="auto"/>
              </w:rPr>
              <w:t>Cost of goods sold and services</w:t>
            </w:r>
            <w:r>
              <w:rPr>
                <w:rFonts w:ascii="Arial" w:cs="Arial" w:eastAsia="Arial" w:hAnsi="Arial"/>
                <w:sz w:val="22"/>
                <w:szCs w:val="22"/>
                <w:color w:val="auto"/>
                <w:vertAlign w:val="superscript"/>
              </w:rPr>
              <w:t>(2) (4)</w:t>
            </w: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2,699,281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Research &amp; engineering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156,195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154,325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455,197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Marketing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92,352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93,538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269,037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General</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170,178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164,092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502,045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line="217" w:lineRule="exact"/>
              <w:rPr>
                <w:sz w:val="20"/>
                <w:szCs w:val="20"/>
                <w:color w:val="auto"/>
              </w:rPr>
            </w:pPr>
            <w:r>
              <w:rPr>
                <w:rFonts w:ascii="Arial" w:cs="Arial" w:eastAsia="Arial" w:hAnsi="Arial"/>
                <w:sz w:val="18"/>
                <w:szCs w:val="18"/>
                <w:color w:val="auto"/>
              </w:rPr>
              <w:t>Debt extinguishment costs</w:t>
            </w:r>
            <w:r>
              <w:rPr>
                <w:rFonts w:ascii="Arial" w:cs="Arial" w:eastAsia="Arial" w:hAnsi="Arial"/>
                <w:sz w:val="22"/>
                <w:szCs w:val="22"/>
                <w:color w:val="auto"/>
                <w:vertAlign w:val="superscript"/>
              </w:rPr>
              <w:t>(3)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86,328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167,801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75,926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98,238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261,090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3,745,227</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3,209,474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10,200,938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6740" w:type="dxa"/>
            <w:vAlign w:val="bottom"/>
            <w:gridSpan w:val="2"/>
          </w:tcPr>
          <w:p>
            <w:pPr>
              <w:spacing w:after="0"/>
              <w:rPr>
                <w:sz w:val="20"/>
                <w:szCs w:val="20"/>
                <w:color w:val="auto"/>
              </w:rPr>
            </w:pPr>
            <w:r>
              <w:rPr>
                <w:rFonts w:ascii="Arial" w:cs="Arial" w:eastAsia="Arial" w:hAnsi="Arial"/>
                <w:sz w:val="18"/>
                <w:szCs w:val="18"/>
                <w:i w:val="1"/>
                <w:iCs w:val="1"/>
                <w:color w:val="auto"/>
              </w:rPr>
              <w:t>Income (Loss) from continuing operations before taxes and minority interest</w:t>
            </w:r>
          </w:p>
        </w:tc>
        <w:tc>
          <w:tcPr>
            <w:tcW w:w="80" w:type="dxa"/>
            <w:vAlign w:val="bottom"/>
          </w:tcPr>
          <w:p>
            <w:pPr>
              <w:spacing w:after="0"/>
              <w:rPr>
                <w:sz w:val="24"/>
                <w:szCs w:val="24"/>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5"/>
              </w:rPr>
              <w:t>(207,581)</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220,428</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207,318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740" w:type="dxa"/>
            <w:vAlign w:val="bottom"/>
            <w:gridSpan w:val="2"/>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22"/>
                <w:szCs w:val="22"/>
                <w:color w:val="auto"/>
                <w:vertAlign w:val="superscript"/>
              </w:rPr>
              <w:t>(4)</w:t>
            </w:r>
          </w:p>
        </w:tc>
        <w:tc>
          <w:tcPr>
            <w:tcW w:w="80" w:type="dxa"/>
            <w:vAlign w:val="bottom"/>
          </w:tcPr>
          <w:p>
            <w:pPr>
              <w:spacing w:after="0"/>
              <w:rPr>
                <w:sz w:val="24"/>
                <w:szCs w:val="24"/>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(41,378)</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56,878</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90,124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6740" w:type="dxa"/>
            <w:vAlign w:val="bottom"/>
            <w:gridSpan w:val="2"/>
          </w:tcPr>
          <w:p>
            <w:pPr>
              <w:spacing w:after="0"/>
              <w:rPr>
                <w:sz w:val="20"/>
                <w:szCs w:val="20"/>
                <w:color w:val="auto"/>
              </w:rPr>
            </w:pPr>
            <w:r>
              <w:rPr>
                <w:rFonts w:ascii="Arial" w:cs="Arial" w:eastAsia="Arial" w:hAnsi="Arial"/>
                <w:sz w:val="18"/>
                <w:szCs w:val="18"/>
                <w:i w:val="1"/>
                <w:iCs w:val="1"/>
                <w:color w:val="auto"/>
              </w:rPr>
              <w:t>Income (Loss) from continuing operations before minority interest</w:t>
            </w:r>
          </w:p>
        </w:tc>
        <w:tc>
          <w:tcPr>
            <w:tcW w:w="80" w:type="dxa"/>
            <w:vAlign w:val="bottom"/>
          </w:tcPr>
          <w:p>
            <w:pPr>
              <w:spacing w:after="0"/>
              <w:rPr>
                <w:sz w:val="24"/>
                <w:szCs w:val="24"/>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5"/>
              </w:rPr>
              <w:t>(166,203)</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163,550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117,194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740" w:type="dxa"/>
            <w:vAlign w:val="bottom"/>
            <w:gridSpan w:val="2"/>
          </w:tcPr>
          <w:p>
            <w:pPr>
              <w:spacing w:after="0"/>
              <w:rPr>
                <w:sz w:val="20"/>
                <w:szCs w:val="20"/>
                <w:color w:val="auto"/>
              </w:rPr>
            </w:pPr>
            <w:r>
              <w:rPr>
                <w:rFonts w:ascii="Arial" w:cs="Arial" w:eastAsia="Arial" w:hAnsi="Arial"/>
                <w:sz w:val="18"/>
                <w:szCs w:val="18"/>
                <w:color w:val="auto"/>
              </w:rPr>
              <w:t>Minority interest</w:t>
            </w:r>
            <w:r>
              <w:rPr>
                <w:rFonts w:ascii="Arial" w:cs="Arial" w:eastAsia="Arial" w:hAnsi="Arial"/>
                <w:sz w:val="22"/>
                <w:szCs w:val="22"/>
                <w:color w:val="auto"/>
                <w:vertAlign w:val="superscript"/>
              </w:rPr>
              <w:t>(2) (4)</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110,880</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4,688</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117,800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6740" w:type="dxa"/>
            <w:vAlign w:val="bottom"/>
            <w:gridSpan w:val="2"/>
          </w:tcPr>
          <w:p>
            <w:pPr>
              <w:spacing w:after="0"/>
              <w:rPr>
                <w:sz w:val="20"/>
                <w:szCs w:val="20"/>
                <w:color w:val="auto"/>
              </w:rPr>
            </w:pPr>
            <w:r>
              <w:rPr>
                <w:rFonts w:ascii="Arial" w:cs="Arial" w:eastAsia="Arial" w:hAnsi="Arial"/>
                <w:sz w:val="18"/>
                <w:szCs w:val="18"/>
                <w:i w:val="1"/>
                <w:iCs w:val="1"/>
                <w:color w:val="auto"/>
              </w:rPr>
              <w:t>Income (Loss) from Continuing Operations</w:t>
            </w:r>
          </w:p>
        </w:tc>
        <w:tc>
          <w:tcPr>
            <w:tcW w:w="80" w:type="dxa"/>
            <w:vAlign w:val="bottom"/>
          </w:tcPr>
          <w:p>
            <w:pPr>
              <w:spacing w:after="0"/>
              <w:rPr>
                <w:sz w:val="24"/>
                <w:szCs w:val="24"/>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(55,323)</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168,238</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234,994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40" w:type="dxa"/>
            <w:vAlign w:val="bottom"/>
            <w:gridSpan w:val="2"/>
          </w:tcPr>
          <w:p>
            <w:pPr>
              <w:spacing w:after="0"/>
              <w:rPr>
                <w:sz w:val="20"/>
                <w:szCs w:val="20"/>
                <w:color w:val="auto"/>
              </w:rPr>
            </w:pPr>
            <w:r>
              <w:rPr>
                <w:rFonts w:ascii="Arial" w:cs="Arial" w:eastAsia="Arial" w:hAnsi="Arial"/>
                <w:sz w:val="18"/>
                <w:szCs w:val="18"/>
                <w:i w:val="1"/>
                <w:iCs w:val="1"/>
                <w:color w:val="auto"/>
              </w:rPr>
              <w:t>Income (Loss) from Discontinued Operations</w:t>
            </w:r>
          </w:p>
        </w:tc>
        <w:tc>
          <w:tcPr>
            <w:tcW w:w="80" w:type="dxa"/>
            <w:vAlign w:val="bottom"/>
          </w:tcPr>
          <w:p>
            <w:pPr>
              <w:spacing w:after="0"/>
              <w:rPr>
                <w:sz w:val="19"/>
                <w:szCs w:val="19"/>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4,599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(29,033)</w:t>
            </w:r>
          </w:p>
        </w:tc>
        <w:tc>
          <w:tcPr>
            <w:tcW w:w="0" w:type="dxa"/>
            <w:vAlign w:val="bottom"/>
          </w:tcPr>
          <w:p>
            <w:pPr>
              <w:spacing w:after="0"/>
              <w:rPr>
                <w:sz w:val="1"/>
                <w:szCs w:val="1"/>
                <w:color w:val="auto"/>
              </w:rPr>
            </w:pPr>
          </w:p>
        </w:tc>
      </w:tr>
      <w:tr>
        <w:trPr>
          <w:trHeight w:val="110"/>
        </w:trPr>
        <w:tc>
          <w:tcPr>
            <w:tcW w:w="6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40" w:type="dxa"/>
            <w:vAlign w:val="bottom"/>
            <w:gridSpan w:val="2"/>
          </w:tcPr>
          <w:p>
            <w:pPr>
              <w:spacing w:after="0"/>
              <w:rPr>
                <w:sz w:val="20"/>
                <w:szCs w:val="20"/>
                <w:color w:val="auto"/>
              </w:rPr>
            </w:pPr>
            <w:r>
              <w:rPr>
                <w:rFonts w:ascii="Arial" w:cs="Arial" w:eastAsia="Arial" w:hAnsi="Arial"/>
                <w:sz w:val="18"/>
                <w:szCs w:val="18"/>
                <w:i w:val="1"/>
                <w:iCs w:val="1"/>
                <w:color w:val="auto"/>
              </w:rPr>
              <w:t>Net Income (Loss)</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(55,323)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172,837</w:t>
            </w:r>
          </w:p>
        </w:tc>
        <w:tc>
          <w:tcPr>
            <w:tcW w:w="4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205,961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674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1240" w:type="dxa"/>
            <w:vAlign w:val="bottom"/>
            <w:gridSpan w:val="3"/>
            <w:vMerge w:val="restart"/>
          </w:tcPr>
          <w:p>
            <w:pPr>
              <w:jc w:val="right"/>
              <w:ind w:right="480"/>
              <w:spacing w:after="0"/>
              <w:rPr>
                <w:sz w:val="20"/>
                <w:szCs w:val="20"/>
                <w:color w:val="auto"/>
              </w:rPr>
            </w:pPr>
            <w:r>
              <w:rPr>
                <w:rFonts w:ascii="Arial" w:cs="Arial" w:eastAsia="Arial" w:hAnsi="Arial"/>
                <w:sz w:val="18"/>
                <w:szCs w:val="18"/>
                <w:b w:val="1"/>
                <w:bCs w:val="1"/>
                <w:color w:val="auto"/>
              </w:rPr>
              <w:t>(0.09)</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gridSpan w:val="4"/>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0.29</w:t>
            </w:r>
          </w:p>
        </w:tc>
        <w:tc>
          <w:tcPr>
            <w:tcW w:w="420" w:type="dxa"/>
            <w:vAlign w:val="bottom"/>
            <w:gridSpan w:val="4"/>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4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w:t>
            </w:r>
          </w:p>
        </w:tc>
        <w:tc>
          <w:tcPr>
            <w:tcW w:w="80" w:type="dxa"/>
            <w:vAlign w:val="bottom"/>
          </w:tcPr>
          <w:p>
            <w:pPr>
              <w:spacing w:after="0"/>
              <w:rPr>
                <w:sz w:val="19"/>
                <w:szCs w:val="19"/>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(0.05)</w:t>
            </w:r>
          </w:p>
        </w:tc>
        <w:tc>
          <w:tcPr>
            <w:tcW w:w="0" w:type="dxa"/>
            <w:vAlign w:val="bottom"/>
          </w:tcPr>
          <w:p>
            <w:pPr>
              <w:spacing w:after="0"/>
              <w:rPr>
                <w:sz w:val="1"/>
                <w:szCs w:val="1"/>
                <w:color w:val="auto"/>
              </w:rPr>
            </w:pPr>
          </w:p>
        </w:tc>
      </w:tr>
      <w:tr>
        <w:trPr>
          <w:trHeight w:val="110"/>
        </w:trPr>
        <w:tc>
          <w:tcPr>
            <w:tcW w:w="6740" w:type="dxa"/>
            <w:vAlign w:val="bottom"/>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gridSpan w:val="3"/>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0.30</w:t>
            </w:r>
          </w:p>
        </w:tc>
        <w:tc>
          <w:tcPr>
            <w:tcW w:w="4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674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585,179</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579,632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583,288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4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8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585,179(*)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581,856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593,420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-4920615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-4646295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-4363085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-4079875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-3805555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-3531235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-2973705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-2691130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-2270760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-1850390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-1430020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-855980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-1226185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-1226185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-1226185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-1226185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-1226185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-1226185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-1226185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-1226185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-1226185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-368935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-368935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-368935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-368935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-368935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-368935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-368935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-368935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-368935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(*)There was no dilution of shares in the third quarter of 2003 due to the net loss. Assuming dilution, fully diluted shares would have been 607,255.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5220" w:type="dxa"/>
            <w:vAlign w:val="bottom"/>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22"/>
                <w:szCs w:val="22"/>
                <w:color w:val="auto"/>
                <w:vertAlign w:val="superscript"/>
              </w:rPr>
              <w:t>(5)</w:t>
            </w:r>
          </w:p>
        </w:tc>
        <w:tc>
          <w:tcPr>
            <w:tcW w:w="2580" w:type="dxa"/>
            <w:vAlign w:val="bottom"/>
          </w:tcPr>
          <w:p>
            <w:pPr>
              <w:jc w:val="right"/>
              <w:ind w:right="172"/>
              <w:spacing w:after="0"/>
              <w:rPr>
                <w:sz w:val="20"/>
                <w:szCs w:val="20"/>
                <w:color w:val="auto"/>
              </w:rPr>
            </w:pPr>
            <w:r>
              <w:rPr>
                <w:rFonts w:ascii="Arial" w:cs="Arial" w:eastAsia="Arial" w:hAnsi="Arial"/>
                <w:sz w:val="18"/>
                <w:szCs w:val="18"/>
                <w:b w:val="1"/>
                <w:bCs w:val="1"/>
                <w:color w:val="auto"/>
              </w:rPr>
              <w:t>$  410,849</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  402,280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  1,211,967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21590</wp:posOffset>
            </wp:positionV>
            <wp:extent cx="21355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interest income of:</w:t>
      </w:r>
    </w:p>
    <w:p>
      <w:pPr>
        <w:spacing w:after="0" w:line="15" w:lineRule="exact"/>
        <w:rPr>
          <w:rFonts w:ascii="Arial" w:cs="Arial" w:eastAsia="Arial" w:hAnsi="Arial"/>
          <w:sz w:val="18"/>
          <w:szCs w:val="18"/>
          <w:color w:val="auto"/>
        </w:rPr>
      </w:pPr>
    </w:p>
    <w:p>
      <w:pPr>
        <w:ind w:left="800" w:hanging="346"/>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Third quarter 2003—$11 million (2002—$17 million).</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Nine months 2003—$39 million (2002—$56 million).</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wp:posOffset>
            </wp:positionV>
            <wp:extent cx="5143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00" w:hanging="98"/>
        <w:spacing w:after="0"/>
        <w:tabs>
          <w:tab w:leader="none" w:pos="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9,857,578</w:t>
      </w:r>
    </w:p>
    <w:p>
      <w:pPr>
        <w:spacing w:after="0" w:line="38"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112,930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5143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9,970,508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5143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7,783,085</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458,481</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266,305</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479,823</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276,904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5143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9,264,598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5143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705,910</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187,391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5143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3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518,519</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75565</wp:posOffset>
            </wp:positionV>
            <wp:extent cx="5143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1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516,070</w:t>
      </w:r>
    </w:p>
    <w:p>
      <w:pPr>
        <w:spacing w:after="0" w:line="1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75565</wp:posOffset>
            </wp:positionV>
            <wp:extent cx="5143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1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541,344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54419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419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00" w:hanging="49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0.89</w:t>
      </w:r>
    </w:p>
    <w:p>
      <w:pPr>
        <w:spacing w:after="0" w:line="1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75565</wp:posOffset>
            </wp:positionV>
            <wp:extent cx="5143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12" w:lineRule="exact"/>
        <w:rPr>
          <w:sz w:val="20"/>
          <w:szCs w:val="20"/>
          <w:color w:val="auto"/>
        </w:rPr>
      </w:pPr>
    </w:p>
    <w:p>
      <w:pPr>
        <w:ind w:left="500" w:hanging="49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54419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4195" cy="29845"/>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577,727</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581,468</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$ 1,148,879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5143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058" w:lineRule="exact"/>
        <w:rPr>
          <w:sz w:val="20"/>
          <w:szCs w:val="20"/>
          <w:color w:val="auto"/>
        </w:rPr>
      </w:pPr>
    </w:p>
    <w:p>
      <w:pPr>
        <w:sectPr>
          <w:pgSz w:w="11900" w:h="16838" w:orient="portrait"/>
          <w:cols w:equalWidth="0" w:num="2">
            <w:col w:w="10400" w:space="100"/>
            <w:col w:w="900"/>
          </w:cols>
          <w:pgMar w:left="240" w:top="274" w:right="259" w:bottom="1440" w:gutter="0" w:footer="0" w:header="0"/>
          <w:type w:val="continuous"/>
        </w:sectPr>
      </w:pPr>
    </w:p>
    <w:p>
      <w:pPr>
        <w:ind w:left="460" w:right="38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first quarter of 2002 includes a $29 million charge (pretax $30 million and minority interest credit of $1 million) related to the financial/economic crisis in Argentina ($0.05 per share – diluted).</w:t>
      </w: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Related to the repurchase of European bonds ($0.14 per share in the second quarter of 2003 and $0.14 per share in the third quarter of 2003).</w:t>
      </w:r>
    </w:p>
    <w:p>
      <w:pPr>
        <w:spacing w:after="0" w:line="3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third quarter of 2003 includes a $205 million ($0.34 per share) multiclient library impairment charge (pretax $398 million, tax benefit $106 million and minority interest credit $88 million), a $38 million ($0.06 per share) vessel impairment charge (pretax $54 million and minority interest credit $16 million) and a pretax and after tax gain of $31 million ($0.05 per share) on the sale of a rig. In addition, the quarter included a provision for insurance claims and a release of a prior period business divestiture reserve which substantially offset.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ectPr>
          <w:pgSz w:w="11900" w:h="16838" w:orient="portrait"/>
          <w:cols w:equalWidth="0" w:num="1">
            <w:col w:w="11400"/>
          </w:cols>
          <w:pgMar w:left="240" w:top="274"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Consolidated Balance Sheet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2"/>
              </w:rPr>
              <w:t>(Stated in thousands)</w:t>
            </w:r>
          </w:p>
        </w:tc>
        <w:tc>
          <w:tcPr>
            <w:tcW w:w="0" w:type="dxa"/>
            <w:vAlign w:val="bottom"/>
          </w:tcPr>
          <w:p>
            <w:pPr>
              <w:spacing w:after="0"/>
              <w:rPr>
                <w:sz w:val="1"/>
                <w:szCs w:val="1"/>
                <w:color w:val="auto"/>
              </w:rPr>
            </w:pPr>
          </w:p>
        </w:tc>
      </w:tr>
      <w:tr>
        <w:trPr>
          <w:trHeight w:val="174"/>
        </w:trPr>
        <w:tc>
          <w:tcPr>
            <w:tcW w:w="87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Assets</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Sept. 30, 2003</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 31, 2002</w:t>
            </w:r>
          </w:p>
        </w:tc>
        <w:tc>
          <w:tcPr>
            <w:tcW w:w="0" w:type="dxa"/>
            <w:vAlign w:val="bottom"/>
          </w:tcPr>
          <w:p>
            <w:pPr>
              <w:spacing w:after="0"/>
              <w:rPr>
                <w:sz w:val="1"/>
                <w:szCs w:val="1"/>
                <w:color w:val="auto"/>
              </w:rPr>
            </w:pPr>
          </w:p>
        </w:tc>
      </w:tr>
      <w:tr>
        <w:trPr>
          <w:trHeight w:val="95"/>
        </w:trPr>
        <w:tc>
          <w:tcPr>
            <w:tcW w:w="8780" w:type="dxa"/>
            <w:vAlign w:val="bottom"/>
            <w:gridSpan w:val="3"/>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7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Cash and short-term investments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2,018,213</w:t>
            </w:r>
          </w:p>
        </w:tc>
        <w:tc>
          <w:tcPr>
            <w:tcW w:w="70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1,736,016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5,513,544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7,531,757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7,185,440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250,000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4,316,035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i w:val="1"/>
                <w:iCs w:val="1"/>
                <w:color w:val="auto"/>
              </w:rPr>
              <w:t>Multiclient seismic data</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539,120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1,018,483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4,409,178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i w:val="1"/>
                <w:iCs w:val="1"/>
                <w:color w:val="auto"/>
              </w:rPr>
              <w:t>Other assets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1,970,832</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1,930,023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19,016,922</w:t>
            </w:r>
          </w:p>
        </w:tc>
        <w:tc>
          <w:tcPr>
            <w:tcW w:w="7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19,435,195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4,148,617</w:t>
            </w:r>
          </w:p>
        </w:tc>
        <w:tc>
          <w:tcPr>
            <w:tcW w:w="7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687,495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956,310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110,389</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5,902,811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6,450,918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i w:val="1"/>
                <w:iCs w:val="1"/>
                <w:color w:val="auto"/>
              </w:rPr>
              <w:t>Long-term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6,178,820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6,028,549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592,401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i w:val="1"/>
                <w:iCs w:val="1"/>
                <w:color w:val="auto"/>
              </w:rPr>
              <w:t>Other liabilities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263,912</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12,937,944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13,275,530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i w:val="1"/>
                <w:iCs w:val="1"/>
                <w:color w:val="auto"/>
              </w:rPr>
              <w:t>Minority interest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397,386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553,527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5,681,592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19,016,922</w:t>
            </w:r>
          </w:p>
        </w:tc>
        <w:tc>
          <w:tcPr>
            <w:tcW w:w="7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19,435,195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-2550795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-2550795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-2550795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-2550795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-2550795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-2550795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p>
      <w:pPr>
        <w:ind w:left="4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 (Unaudited)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Net Debt represents gross debt less cash, short-term investments and fixed income investments, held to maturity. Details of Net Debt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90"/>
              </w:rPr>
              <w:t>(Stated in millions)</w:t>
            </w:r>
          </w:p>
        </w:tc>
        <w:tc>
          <w:tcPr>
            <w:tcW w:w="0" w:type="dxa"/>
            <w:vAlign w:val="bottom"/>
          </w:tcPr>
          <w:p>
            <w:pPr>
              <w:spacing w:after="0"/>
              <w:rPr>
                <w:sz w:val="1"/>
                <w:szCs w:val="1"/>
                <w:color w:val="auto"/>
              </w:rPr>
            </w:pPr>
          </w:p>
        </w:tc>
      </w:tr>
      <w:tr>
        <w:trPr>
          <w:trHeight w:val="174"/>
        </w:trPr>
        <w:tc>
          <w:tcPr>
            <w:tcW w:w="88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Nine Months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8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working capital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Debt extinguishment costs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plans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Sale of NPTest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Grant Prideco stock</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90"/>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140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Sept. 30,</w:t>
            </w:r>
          </w:p>
        </w:tc>
        <w:tc>
          <w:tcPr>
            <w:tcW w:w="20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88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Components of Net Debt</w:t>
            </w:r>
          </w:p>
        </w:tc>
        <w:tc>
          <w:tcPr>
            <w:tcW w:w="100" w:type="dxa"/>
            <w:vAlign w:val="bottom"/>
          </w:tcPr>
          <w:p>
            <w:pPr>
              <w:spacing w:after="0"/>
              <w:rPr>
                <w:sz w:val="15"/>
                <w:szCs w:val="15"/>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2003</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60" w:type="dxa"/>
            <w:vAlign w:val="bottom"/>
            <w:gridSpan w:val="2"/>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8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7"/>
              </w:rPr>
              <w:t>2,018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(956)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8"/>
                <w:szCs w:val="18"/>
                <w:color w:val="auto"/>
                <w:w w:val="87"/>
              </w:rPr>
              <w:t>(6,179)</w:t>
            </w:r>
          </w:p>
        </w:tc>
        <w:tc>
          <w:tcPr>
            <w:tcW w:w="2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87"/>
              </w:rPr>
              <w:t>(4,867)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-1546860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-1546860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-1546860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3898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Review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gridSpan w:val="6"/>
            <w:vMerge w:val="restart"/>
          </w:tcPr>
          <w:p>
            <w:pPr>
              <w:spacing w:after="0"/>
              <w:rPr>
                <w:sz w:val="20"/>
                <w:szCs w:val="20"/>
                <w:color w:val="auto"/>
              </w:rPr>
            </w:pPr>
            <w:r>
              <w:rPr>
                <w:rFonts w:ascii="Arial" w:cs="Arial" w:eastAsia="Arial" w:hAnsi="Arial"/>
                <w:sz w:val="18"/>
                <w:szCs w:val="18"/>
                <w:i w:val="1"/>
                <w:iCs w:val="1"/>
                <w:color w:val="auto"/>
              </w:rPr>
              <w:t>(Stated in millions)</w:t>
            </w: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8"/>
              </w:rPr>
              <w:t>Third Quarter</w:t>
            </w: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Nine Months</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60" w:type="dxa"/>
            <w:vAlign w:val="bottom"/>
            <w:gridSpan w:val="6"/>
            <w:vMerge w:val="continue"/>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160" w:type="dxa"/>
            <w:vAlign w:val="bottom"/>
            <w:gridSpan w:val="6"/>
            <w:vMerge w:val="continue"/>
          </w:tcPr>
          <w:p>
            <w:pPr>
              <w:spacing w:after="0"/>
              <w:rPr>
                <w:sz w:val="8"/>
                <w:szCs w:val="8"/>
                <w:color w:val="auto"/>
              </w:rPr>
            </w:pPr>
          </w:p>
        </w:tc>
        <w:tc>
          <w:tcPr>
            <w:tcW w:w="2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(2)</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3"/>
              </w:rPr>
              <w:t>2002</w:t>
            </w:r>
          </w:p>
        </w:tc>
        <w:tc>
          <w:tcPr>
            <w:tcW w:w="400" w:type="dxa"/>
            <w:vAlign w:val="bottom"/>
          </w:tcPr>
          <w:p>
            <w:pPr>
              <w:spacing w:after="0"/>
              <w:rPr>
                <w:sz w:val="8"/>
                <w:szCs w:val="8"/>
                <w:color w:val="auto"/>
              </w:rPr>
            </w:pPr>
          </w:p>
        </w:tc>
        <w:tc>
          <w:tcPr>
            <w:tcW w:w="8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2"/>
              </w:rPr>
              <w:t>% chg</w:t>
            </w: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5"/>
              </w:rPr>
              <w:t>2003</w:t>
            </w:r>
            <w:r>
              <w:rPr>
                <w:rFonts w:ascii="Arial" w:cs="Arial" w:eastAsia="Arial" w:hAnsi="Arial"/>
                <w:sz w:val="22"/>
                <w:szCs w:val="22"/>
                <w:b w:val="1"/>
                <w:bCs w:val="1"/>
                <w:color w:val="auto"/>
                <w:w w:val="85"/>
                <w:vertAlign w:val="superscript"/>
              </w:rPr>
              <w:t>(2)</w:t>
            </w:r>
          </w:p>
        </w:tc>
        <w:tc>
          <w:tcPr>
            <w:tcW w:w="120" w:type="dxa"/>
            <w:vAlign w:val="bottom"/>
          </w:tcPr>
          <w:p>
            <w:pPr>
              <w:spacing w:after="0"/>
              <w:rPr>
                <w:sz w:val="8"/>
                <w:szCs w:val="8"/>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2002</w:t>
            </w:r>
            <w:r>
              <w:rPr>
                <w:rFonts w:ascii="Arial" w:cs="Arial" w:eastAsia="Arial" w:hAnsi="Arial"/>
                <w:sz w:val="22"/>
                <w:szCs w:val="22"/>
                <w:b w:val="1"/>
                <w:bCs w:val="1"/>
                <w:color w:val="auto"/>
                <w:vertAlign w:val="superscript"/>
              </w:rPr>
              <w:t>(2)</w:t>
            </w:r>
          </w:p>
        </w:tc>
        <w:tc>
          <w:tcPr>
            <w:tcW w:w="300" w:type="dxa"/>
            <w:vAlign w:val="bottom"/>
          </w:tcPr>
          <w:p>
            <w:pPr>
              <w:spacing w:after="0"/>
              <w:rPr>
                <w:sz w:val="8"/>
                <w:szCs w:val="8"/>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7"/>
              </w:rPr>
              <w:t>% chg</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7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82"/>
              </w:rPr>
              <w:t>Oilfield Services</w:t>
            </w:r>
          </w:p>
        </w:tc>
        <w:tc>
          <w:tcPr>
            <w:tcW w:w="2960" w:type="dxa"/>
            <w:vAlign w:val="bottom"/>
            <w:tcBorders>
              <w:bottom w:val="single" w:sz="8" w:color="CCEEFF"/>
            </w:tcBorders>
            <w:gridSpan w:val="2"/>
            <w:shd w:val="clear" w:color="auto" w:fill="CCEEFF"/>
          </w:tcPr>
          <w:p>
            <w:pPr>
              <w:spacing w:after="0"/>
              <w:rPr>
                <w:sz w:val="17"/>
                <w:szCs w:val="17"/>
                <w:color w:val="auto"/>
              </w:rPr>
            </w:pPr>
          </w:p>
        </w:tc>
        <w:tc>
          <w:tcPr>
            <w:tcW w:w="2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5"/>
          </w:tcPr>
          <w:p>
            <w:pPr>
              <w:spacing w:after="0"/>
              <w:rPr>
                <w:sz w:val="20"/>
                <w:szCs w:val="20"/>
                <w:color w:val="auto"/>
              </w:rPr>
            </w:pPr>
            <w:r>
              <w:rPr>
                <w:rFonts w:ascii="Arial" w:cs="Arial" w:eastAsia="Arial" w:hAnsi="Arial"/>
                <w:sz w:val="18"/>
                <w:szCs w:val="18"/>
                <w:color w:val="auto"/>
              </w:rPr>
              <w:t>Operating Revenue</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2,179</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2,018</w:t>
            </w:r>
          </w:p>
        </w:tc>
        <w:tc>
          <w:tcPr>
            <w:tcW w:w="4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6,282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5,881</w:t>
            </w:r>
          </w:p>
        </w:tc>
        <w:tc>
          <w:tcPr>
            <w:tcW w:w="3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5"/>
            <w:shd w:val="clear" w:color="auto" w:fill="CCEEFF"/>
          </w:tcPr>
          <w:p>
            <w:pPr>
              <w:spacing w:after="0" w:line="217" w:lineRule="exact"/>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1,090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5"/>
          </w:tcPr>
          <w:p>
            <w:pPr>
              <w:spacing w:after="0" w:line="176" w:lineRule="exact"/>
              <w:rPr>
                <w:sz w:val="20"/>
                <w:szCs w:val="20"/>
                <w:color w:val="auto"/>
              </w:rPr>
            </w:pPr>
            <w:r>
              <w:rPr>
                <w:rFonts w:ascii="Arial" w:cs="Arial" w:eastAsia="Arial" w:hAnsi="Arial"/>
                <w:sz w:val="18"/>
                <w:szCs w:val="18"/>
                <w:b w:val="1"/>
                <w:bCs w:val="1"/>
                <w:i w:val="1"/>
                <w:iCs w:val="1"/>
                <w:color w:val="auto"/>
              </w:rPr>
              <w:t>WesternGeco</w:t>
            </w: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1,144</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5"/>
          </w:tcPr>
          <w:p>
            <w:pPr>
              <w:spacing w:after="0" w:line="217" w:lineRule="exact"/>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82"/>
              </w:rPr>
              <w:t>SchlumbergerSema</w:t>
            </w:r>
          </w:p>
        </w:tc>
        <w:tc>
          <w:tcPr>
            <w:tcW w:w="272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5"/>
          </w:tcPr>
          <w:p>
            <w:pPr>
              <w:spacing w:after="0"/>
              <w:rPr>
                <w:sz w:val="20"/>
                <w:szCs w:val="20"/>
                <w:color w:val="auto"/>
              </w:rPr>
            </w:pPr>
            <w:r>
              <w:rPr>
                <w:rFonts w:ascii="Arial" w:cs="Arial" w:eastAsia="Arial" w:hAnsi="Arial"/>
                <w:sz w:val="18"/>
                <w:szCs w:val="18"/>
                <w:color w:val="auto"/>
              </w:rPr>
              <w:t>Operating Revenue</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792</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746</w:t>
            </w:r>
          </w:p>
        </w:tc>
        <w:tc>
          <w:tcPr>
            <w:tcW w:w="4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2,425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2,179</w:t>
            </w:r>
          </w:p>
        </w:tc>
        <w:tc>
          <w:tcPr>
            <w:tcW w:w="3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5"/>
            <w:shd w:val="clear" w:color="auto" w:fill="CCEEFF"/>
          </w:tcPr>
          <w:p>
            <w:pPr>
              <w:spacing w:after="0" w:line="217" w:lineRule="exact"/>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5"/>
          </w:tcPr>
          <w:p>
            <w:pPr>
              <w:spacing w:after="0" w:line="176" w:lineRule="exact"/>
              <w:rPr>
                <w:sz w:val="20"/>
                <w:szCs w:val="20"/>
                <w:color w:val="auto"/>
              </w:rPr>
            </w:pPr>
            <w:r>
              <w:rPr>
                <w:rFonts w:ascii="Arial" w:cs="Arial" w:eastAsia="Arial" w:hAnsi="Arial"/>
                <w:sz w:val="16"/>
                <w:szCs w:val="16"/>
                <w:b w:val="1"/>
                <w:bCs w:val="1"/>
                <w:i w:val="1"/>
                <w:iCs w:val="1"/>
                <w:color w:val="auto"/>
              </w:rPr>
              <w:t>Other</w:t>
            </w:r>
            <w:r>
              <w:rPr>
                <w:rFonts w:ascii="Arial" w:cs="Arial" w:eastAsia="Arial" w:hAnsi="Arial"/>
                <w:sz w:val="20"/>
                <w:szCs w:val="20"/>
                <w:b w:val="1"/>
                <w:bCs w:val="1"/>
                <w:i w:val="1"/>
                <w:iCs w:val="1"/>
                <w:color w:val="auto"/>
                <w:vertAlign w:val="superscript"/>
              </w:rPr>
              <w:t>(3)</w:t>
            </w: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946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140" w:type="dxa"/>
            <w:vAlign w:val="bottom"/>
            <w:gridSpan w:val="5"/>
          </w:tcPr>
          <w:p>
            <w:pPr>
              <w:spacing w:after="0"/>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4"/>
                <w:szCs w:val="24"/>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460" w:right="48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Pretax operating income represents income before taxes and minority interest, excluding interest income, interest expense and amortization of certain intangibles.</w:t>
      </w:r>
    </w:p>
    <w:p>
      <w:pPr>
        <w:ind w:left="460" w:right="620" w:hanging="452"/>
        <w:spacing w:after="0" w:line="250" w:lineRule="auto"/>
        <w:tabs>
          <w:tab w:leader="none" w:pos="4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third quarter of 2003 excludes $86 million of debt extinguishment costs and a charge of $421 million for impairment and other charges/credits. The second quarter of 2003 excludes $81 million of debt extinguishment costs.</w:t>
      </w:r>
    </w:p>
    <w:p>
      <w:pPr>
        <w:ind w:left="460"/>
        <w:spacing w:after="0"/>
        <w:rPr>
          <w:rFonts w:ascii="Arial" w:cs="Arial" w:eastAsia="Arial" w:hAnsi="Arial"/>
          <w:sz w:val="18"/>
          <w:szCs w:val="18"/>
          <w:color w:val="auto"/>
        </w:rPr>
      </w:pPr>
      <w:r>
        <w:rPr>
          <w:rFonts w:ascii="Arial" w:cs="Arial" w:eastAsia="Arial" w:hAnsi="Arial"/>
          <w:sz w:val="18"/>
          <w:szCs w:val="18"/>
          <w:color w:val="auto"/>
        </w:rPr>
        <w:t>The first quarter of 2002 excludes a $30 million charge related to the financial/economic crisis in Argentina.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Principally comprises the Cards, Terminals and Meters North America activities.</w:t>
      </w:r>
    </w:p>
    <w:p>
      <w:pPr>
        <w:sectPr>
          <w:pgSz w:w="11900" w:h="16838" w:orient="portrait"/>
          <w:cols w:equalWidth="0" w:num="1">
            <w:col w:w="11420"/>
          </w:cols>
          <w:pgMar w:left="240" w:top="261"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Oilfield Services</w:t>
      </w:r>
    </w:p>
    <w:p>
      <w:pPr>
        <w:spacing w:after="0" w:line="15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Third quarter revenue of $2.18 billion was 2% higher sequentially and increased 8% year-on-year as the M-I rig count increased 9% sequentially and 22% year-on-year. The year-on-year revenue increase was primarily due to growth in North America and Latin America, as well as strong growth in the Wireline, Drilling &amp; Measurements and Well Services businesses.</w:t>
      </w:r>
    </w:p>
    <w:p>
      <w:pPr>
        <w:spacing w:after="0" w:line="12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Pretax operating income of $393 million increased 3% sequentially and 20% year-on-year. The Europe/CIS/West Africa and Latin America GeoMarkets led sequential growth, while the year-on-year increase was primarily spurred by North America land and Latin America, partially offset by lower activities in the Gulf of Mexico.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Revenue of $659 million was 3% higher sequentially and 18% year-on-year as the M-I rig count increased 15% sequentially and 33% year-on-year. Pretax operating income of $92 million was flat sequentially, but increased 41% year-on-year.</w:t>
      </w:r>
    </w:p>
    <w:p>
      <w:pPr>
        <w:spacing w:after="0" w:line="11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Continued high gas prices coupled with incentives from the British Columbia government contributed to increased drilling activity in Canada. US Land posted strong growth both sequentially and year-on-year as strong natural gas markets fueled by low gas storage levels drove rig counts to a two-year high. Tropical storms and unseasonably strong loop currents in the Gulf Coast contributed to sequential and year-on-year declines.</w:t>
      </w:r>
    </w:p>
    <w:p>
      <w:pPr>
        <w:spacing w:after="0" w:line="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Sequentially, the quarter saw a strong performance for Well Services, with increased fracturing work in the Rockies and higher overall activity in Canada. Year-on-year, Well Services, Drilling &amp; Measurements, and Wireline all performed well. Well Services introduced VDA* Viscoelastic Diverting Acid, an advanced acidizing system for carbonate formations, into the Canadian market. Wireline formation sampling behind casing is quickly gaining momentum in the Rockies, where demand for the newly introduced CHDT* Cased Hole Dynamics Tester, part of the ABC* Analysis Behind Casing suite of services, has surged. Sensa*, part of Well Completions &amp; Productivity, achieved a significant milestone with the installation of its two millionth foot of optical fiber in Alberta, Canada, where its distributed temperature sensor system regularly monitors downhole temperatures in excess of 520 degrees F (270 degrees 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$372 million increased 7% sequentially and 17% year-on-year as the M-I rig count increased 3% sequentially and 26% year-on-year. Pretax operating income of $62 million increased 6% sequentially and 43% year-on-year.</w:t>
      </w:r>
    </w:p>
    <w:p>
      <w:pPr>
        <w:spacing w:after="0" w:line="11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High exploration activity in Brazil and drilling rig increases in Argentina led to strong year-on-year performance, however sequential results were affected by a one-time gain the previous quarter. With drilling and workover projects on the rise, Venezuela rig activity returned to last November’s pre-strike levels. Operations in Peru and Ecuador suffered from interruptions due to rig moves, while Colombia saw lower activity. In Mexico, recently awarded contracts came into full effect, with solid execution producing strong results both sequentially and year-on-year.</w:t>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Year-on-year, Wireline, Drilling &amp; Measurements, Well Completions &amp; Productivity and Integrated Project Management all showed strong growth. The deployment of PowerDrive* Rotary Steerable Systems and the ABC suite of services has been a major breakthrough for Schlumberger operations in Venezuela. Well Services introduced LiteCRETE* low-density high strength cement slurry and CemNET* loss circulation technology into Integrated Project Management activity in the area.</w:t>
      </w:r>
    </w:p>
    <w:p>
      <w:pPr>
        <w:sectPr>
          <w:pgSz w:w="11900" w:h="16838" w:orient="portrait"/>
          <w:cols w:equalWidth="0" w:num="1">
            <w:col w:w="11380"/>
          </w:cols>
          <w:pgMar w:left="240" w:top="261"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Europe/CIS/West Africa</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Revenue of $617 million was flat sequentially and decreased 5% year-on-year, as the M-I rig count (excluding Russia) increased 1% sequentially, but decreased 4% year-on-year. Pretax operating income of $116 million increased 1% sequentially and 15% year-on-year.</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Year-on-year revenue declines were primarily impacted by production shutdowns in the Western Niger delta in Nigeria and lower North Sea activity. Year-on-year improvements were driven by Well Completions &amp; Productivity activity in Angola and Chad, and the Galaxie stimulation vessel performing PowerSTIM*, a service which integrates Schlumberger petrophysical and reservoir expertise with completion design, execution and evaluation to deliver improved stimulation treatments. The quarter was marked by the continued positive impact of new technology on operations and pricing. This included the full range of PowerDrive sizes and the growth of significant sales of PhaseWatcher* and PhaseTester* services, which use Vx* production testing technology to measure oil, water and gas in a continuous stream without the need for separation.</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Contract wins during the quarter included the award of the Dalia deepwater 67-well completions project for Total offshore Angola. This contract includes many customized solutions, as well as several differentiating technologies, such as intelligent completions, intervention-less completions tools and monitoring systems. Schlumberger will provide the latest SenTREE* 7 and Commander* telemetry technologies, along with associated services to enable completion running, monitoring and clean-up from dynamically positioned drilling units.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Revenue of $517 million increased 1% sequentially and 8% year-on-year, as the M-I rig count increased 1% sequentially and 7% year-on-year. Pretax operating income of $128 million decreased 4% sequentially, but increased 12% year-on-year.</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Across the Area, there was high demand for several new technologies, such as Well Services’ VDA, LiteCRETE and CemNET; Wireline’s ABC; and Drilling &amp; Measurements’ PowerDrive technologies, as well as SIS’ Petrel subsurface interpretation software. The East Africa and East Mediterranean GeoMarket recorded sequential and year-on-year revenue growth from strong demand for Wireline, Well Services and Well Completions &amp; Productivity services. Delivery of Artificial Lift pumps resulted in sequential and year-on-year growth in the Arabian GeoMarket. Sequential growth was strong in the Malaysia/Brunei/Philippines GeoMarket with higher deepwater activity using Wireline and Well Services technologies.</w:t>
      </w:r>
    </w:p>
    <w:p>
      <w:pPr>
        <w:spacing w:after="0" w:line="102"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During the quarter, Schlumberger was awarded a three-year bundled services contract as part of a consortium providing services for India’s Oil and Natural Gas Corporation’s (ONGC) 6,000 ft. (1,800 meters) deepwater campaign. Schlumberger was also sub-contracted to assist with securing ONGC’s three-year, 9,900 ft. (3,000 meters) deepwater project. The work, which is expected to start later this year, includes logging-while-drilling, directional drilling, wireline logging, drill stem testing, well testing, and cementing services. Schlumberger technical leadership, deepwater expertise and local experience were key to securing this work.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64" w:lineRule="exact"/>
        <w:rPr>
          <w:sz w:val="20"/>
          <w:szCs w:val="20"/>
          <w:color w:val="auto"/>
        </w:rPr>
      </w:pPr>
    </w:p>
    <w:p>
      <w:pPr>
        <w:ind w:left="340" w:right="100" w:hanging="332"/>
        <w:spacing w:after="0" w:line="30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Alaska, BP awarded Schlumberger a five-year contract to provide integrated solutions on the North Slope. Schlumberger will provide a comprehensive range of reservoir stimulation and production enhancement services for new and existing wells; conventional and coiled tubing drilling programs, including cementing, tubing-conveyed perforating, coiled tubing, fracturing and matrix stimulation and slickline; and Wireline and Drilling &amp; Measurements services.</w:t>
      </w:r>
    </w:p>
    <w:p>
      <w:pPr>
        <w:sectPr>
          <w:pgSz w:w="11900" w:h="16838" w:orient="portrait"/>
          <w:cols w:equalWidth="0" w:num="1">
            <w:col w:w="11420"/>
          </w:cols>
          <w:pgMar w:left="240" w:top="274" w:right="239" w:bottom="1440" w:gutter="0" w:footer="0" w:header="0"/>
        </w:sectPr>
      </w:pPr>
    </w:p>
    <w:bookmarkStart w:id="11" w:name="page12"/>
    <w:bookmarkEnd w:id="11"/>
    <w:p>
      <w:pPr>
        <w:ind w:left="340" w:hanging="332"/>
        <w:spacing w:after="0" w:line="25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Russia, Schlumberger and Sibneft achieved several significant milestones, which included the completion of 1,000 fracturing and 1,000 cementing jobs, as well as the construction of 100 horizontal wells in Western Siberia. These joint activities contributed to Sibneft’s record increase in crude oil production for the year 2002 and continued rapid production growth in 2003.</w:t>
      </w:r>
    </w:p>
    <w:p>
      <w:pPr>
        <w:spacing w:after="0" w:line="45" w:lineRule="exact"/>
        <w:rPr>
          <w:rFonts w:ascii="Arial" w:cs="Arial" w:eastAsia="Arial" w:hAnsi="Arial"/>
          <w:sz w:val="18"/>
          <w:szCs w:val="18"/>
          <w:color w:val="auto"/>
        </w:rPr>
      </w:pPr>
    </w:p>
    <w:p>
      <w:pPr>
        <w:ind w:left="340" w:right="40" w:hanging="332"/>
        <w:spacing w:after="0" w:line="256"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Schlumberger signed a contract with Shell UK Ltd. and BP Exploration Operating Company Ltd. to develop a rotary steerable system for slimhole drilling and through-tubing rotary drilling (TTRD) applications. The new system is expected to offer a step-change in the cost of drilling with rotary steerable technology when applied to through-tubing applications since there is no need to pull completion strings for redrills. Such technology has major implications in mature areas such as the North Sea, where the trend is toward field life extension.</w:t>
      </w:r>
    </w:p>
    <w:p>
      <w:pPr>
        <w:spacing w:after="0" w:line="48" w:lineRule="exact"/>
        <w:rPr>
          <w:rFonts w:ascii="Arial" w:cs="Arial" w:eastAsia="Arial" w:hAnsi="Arial"/>
          <w:sz w:val="18"/>
          <w:szCs w:val="18"/>
          <w:color w:val="auto"/>
        </w:rPr>
      </w:pPr>
    </w:p>
    <w:p>
      <w:pPr>
        <w:ind w:left="340" w:right="20" w:hanging="332"/>
        <w:spacing w:after="0" w:line="30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Schlumberger Information Solutions (SIS) signed a multi-year, multi-product software master agreement with Shell International Exploration and Production to provide a set of exploration and production (E&amp;P) application software, which will form an important part of the Shell Global Standard Software Portfolios. The agreement includes information management, geoscience, reservoir simulation, well and production engineering, and economics solutions.</w:t>
      </w:r>
    </w:p>
    <w:p>
      <w:pPr>
        <w:spacing w:after="0" w:line="12" w:lineRule="exact"/>
        <w:rPr>
          <w:rFonts w:ascii="Arial" w:cs="Arial" w:eastAsia="Arial" w:hAnsi="Arial"/>
          <w:sz w:val="16"/>
          <w:szCs w:val="16"/>
          <w:color w:val="auto"/>
        </w:rPr>
      </w:pPr>
    </w:p>
    <w:p>
      <w:pPr>
        <w:ind w:left="340" w:right="60" w:hanging="332"/>
        <w:spacing w:after="0" w:line="256"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SIS acquired VoxelVision, a Norway-based company that developed a powerful visualization engine and seismic functionality for managing, visualizing and interpreting massive 3D volumes in a PC environment. Coupled with SIS industry-leading applications, the VoxelVision engine provides the most cost-effective combination of interpretation applications and technologies, enabling an order of magnitude increase in speed and efficiency for exploration or production interpretation.</w:t>
      </w:r>
    </w:p>
    <w:p>
      <w:pPr>
        <w:spacing w:after="0" w:line="48" w:lineRule="exact"/>
        <w:rPr>
          <w:rFonts w:ascii="Arial" w:cs="Arial" w:eastAsia="Arial" w:hAnsi="Arial"/>
          <w:sz w:val="18"/>
          <w:szCs w:val="18"/>
          <w:color w:val="auto"/>
        </w:rPr>
      </w:pPr>
    </w:p>
    <w:p>
      <w:pPr>
        <w:ind w:left="340" w:right="80" w:hanging="332"/>
        <w:spacing w:after="0" w:line="325"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Husky Energy selected Schlumberger Well Completions &amp; Productivity to provide intelligent completions equipment and services for its White Rose offshore development in the Jeanne d’Arc Basin in Canada. The award includes dual zonal control using hydraulic flow control and downhole safety valves.</w:t>
      </w:r>
    </w:p>
    <w:p>
      <w:pPr>
        <w:spacing w:after="0" w:line="1" w:lineRule="exact"/>
        <w:rPr>
          <w:rFonts w:ascii="Arial" w:cs="Arial" w:eastAsia="Arial" w:hAnsi="Arial"/>
          <w:sz w:val="16"/>
          <w:szCs w:val="16"/>
          <w:color w:val="auto"/>
        </w:rPr>
      </w:pPr>
    </w:p>
    <w:p>
      <w:pPr>
        <w:ind w:left="340" w:right="20" w:hanging="332"/>
        <w:spacing w:after="0" w:line="30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Wireline introduced DecisionXpress*, a petrophysical evaluation system that integrates data from the Platform Express* and Elemental Capture Spectroscopy* services in a unique interpretation software program. The PC-based application provides rapid data visualization and reprocessing capabilities with minimal user inputs, and delivers a robust petrophysical evaluation in sand/shale reservoirs at the wellsite or in a client’s office in real time.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WesternGeco</w:t>
      </w:r>
    </w:p>
    <w:p>
      <w:pPr>
        <w:spacing w:after="0" w:line="158"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Revenue of $263 million was 14% lower sequentially and 34% lower year-on-year. A pretax operating loss of $36 million deteriorated by $20 million sequentially and $36 million year-on-year.</w:t>
      </w:r>
    </w:p>
    <w:p>
      <w:pPr>
        <w:spacing w:after="0" w:line="11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Both sequential and year-on-year revenue declines were primarily in multiclient due to continued weakness for licensed data in the Gulf of Mexico. Sequential revenue results also reflected decreases in Land due to the completion of seasonal work in Alaska and lighter activity in the Middle East and Africa, partially mitigated by increased Marine revenue in Europe, Mexico and the Middle East. Year-on-year revenue results were also impacted by the elimination of Land seismic operations in North America; lower Land activity in the Middle East; and lighter Marine activity in North America, Caspian and Asia, partially offset by growth in the Middle East and in Mexico. The decline in pretax profits year-on-year and sequentially was primarily due to lower multiclient sales in North America, combined with higher amortization charges.</w:t>
      </w:r>
    </w:p>
    <w:p>
      <w:pPr>
        <w:spacing w:after="0" w:line="1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Including multiclient pre-commitments, the backlog at the end of the third quarter reached $333 million, a 14% increase over the second quarter, with strong improvements in Middle East and Asia. Utilization of Q-Marine</w:t>
      </w:r>
    </w:p>
    <w:p>
      <w:pPr>
        <w:sectPr>
          <w:pgSz w:w="11900" w:h="16838" w:orient="portrait"/>
          <w:cols w:equalWidth="0" w:num="1">
            <w:col w:w="11420"/>
          </w:cols>
          <w:pgMar w:left="240" w:top="280" w:right="239" w:bottom="1440" w:gutter="0" w:footer="0" w:header="0"/>
        </w:sectPr>
      </w:pPr>
    </w:p>
    <w:bookmarkStart w:id="12" w:name="page13"/>
    <w:bookmarkEnd w:id="12"/>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vessels on 3rd party contracts increased to 75% during the course of the current quarter principally due to projects in the Gulf of Mexico, North Sea and West Africa.</w:t>
      </w:r>
    </w:p>
    <w:p>
      <w:pPr>
        <w:spacing w:after="0" w:line="11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quarter, an impairment charge of $398 million pretax was taken against the multiclient library. In addition, there was a $54 million pretax charge on the Western Trident and Western Monarch vessels. Third quarter pretax results benefited from lower multiclient amortization ($15 million) following the impairment.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83" w:lineRule="exact"/>
        <w:rPr>
          <w:sz w:val="20"/>
          <w:szCs w:val="20"/>
          <w:color w:val="auto"/>
        </w:rPr>
      </w:pPr>
    </w:p>
    <w:p>
      <w:pPr>
        <w:ind w:left="340" w:right="12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 technology revenue continued to increase in the third quarter with several new contracts including a Q-Marine 4D baseline survey in the Smoerbukk South field in the Norwegian section of the North Sea for Statoil, a Q-Marine survey for Amerada Hess, and additional multiclient licenses of Q data in the Gulf of Mexico.</w:t>
      </w:r>
    </w:p>
    <w:p>
      <w:pPr>
        <w:spacing w:after="0" w:line="45" w:lineRule="exact"/>
        <w:rPr>
          <w:rFonts w:ascii="Arial" w:cs="Arial" w:eastAsia="Arial" w:hAnsi="Arial"/>
          <w:sz w:val="18"/>
          <w:szCs w:val="18"/>
          <w:color w:val="auto"/>
        </w:rPr>
      </w:pPr>
    </w:p>
    <w:p>
      <w:pPr>
        <w:ind w:left="340" w:right="320" w:hanging="332"/>
        <w:spacing w:after="0" w:line="33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new business included a contract with Gaz de France to perform the reservoir characterization using multicomponent (3C) and 3D acquisition and infield processing over several fields onshore Algeria, and an extremely shallow 3D towed streamer operation in the Caspian.</w:t>
      </w: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SchlumbergerSema</w:t>
      </w:r>
    </w:p>
    <w:p>
      <w:pPr>
        <w:spacing w:after="0" w:line="15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Operating revenue of $792 million in the third quarter was 6% lower sequentially but 6% higher year-on-year. The year-on-year improvement was mainly due to the strengthening of the European currencies against the US dollar, with a positive impact of $50 million. The sequential revenue decline was principally due the seasonal effect of the higher level of vacation taken in Europe.</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Pretax operating income of $27 million increased $3 million, or 11%, sequentially and $30 million year-on-year. The year-on-year improvement was mainly due to a restructuring charge of $16 million taken in the third quarter of last year and the benefit of significant indirect cost reduction programs carried throughout the year in North and South America, Asia and the UK. Sequential improvement was in the UK, Sweden, Asia and North America, mainly due to the effect of restructuring programs offset by a deterioration in France.</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activities to be transferred to Atos Origin, upon completion of the transaction announced on September 22, had revenue of $633 million and pretax operating income of $17 million in the third quarter.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Middle East and Africa</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revenue of $616 million decreased 6% sequentially but increased 6% year-on-year. Year-on-year increase reflected the positive impact of the Euro and Swedish Krona currencies appreciating 14% and the British Pound increasing 5% overall against the US dollar partially offset by lower Telecom activity in Italy and Germany. Excluding the positive currency impact, the sequential decrease was mainly due to the high level of vacation days, especially in France, Spain and Italy, and reduced activity with the Metropolitan Police in the UK. This decreased activity was partially offset by the delivery of the African Games contract in Nigeria.</w:t>
      </w:r>
    </w:p>
    <w:p>
      <w:pPr>
        <w:spacing w:after="0" w:line="12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Pretax operating income of $21 million decreased $4 million, or 15%, sequentially and decreased $15 million, or 42%, year-on-year. The year-on-year decrease was mainly due to lower utilization rates and daily fee rates in France and lower profitability in Sweden and Germany.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and South America</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revenue of $128 million decreased 3% both sequentially and year-on-year. The major contributor to decline was the continued weak IT spending environment, primarily in the telecom and utility industries, as potential customers revised their budget outlays downwards and delay decisions on major contract awards.</w:t>
      </w:r>
    </w:p>
    <w:p>
      <w:pPr>
        <w:sectPr>
          <w:pgSz w:w="11900" w:h="16838" w:orient="portrait"/>
          <w:cols w:equalWidth="0" w:num="1">
            <w:col w:w="11360"/>
          </w:cols>
          <w:pgMar w:left="240" w:top="280" w:right="29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Mitigating this sluggish environment, the Energy segment showed positive developments with several projects being added to the pipeline in Latin America.</w:t>
      </w:r>
    </w:p>
    <w:p>
      <w:pPr>
        <w:spacing w:after="0" w:line="18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Pretax operating income of $5 million increased $1 million sequentially and increased $7 million from a loss of $2 million last year. Despite revenue decrease, pretax operating income increased sequentially and year-on-year due to cost reduction programs carried out in North America.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83"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Revenue of $51 million was flat sequentially but decreased 2% year-on-year. The Energy segment pipeline is building up with projects such as helpdesk outsource services for BP in Indonesia, remote connectivity for Petronas in Malaysia for their Algeria operations and IT management system for Hindustan Petroleum Corporation in India.</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Pretax operating income of $10 million increased $3 million sequentially and increased $9 million year-on-year. The increases were mainly due to indirect cost savings and improved gross margins.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64" w:lineRule="exact"/>
        <w:rPr>
          <w:sz w:val="20"/>
          <w:szCs w:val="20"/>
          <w:color w:val="auto"/>
        </w:rPr>
      </w:pPr>
    </w:p>
    <w:p>
      <w:pPr>
        <w:ind w:left="340" w:right="10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October, SchlumbergerSema won a five-year contract in partnership with Cerner to design, develop and manage a national electronic booking service for the UK Department of Health.</w:t>
      </w:r>
    </w:p>
    <w:p>
      <w:pPr>
        <w:spacing w:after="0" w:line="3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Transpetro, the transportation company of Petrobras Group, awarded SchlumbergerSema a contract to implement its DeXa.Badge* solution for highly secure identity management and access control in its new Operational Control Center in Rio de Janeiro, which controls and monitors oil and gas flows in about 70% of Brazil’s pipeline.</w:t>
      </w:r>
    </w:p>
    <w:p>
      <w:pPr>
        <w:spacing w:after="0" w:line="4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AT&amp;T Wireless deployed the SchlumbergerSema Short Messaging Service Center solution for GSM/GPRS phones and services in St. Lucia, St. Vincent and the Grenadines; SchlumbergerSema is providing system integration and consulting expertise to integrate new wireless services as AT&amp;T expands its business in the Caribbean.</w:t>
      </w:r>
    </w:p>
    <w:p>
      <w:pPr>
        <w:spacing w:after="0" w:line="45" w:lineRule="exact"/>
        <w:rPr>
          <w:rFonts w:ascii="Arial" w:cs="Arial" w:eastAsia="Arial" w:hAnsi="Arial"/>
          <w:sz w:val="18"/>
          <w:szCs w:val="18"/>
          <w:color w:val="auto"/>
        </w:rPr>
      </w:pPr>
    </w:p>
    <w:p>
      <w:pPr>
        <w:ind w:left="340" w:right="16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SchlumbergerSema topped the list in the Telecom Billing and Customer Care Installed Vendors Survey conducted by Chorleywood Consulting, the leading telecom management consultancy.</w:t>
      </w:r>
    </w:p>
    <w:p>
      <w:pPr>
        <w:spacing w:after="0" w:line="37" w:lineRule="exact"/>
        <w:rPr>
          <w:rFonts w:ascii="Arial" w:cs="Arial" w:eastAsia="Arial" w:hAnsi="Arial"/>
          <w:sz w:val="18"/>
          <w:szCs w:val="18"/>
          <w:color w:val="auto"/>
        </w:rPr>
      </w:pPr>
    </w:p>
    <w:p>
      <w:pPr>
        <w:ind w:left="340" w:right="12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SchlumbergerSema deployed a new settlement system for the UK rail industry, which is capable of handling and allocating more than £3.5 billion in annual passenger revenue to Britain’s passenger train operators.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Other</w:t>
      </w:r>
    </w:p>
    <w:p>
      <w:pPr>
        <w:spacing w:after="0" w:line="15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September 22, Schlumberger Smart Cards &amp; Terminals changed its name to Axalto to bring more visibility and reinforce the company image as a leading smart card player.</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Cards had operating revenue of $202 million and pretax operating income of $22 million in the third quarter compared to $162 million and $8 million, respectively, in the second quarter. Mobile communication card deliveries increased significantly, with three consecutive all-time monthly volume records. The average sales price of subscriber identity module (SIM) cards increased by 14% compared with the previous quarter due to important deliveries of very high-end 64K and 128K cards, mainly in Italy, Brazil, Russia, Romania, Saudi Arabia and the Philippines. Other card activities were also significant, driven by shipments for the banking conversion to the EMV standard in the UK, strong e-purse deliveries in Malaysia, robust pay-TV shipments in the US, and high volumes of phone cards and scratch cards in China and Mexico.</w:t>
      </w:r>
    </w:p>
    <w:p>
      <w:pPr>
        <w:sectPr>
          <w:pgSz w:w="11900" w:h="16838" w:orient="portrait"/>
          <w:cols w:equalWidth="0" w:num="1">
            <w:col w:w="11400"/>
          </w:cols>
          <w:pgMar w:left="240" w:top="280" w:right="259" w:bottom="1440" w:gutter="0" w:footer="0" w:header="0"/>
        </w:sectPr>
      </w:pPr>
    </w:p>
    <w:bookmarkStart w:id="14" w:name="page15"/>
    <w:bookmarkEnd w:id="1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Electricity Meters North America revenue of $77 million increased 30% year-on-year, while pretax operating income was $18 million compared to $5 million last year.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October, Schlumberger signed an agreement to sell its parking equipment and solutions activities (e-City) to Apax Partners.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Schlumberger is a global oilfield and information services company with major activity in the energy industry. The company employs 78,000 people of more than 140 nationalities working in 100 countries and comprises three primary business segments. Schlumberger Oilfield Services is the world’s premier oilfield services company supplying a wide range of technology services and solutions to the international oil and gas industry. WesternGeco, jointly owned with Baker Hughes, is the world’s largest and most advanced surface seismic company. SchlumbergerSema is a leading supplier of IT consulting, systems integration, and network and infrastructure services to the energy industry, as well as to the public sector, telecommunications and finance markets. In 2002, Schlumberger revenue was $13.2 billion. For more information, visit www.slb.com.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Supplemental information in the form of a question and answer document on this press release is available at </w:t>
      </w:r>
      <w:r>
        <w:rPr>
          <w:rFonts w:ascii="Arial" w:cs="Arial" w:eastAsia="Arial" w:hAnsi="Arial"/>
          <w:sz w:val="18"/>
          <w:szCs w:val="18"/>
          <w:u w:val="single" w:color="auto"/>
          <w:color w:val="auto"/>
        </w:rPr>
        <w:t>www.slb.com/ir</w:t>
      </w:r>
      <w:r>
        <w:rPr>
          <w:rFonts w:ascii="Arial" w:cs="Arial" w:eastAsia="Arial" w:hAnsi="Arial"/>
          <w:sz w:val="18"/>
          <w:szCs w:val="18"/>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Doug Pferdehirt, Vice President of Communications and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Paulo Loureiro, Investor Relations Manager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+1-212-350-9432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ir-nam@slb.com</w:t>
      </w:r>
    </w:p>
    <w:p>
      <w:pPr>
        <w:sectPr>
          <w:pgSz w:w="11900" w:h="16838" w:orient="portrait"/>
          <w:cols w:equalWidth="0" w:num="1">
            <w:col w:w="11400"/>
          </w:cols>
          <w:pgMar w:left="240" w:top="280" w:right="25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2003 Results—Supplemental Information</w:t>
      </w:r>
    </w:p>
    <w:p>
      <w:pPr>
        <w:spacing w:after="0" w:line="306"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Oilfield Services</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8"/>
          <w:szCs w:val="18"/>
          <w:b w:val="1"/>
          <w:bCs w:val="1"/>
          <w:color w:val="auto"/>
        </w:rPr>
        <w:t>What is the general activity outlook for the Areas?</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North America (NAM)</w:t>
      </w:r>
    </w:p>
    <w:p>
      <w:pPr>
        <w:spacing w:after="0" w:line="83" w:lineRule="exact"/>
        <w:rPr>
          <w:sz w:val="20"/>
          <w:szCs w:val="20"/>
          <w:color w:val="auto"/>
        </w:rPr>
      </w:pPr>
    </w:p>
    <w:p>
      <w:pPr>
        <w:jc w:val="both"/>
        <w:ind w:left="700" w:right="240"/>
        <w:spacing w:after="0" w:line="306" w:lineRule="auto"/>
        <w:rPr>
          <w:sz w:val="20"/>
          <w:szCs w:val="20"/>
          <w:color w:val="auto"/>
        </w:rPr>
      </w:pPr>
      <w:r>
        <w:rPr>
          <w:rFonts w:ascii="Arial" w:cs="Arial" w:eastAsia="Arial" w:hAnsi="Arial"/>
          <w:sz w:val="16"/>
          <w:szCs w:val="16"/>
          <w:color w:val="auto"/>
        </w:rPr>
        <w:t>North America activity is expected to remain flat mainly due to slower-than-expected rise in drilling activity in the Gulf of Mexico. Although US gas storage has filled at an accelerated rate, gas prices are expected to remain high into 2004, which will also be dependent upon the impact of the winter season withdrawals. In Canada, although activity is expected to remain strong in the West, the East coast will have lower activity.</w:t>
      </w:r>
    </w:p>
    <w:p>
      <w:pPr>
        <w:spacing w:after="0" w:line="87"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Latin America (LAM)</w:t>
      </w:r>
    </w:p>
    <w:p>
      <w:pPr>
        <w:spacing w:after="0" w:line="83" w:lineRule="exact"/>
        <w:rPr>
          <w:sz w:val="20"/>
          <w:szCs w:val="20"/>
          <w:color w:val="auto"/>
        </w:rPr>
      </w:pPr>
    </w:p>
    <w:p>
      <w:pPr>
        <w:ind w:left="700" w:right="140"/>
        <w:spacing w:after="0" w:line="332" w:lineRule="auto"/>
        <w:rPr>
          <w:sz w:val="20"/>
          <w:szCs w:val="20"/>
          <w:color w:val="auto"/>
        </w:rPr>
      </w:pPr>
      <w:r>
        <w:rPr>
          <w:rFonts w:ascii="Arial" w:cs="Arial" w:eastAsia="Arial" w:hAnsi="Arial"/>
          <w:sz w:val="16"/>
          <w:szCs w:val="16"/>
          <w:color w:val="auto"/>
        </w:rPr>
        <w:t>Latin America activity growth should continue to be driven by the continuation of large field development programs in Mexico. The rest of the Area is expected to remain flat as Venezuela already reached its pre-strike levels and southern parts of the region remain uncertain.</w:t>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Europe/CIS/West Africa (ECA)</w:t>
      </w:r>
    </w:p>
    <w:p>
      <w:pPr>
        <w:spacing w:after="0" w:line="83" w:lineRule="exact"/>
        <w:rPr>
          <w:sz w:val="20"/>
          <w:szCs w:val="20"/>
          <w:color w:val="auto"/>
        </w:rPr>
      </w:pPr>
    </w:p>
    <w:p>
      <w:pPr>
        <w:ind w:left="700" w:right="80"/>
        <w:spacing w:after="0" w:line="259" w:lineRule="auto"/>
        <w:rPr>
          <w:sz w:val="20"/>
          <w:szCs w:val="20"/>
          <w:color w:val="auto"/>
        </w:rPr>
      </w:pPr>
      <w:r>
        <w:rPr>
          <w:rFonts w:ascii="Arial" w:cs="Arial" w:eastAsia="Arial" w:hAnsi="Arial"/>
          <w:sz w:val="18"/>
          <w:szCs w:val="18"/>
          <w:color w:val="auto"/>
        </w:rPr>
        <w:t>The UK sector of the North Sea will be hard hit due to the weather slowdown, with the rig count showing real weakness in comparison to last year. Western and Southern Africa will be slow following record activity since the beginning of the year. The outlook in Continental Europe will be soft with customers shutting down for the winter months.</w:t>
      </w:r>
    </w:p>
    <w:p>
      <w:pPr>
        <w:spacing w:after="0" w:line="127" w:lineRule="exact"/>
        <w:rPr>
          <w:sz w:val="20"/>
          <w:szCs w:val="20"/>
          <w:color w:val="auto"/>
        </w:rPr>
      </w:pPr>
    </w:p>
    <w:p>
      <w:pPr>
        <w:ind w:left="700" w:right="20"/>
        <w:spacing w:after="0" w:line="268" w:lineRule="auto"/>
        <w:rPr>
          <w:sz w:val="20"/>
          <w:szCs w:val="20"/>
          <w:color w:val="auto"/>
        </w:rPr>
      </w:pPr>
      <w:r>
        <w:rPr>
          <w:rFonts w:ascii="Arial" w:cs="Arial" w:eastAsia="Arial" w:hAnsi="Arial"/>
          <w:sz w:val="18"/>
          <w:szCs w:val="18"/>
          <w:color w:val="auto"/>
        </w:rPr>
        <w:t>The activity outlook in Nigeria for next year will be largely dependant on the results of the tendering round currently on-going. The Northern area of the Western Delta in Nigeria has remained off limits.</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Middle East &amp; Asia (MEA)</w:t>
      </w:r>
    </w:p>
    <w:p>
      <w:pPr>
        <w:spacing w:after="0" w:line="83"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Despite political concerns in the region, activity grew slightly in Middle East since the beginning of the year. In spite of a modest slowdown expected in the last quarter, and in the absence of further socio-political unrest and regional tension in the Gulf and/or Asia, activity levels will remain stable until the global economic environment improves the outlook for energy demand.</w:t>
      </w:r>
    </w:p>
    <w:p>
      <w:pPr>
        <w:spacing w:after="0" w:line="1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8"/>
          <w:szCs w:val="18"/>
          <w:b w:val="1"/>
          <w:bCs w:val="1"/>
          <w:color w:val="auto"/>
        </w:rPr>
        <w:t>Could you describe Schlumberger’s asset capacity and utilization in North America?</w:t>
      </w:r>
    </w:p>
    <w:p>
      <w:pPr>
        <w:spacing w:after="0" w:line="83" w:lineRule="exact"/>
        <w:rPr>
          <w:sz w:val="20"/>
          <w:szCs w:val="20"/>
          <w:color w:val="auto"/>
        </w:rPr>
      </w:pPr>
    </w:p>
    <w:p>
      <w:pPr>
        <w:ind w:left="700" w:right="80"/>
        <w:spacing w:after="0" w:line="332" w:lineRule="auto"/>
        <w:rPr>
          <w:sz w:val="20"/>
          <w:szCs w:val="20"/>
          <w:color w:val="auto"/>
        </w:rPr>
      </w:pPr>
      <w:r>
        <w:rPr>
          <w:rFonts w:ascii="Arial" w:cs="Arial" w:eastAsia="Arial" w:hAnsi="Arial"/>
          <w:sz w:val="16"/>
          <w:szCs w:val="16"/>
          <w:color w:val="auto"/>
        </w:rPr>
        <w:t>Schlumberger continuously seeks to match fleet capacity to market needs through the transfer of equipment both domestically and internationally while maintaining strict capital discipline. We are currently at near optimum asset utilization in most regions in North America.</w:t>
      </w:r>
    </w:p>
    <w:p>
      <w:pPr>
        <w:sectPr>
          <w:pgSz w:w="11900" w:h="16838" w:orient="portrait"/>
          <w:cols w:equalWidth="0" w:num="1">
            <w:col w:w="11420"/>
          </w:cols>
          <w:pgMar w:left="240" w:top="125" w:right="239" w:bottom="1440" w:gutter="0" w:footer="0" w:header="0"/>
        </w:sectPr>
      </w:pPr>
    </w:p>
    <w:bookmarkStart w:id="16" w:name="page17"/>
    <w:bookmarkEnd w:id="16"/>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Q3)</w:t>
      </w:r>
      <w:r>
        <w:rPr>
          <w:sz w:val="20"/>
          <w:szCs w:val="20"/>
          <w:color w:val="auto"/>
        </w:rPr>
        <w:tab/>
      </w:r>
      <w:r>
        <w:rPr>
          <w:rFonts w:ascii="Arial" w:cs="Arial" w:eastAsia="Arial" w:hAnsi="Arial"/>
          <w:sz w:val="18"/>
          <w:szCs w:val="18"/>
          <w:b w:val="1"/>
          <w:bCs w:val="1"/>
          <w:color w:val="auto"/>
        </w:rPr>
        <w:t>Could you describe the pricing environment in North America?</w:t>
      </w:r>
    </w:p>
    <w:p>
      <w:pPr>
        <w:spacing w:after="0" w:line="83" w:lineRule="exact"/>
        <w:rPr>
          <w:sz w:val="20"/>
          <w:szCs w:val="20"/>
          <w:color w:val="auto"/>
        </w:rPr>
      </w:pPr>
    </w:p>
    <w:p>
      <w:pPr>
        <w:ind w:left="700" w:right="20"/>
        <w:spacing w:after="0" w:line="268" w:lineRule="auto"/>
        <w:rPr>
          <w:sz w:val="20"/>
          <w:szCs w:val="20"/>
          <w:color w:val="auto"/>
        </w:rPr>
      </w:pPr>
      <w:r>
        <w:rPr>
          <w:rFonts w:ascii="Arial" w:cs="Arial" w:eastAsia="Arial" w:hAnsi="Arial"/>
          <w:sz w:val="18"/>
          <w:szCs w:val="18"/>
          <w:color w:val="auto"/>
        </w:rPr>
        <w:t>Despite our efforts to adjust excess supply in North America, the overall market is still in a state of overcapacity and pricing pressure is likely to remain despite some regional bright spots.</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8"/>
          <w:szCs w:val="18"/>
          <w:b w:val="1"/>
          <w:bCs w:val="1"/>
          <w:color w:val="auto"/>
        </w:rPr>
        <w:t>What was Oilfield Services after-tax Return on Sales (ROS) for the quarter?</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Oilfield Services after-tax ROS in the third quarter 2003 was 14%.</w:t>
      </w:r>
    </w:p>
    <w:p>
      <w:pPr>
        <w:spacing w:after="0" w:line="300"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WesternGeco</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8"/>
          <w:szCs w:val="18"/>
          <w:b w:val="1"/>
          <w:bCs w:val="1"/>
          <w:color w:val="auto"/>
        </w:rPr>
        <w:t>What is the outlook for seismic activity?</w:t>
      </w:r>
    </w:p>
    <w:p>
      <w:pPr>
        <w:spacing w:after="0" w:line="83" w:lineRule="exact"/>
        <w:rPr>
          <w:sz w:val="20"/>
          <w:szCs w:val="20"/>
          <w:color w:val="auto"/>
        </w:rPr>
      </w:pPr>
    </w:p>
    <w:p>
      <w:pPr>
        <w:jc w:val="both"/>
        <w:ind w:left="700" w:right="220"/>
        <w:spacing w:after="0" w:line="259" w:lineRule="auto"/>
        <w:rPr>
          <w:sz w:val="20"/>
          <w:szCs w:val="20"/>
          <w:color w:val="auto"/>
        </w:rPr>
      </w:pPr>
      <w:r>
        <w:rPr>
          <w:rFonts w:ascii="Arial" w:cs="Arial" w:eastAsia="Arial" w:hAnsi="Arial"/>
          <w:sz w:val="18"/>
          <w:szCs w:val="18"/>
          <w:color w:val="auto"/>
        </w:rPr>
        <w:t>Overall activity levels are significantly down when compared to 2002. Exploration activity has not recovered meaningfully since the 1999 downturn because the industry still has a backlog of prospects to drill. That is why we think the market for traditional seismic will remain distressed in the near term. However, we remain optimistic about the growth in prospects for Q-seismic.</w:t>
      </w:r>
    </w:p>
    <w:p>
      <w:pPr>
        <w:spacing w:after="0" w:line="1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8"/>
          <w:szCs w:val="18"/>
          <w:b w:val="1"/>
          <w:bCs w:val="1"/>
          <w:color w:val="auto"/>
        </w:rPr>
        <w:t>How is the seismic acquisition pricing environment?</w:t>
      </w:r>
    </w:p>
    <w:p>
      <w:pPr>
        <w:spacing w:after="0" w:line="83"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Seismic pricing is soft overall, particularly in Marine where there is an oversupply of vessels shooting proprietary surveys. The industry vessel count is flat to marginally up, however, there is an oversupply of vessels competing for 3rd party projects due to general industry reduction of vessel capacity allocated to multiclient projects.</w:t>
      </w:r>
    </w:p>
    <w:p>
      <w:pPr>
        <w:spacing w:after="0" w:line="1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Q7)</w:t>
      </w:r>
      <w:r>
        <w:rPr>
          <w:sz w:val="20"/>
          <w:szCs w:val="20"/>
          <w:color w:val="auto"/>
        </w:rPr>
        <w:tab/>
      </w:r>
      <w:r>
        <w:rPr>
          <w:rFonts w:ascii="Arial" w:cs="Arial" w:eastAsia="Arial" w:hAnsi="Arial"/>
          <w:sz w:val="18"/>
          <w:szCs w:val="18"/>
          <w:b w:val="1"/>
          <w:bCs w:val="1"/>
          <w:color w:val="auto"/>
        </w:rPr>
        <w:t>Does WesternGeco plan to take more capacity out of the market?</w:t>
      </w:r>
    </w:p>
    <w:p>
      <w:pPr>
        <w:spacing w:after="0" w:line="83" w:lineRule="exact"/>
        <w:rPr>
          <w:sz w:val="20"/>
          <w:szCs w:val="20"/>
          <w:color w:val="auto"/>
        </w:rPr>
      </w:pPr>
    </w:p>
    <w:p>
      <w:pPr>
        <w:ind w:left="700" w:right="20"/>
        <w:spacing w:after="0" w:line="268" w:lineRule="auto"/>
        <w:rPr>
          <w:sz w:val="20"/>
          <w:szCs w:val="20"/>
          <w:color w:val="auto"/>
        </w:rPr>
      </w:pPr>
      <w:r>
        <w:rPr>
          <w:rFonts w:ascii="Arial" w:cs="Arial" w:eastAsia="Arial" w:hAnsi="Arial"/>
          <w:sz w:val="18"/>
          <w:szCs w:val="18"/>
          <w:color w:val="auto"/>
        </w:rPr>
        <w:t>WesternGeco has taken steps to correct oversupply. We remain committed to adjusting to market conditions and will finalize our core capacity structure accordingly.</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8"/>
          <w:szCs w:val="18"/>
          <w:b w:val="1"/>
          <w:bCs w:val="1"/>
          <w:color w:val="auto"/>
        </w:rPr>
        <w:t>What is the current size of the WesternGeco multiclient library?</w:t>
      </w:r>
    </w:p>
    <w:p>
      <w:pPr>
        <w:spacing w:after="0" w:line="83" w:lineRule="exact"/>
        <w:rPr>
          <w:sz w:val="20"/>
          <w:szCs w:val="20"/>
          <w:color w:val="auto"/>
        </w:rPr>
      </w:pPr>
    </w:p>
    <w:p>
      <w:pPr>
        <w:ind w:left="700" w:right="440"/>
        <w:spacing w:after="0" w:line="268" w:lineRule="auto"/>
        <w:rPr>
          <w:sz w:val="20"/>
          <w:szCs w:val="20"/>
          <w:color w:val="auto"/>
        </w:rPr>
      </w:pPr>
      <w:r>
        <w:rPr>
          <w:rFonts w:ascii="Arial" w:cs="Arial" w:eastAsia="Arial" w:hAnsi="Arial"/>
          <w:sz w:val="18"/>
          <w:szCs w:val="18"/>
          <w:color w:val="auto"/>
        </w:rPr>
        <w:t>The net book value of the multiclient library as of September 30, 2003 was $539 million. The amount capitalized during the third quarter was $35 million, primarily in North America.</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8"/>
          <w:szCs w:val="18"/>
          <w:b w:val="1"/>
          <w:bCs w:val="1"/>
          <w:color w:val="auto"/>
        </w:rPr>
        <w:t>What were multiclient sales in the quarter and what was the cost of sales?</w:t>
      </w:r>
    </w:p>
    <w:p>
      <w:pPr>
        <w:spacing w:after="0" w:line="83" w:lineRule="exact"/>
        <w:rPr>
          <w:sz w:val="20"/>
          <w:szCs w:val="20"/>
          <w:color w:val="auto"/>
        </w:rPr>
      </w:pPr>
    </w:p>
    <w:p>
      <w:pPr>
        <w:ind w:left="700" w:right="40"/>
        <w:spacing w:after="0" w:line="268" w:lineRule="auto"/>
        <w:rPr>
          <w:sz w:val="20"/>
          <w:szCs w:val="20"/>
          <w:color w:val="auto"/>
        </w:rPr>
      </w:pPr>
      <w:r>
        <w:rPr>
          <w:rFonts w:ascii="Arial" w:cs="Arial" w:eastAsia="Arial" w:hAnsi="Arial"/>
          <w:sz w:val="18"/>
          <w:szCs w:val="18"/>
          <w:color w:val="auto"/>
        </w:rPr>
        <w:t>Multiclient revenues were $45 million during the third quarter (down from $87 million in the second quarter 2003, and $100 million in the third quarter 2002).</w:t>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 of sales, including amortization expenses, in the third quarter was $75 million, compared to $87 million in the second quarter.</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Q10)</w:t>
      </w:r>
      <w:r>
        <w:rPr>
          <w:sz w:val="20"/>
          <w:szCs w:val="20"/>
          <w:color w:val="auto"/>
        </w:rPr>
        <w:tab/>
      </w:r>
      <w:r>
        <w:rPr>
          <w:rFonts w:ascii="Arial" w:cs="Arial" w:eastAsia="Arial" w:hAnsi="Arial"/>
          <w:sz w:val="18"/>
          <w:szCs w:val="18"/>
          <w:b w:val="1"/>
          <w:bCs w:val="1"/>
          <w:color w:val="auto"/>
        </w:rPr>
        <w:t>How does Schlumberger capitalize and amortize multiclient surveys?</w:t>
      </w:r>
    </w:p>
    <w:p>
      <w:pPr>
        <w:spacing w:after="0" w:line="83" w:lineRule="exact"/>
        <w:rPr>
          <w:sz w:val="20"/>
          <w:szCs w:val="20"/>
          <w:color w:val="auto"/>
        </w:rPr>
      </w:pPr>
    </w:p>
    <w:p>
      <w:pPr>
        <w:ind w:left="700"/>
        <w:spacing w:after="0" w:line="306" w:lineRule="auto"/>
        <w:rPr>
          <w:sz w:val="20"/>
          <w:szCs w:val="20"/>
          <w:color w:val="auto"/>
        </w:rPr>
      </w:pPr>
      <w:r>
        <w:rPr>
          <w:rFonts w:ascii="Arial" w:cs="Arial" w:eastAsia="Arial" w:hAnsi="Arial"/>
          <w:sz w:val="16"/>
          <w:szCs w:val="16"/>
          <w:color w:val="auto"/>
        </w:rPr>
        <w:t>Schlumberger capitalizes the cost of obtaining multiclient surveys. Such costs are charged to Cost of goods sold and services based on a percentage of estimated total revenue that Schlumberger expects to receive from multiclient survey licenses sales. The value of the multiclient portfolio is periodically reviewed and adjustments to the value are made if individual surveys with NBV are identified as unlikely to generate future material sales.</w:t>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Note: A general statement on multiclient survey amortization can be found at www.slb.com/ir</w:t>
      </w:r>
    </w:p>
    <w:p>
      <w:pPr>
        <w:sectPr>
          <w:pgSz w:w="11900" w:h="16838" w:orient="portrait"/>
          <w:cols w:equalWidth="0" w:num="1">
            <w:col w:w="11380"/>
          </w:cols>
          <w:pgMar w:left="240" w:top="274" w:right="279" w:bottom="1440" w:gutter="0" w:footer="0" w:header="0"/>
        </w:sectPr>
      </w:pPr>
    </w:p>
    <w:bookmarkStart w:id="17" w:name="page18"/>
    <w:bookmarkEnd w:id="17"/>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Q11)</w:t>
      </w:r>
      <w:r>
        <w:rPr>
          <w:sz w:val="20"/>
          <w:szCs w:val="20"/>
          <w:color w:val="auto"/>
        </w:rPr>
        <w:tab/>
      </w:r>
      <w:r>
        <w:rPr>
          <w:rFonts w:ascii="Arial" w:cs="Arial" w:eastAsia="Arial" w:hAnsi="Arial"/>
          <w:sz w:val="18"/>
          <w:szCs w:val="18"/>
          <w:b w:val="1"/>
          <w:bCs w:val="1"/>
          <w:color w:val="auto"/>
        </w:rPr>
        <w:t>What is the guidance on multiclient surveys capitalization for full years 2003 and 2004?</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2003: $160 million</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2004: $50 million</w:t>
      </w:r>
    </w:p>
    <w:p>
      <w:pPr>
        <w:spacing w:after="0" w:line="300" w:lineRule="exact"/>
        <w:rPr>
          <w:sz w:val="20"/>
          <w:szCs w:val="20"/>
          <w:color w:val="auto"/>
        </w:rPr>
      </w:pPr>
    </w:p>
    <w:p>
      <w:pPr>
        <w:ind w:left="680" w:hanging="672"/>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SchlumbergerSema—Others</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Q12)</w:t>
      </w:r>
      <w:r>
        <w:rPr>
          <w:sz w:val="20"/>
          <w:szCs w:val="20"/>
          <w:color w:val="auto"/>
        </w:rPr>
        <w:tab/>
      </w:r>
      <w:r>
        <w:rPr>
          <w:rFonts w:ascii="Arial" w:cs="Arial" w:eastAsia="Arial" w:hAnsi="Arial"/>
          <w:sz w:val="18"/>
          <w:szCs w:val="18"/>
          <w:b w:val="1"/>
          <w:bCs w:val="1"/>
          <w:color w:val="auto"/>
        </w:rPr>
        <w:t>What is the general outlook in IT Services for the fourth quarter of 2003?</w:t>
      </w:r>
    </w:p>
    <w:p>
      <w:pPr>
        <w:spacing w:after="0" w:line="83" w:lineRule="exact"/>
        <w:rPr>
          <w:sz w:val="20"/>
          <w:szCs w:val="20"/>
          <w:color w:val="auto"/>
        </w:rPr>
      </w:pPr>
    </w:p>
    <w:p>
      <w:pPr>
        <w:ind w:left="700" w:right="240"/>
        <w:spacing w:after="0" w:line="332" w:lineRule="auto"/>
        <w:rPr>
          <w:sz w:val="20"/>
          <w:szCs w:val="20"/>
          <w:color w:val="auto"/>
        </w:rPr>
      </w:pPr>
      <w:r>
        <w:rPr>
          <w:rFonts w:ascii="Arial" w:cs="Arial" w:eastAsia="Arial" w:hAnsi="Arial"/>
          <w:sz w:val="16"/>
          <w:szCs w:val="16"/>
          <w:color w:val="auto"/>
        </w:rPr>
        <w:t>We do not expect a material rebound in demand for IT consulting and systems integration services to emerge prior to the second half of 2004. For the remainder of 2003, we expect a seasonal market improvement and some marginal impact from end-of-year budgetary spending.</w:t>
      </w:r>
    </w:p>
    <w:p>
      <w:pPr>
        <w:spacing w:after="0" w:line="72" w:lineRule="exact"/>
        <w:rPr>
          <w:sz w:val="20"/>
          <w:szCs w:val="20"/>
          <w:color w:val="auto"/>
        </w:rPr>
      </w:pPr>
    </w:p>
    <w:p>
      <w:pPr>
        <w:ind w:left="700" w:right="160"/>
        <w:spacing w:after="0" w:line="268" w:lineRule="auto"/>
        <w:rPr>
          <w:sz w:val="20"/>
          <w:szCs w:val="20"/>
          <w:color w:val="auto"/>
        </w:rPr>
      </w:pPr>
      <w:r>
        <w:rPr>
          <w:rFonts w:ascii="Arial" w:cs="Arial" w:eastAsia="Arial" w:hAnsi="Arial"/>
          <w:sz w:val="18"/>
          <w:szCs w:val="18"/>
          <w:color w:val="auto"/>
        </w:rPr>
        <w:t>Activity in the Public Sector is likely to remain relatively firm for the remainder of the year. Pricing pressure is expected to remain intense particularly in markets facing overcapacity, such as France and Germany.</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Q13)</w:t>
      </w:r>
      <w:r>
        <w:rPr>
          <w:sz w:val="20"/>
          <w:szCs w:val="20"/>
          <w:color w:val="auto"/>
        </w:rPr>
        <w:tab/>
      </w:r>
      <w:r>
        <w:rPr>
          <w:rFonts w:ascii="Arial" w:cs="Arial" w:eastAsia="Arial" w:hAnsi="Arial"/>
          <w:sz w:val="18"/>
          <w:szCs w:val="18"/>
          <w:b w:val="1"/>
          <w:bCs w:val="1"/>
          <w:color w:val="auto"/>
        </w:rPr>
        <w:t>What is the outlook for Cards?</w:t>
      </w:r>
    </w:p>
    <w:p>
      <w:pPr>
        <w:spacing w:after="0" w:line="83" w:lineRule="exact"/>
        <w:rPr>
          <w:sz w:val="20"/>
          <w:szCs w:val="20"/>
          <w:color w:val="auto"/>
        </w:rPr>
      </w:pPr>
    </w:p>
    <w:p>
      <w:pPr>
        <w:ind w:left="700" w:right="260"/>
        <w:spacing w:after="0" w:line="268" w:lineRule="auto"/>
        <w:rPr>
          <w:sz w:val="20"/>
          <w:szCs w:val="20"/>
          <w:color w:val="auto"/>
        </w:rPr>
      </w:pPr>
      <w:r>
        <w:rPr>
          <w:rFonts w:ascii="Arial" w:cs="Arial" w:eastAsia="Arial" w:hAnsi="Arial"/>
          <w:sz w:val="18"/>
          <w:szCs w:val="18"/>
          <w:color w:val="auto"/>
        </w:rPr>
        <w:t>The demand for smart cards is likely to maintain its upward trend, especially in banking cards in Europe and mobile communications and IT security cards worldwide.</w:t>
      </w:r>
    </w:p>
    <w:p>
      <w:pPr>
        <w:spacing w:after="0" w:line="261" w:lineRule="exact"/>
        <w:rPr>
          <w:sz w:val="20"/>
          <w:szCs w:val="20"/>
          <w:color w:val="auto"/>
        </w:rPr>
      </w:pPr>
    </w:p>
    <w:p>
      <w:pPr>
        <w:ind w:left="680" w:hanging="672"/>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Schlumberger Limited</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Q14)</w:t>
      </w:r>
      <w:r>
        <w:rPr>
          <w:sz w:val="20"/>
          <w:szCs w:val="20"/>
          <w:color w:val="auto"/>
        </w:rPr>
        <w:tab/>
      </w:r>
      <w:r>
        <w:rPr>
          <w:rFonts w:ascii="Arial" w:cs="Arial" w:eastAsia="Arial" w:hAnsi="Arial"/>
          <w:sz w:val="18"/>
          <w:szCs w:val="18"/>
          <w:b w:val="1"/>
          <w:bCs w:val="1"/>
          <w:color w:val="auto"/>
        </w:rPr>
        <w:t>What was the third quarter effective tax rate and what is the ETR guidance for the full year 2003?</w:t>
      </w:r>
    </w:p>
    <w:p>
      <w:pPr>
        <w:spacing w:after="0" w:line="83" w:lineRule="exact"/>
        <w:rPr>
          <w:sz w:val="20"/>
          <w:szCs w:val="20"/>
          <w:color w:val="auto"/>
        </w:rPr>
      </w:pPr>
    </w:p>
    <w:p>
      <w:pPr>
        <w:ind w:left="700" w:right="200"/>
        <w:spacing w:after="0" w:line="332" w:lineRule="auto"/>
        <w:rPr>
          <w:sz w:val="20"/>
          <w:szCs w:val="20"/>
          <w:color w:val="auto"/>
        </w:rPr>
      </w:pPr>
      <w:r>
        <w:rPr>
          <w:rFonts w:ascii="Arial" w:cs="Arial" w:eastAsia="Arial" w:hAnsi="Arial"/>
          <w:sz w:val="16"/>
          <w:szCs w:val="16"/>
          <w:color w:val="auto"/>
        </w:rPr>
        <w:t>The third quarter effective tax rate from continuing operations before charges and credits was 21% compared to 22% in the previous quarter, and 26% last year. We expect the full year 2003 effective tax rate from continuing operations before charges and credits to be in the mid-twenties range.</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 As previously mentioned, including the $86 million charge for the European debt retirement, the tax rate in the third quarter was 30%.</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Q15)</w:t>
      </w:r>
      <w:r>
        <w:rPr>
          <w:sz w:val="20"/>
          <w:szCs w:val="20"/>
          <w:color w:val="auto"/>
        </w:rPr>
        <w:tab/>
      </w:r>
      <w:r>
        <w:rPr>
          <w:rFonts w:ascii="Arial" w:cs="Arial" w:eastAsia="Arial" w:hAnsi="Arial"/>
          <w:sz w:val="18"/>
          <w:szCs w:val="18"/>
          <w:b w:val="1"/>
          <w:bCs w:val="1"/>
          <w:color w:val="auto"/>
        </w:rPr>
        <w:t>Why did Net Debt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decrease during the quarter?</w:t>
      </w:r>
    </w:p>
    <w:p>
      <w:pPr>
        <w:spacing w:after="0" w:line="51" w:lineRule="exact"/>
        <w:rPr>
          <w:sz w:val="20"/>
          <w:szCs w:val="20"/>
          <w:color w:val="auto"/>
        </w:rPr>
      </w:pPr>
    </w:p>
    <w:p>
      <w:pPr>
        <w:ind w:left="700"/>
        <w:spacing w:after="0" w:line="251" w:lineRule="auto"/>
        <w:rPr>
          <w:sz w:val="20"/>
          <w:szCs w:val="20"/>
          <w:color w:val="auto"/>
        </w:rPr>
      </w:pPr>
      <w:r>
        <w:rPr>
          <w:rFonts w:ascii="Arial" w:cs="Arial" w:eastAsia="Arial" w:hAnsi="Arial"/>
          <w:sz w:val="18"/>
          <w:szCs w:val="18"/>
          <w:color w:val="auto"/>
        </w:rPr>
        <w:t>Net debt of $4.87 billion at September 30 decreased $291 million in the quarter, after the quarterly dividend payment of $109 million, due to strong cash flow from operations and $220 million from the sale of NPTest offset by the $168 million debt extinguishment costs and a contribution to our US pension fund of $53 million.</w:t>
      </w:r>
    </w:p>
    <w:p>
      <w:pPr>
        <w:spacing w:after="0" w:line="127" w:lineRule="exact"/>
        <w:rPr>
          <w:sz w:val="20"/>
          <w:szCs w:val="20"/>
          <w:color w:val="auto"/>
        </w:rPr>
      </w:pPr>
    </w:p>
    <w:p>
      <w:pPr>
        <w:ind w:left="700" w:right="74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debt</w:t>
      </w:r>
      <w:r>
        <w:rPr>
          <w:rFonts w:ascii="Arial" w:cs="Arial" w:eastAsia="Arial" w:hAnsi="Arial"/>
          <w:sz w:val="16"/>
          <w:szCs w:val="16"/>
          <w:color w:val="auto"/>
        </w:rPr>
        <w:t xml:space="preserve"> is gross debt less cash, short term investments as well as fixed income investments held to maturity. In past quarters we referred to </w:t>
      </w:r>
      <w:r>
        <w:rPr>
          <w:rFonts w:ascii="Arial" w:cs="Arial" w:eastAsia="Arial" w:hAnsi="Arial"/>
          <w:sz w:val="16"/>
          <w:szCs w:val="16"/>
          <w:b w:val="1"/>
          <w:bCs w:val="1"/>
          <w:color w:val="auto"/>
        </w:rPr>
        <w:t xml:space="preserve">‘liquidity’ </w:t>
      </w:r>
      <w:r>
        <w:rPr>
          <w:rFonts w:ascii="Arial" w:cs="Arial" w:eastAsia="Arial" w:hAnsi="Arial"/>
          <w:sz w:val="16"/>
          <w:szCs w:val="16"/>
          <w:color w:val="auto"/>
        </w:rPr>
        <w:t>that was defined as the reverse; cash, short-term investments and fixed income investments held to maturity, less debt.)</w:t>
      </w:r>
    </w:p>
    <w:p>
      <w:pPr>
        <w:spacing w:after="0" w:line="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Q16)</w:t>
      </w:r>
      <w:r>
        <w:rPr>
          <w:sz w:val="20"/>
          <w:szCs w:val="20"/>
          <w:color w:val="auto"/>
        </w:rPr>
        <w:tab/>
      </w:r>
      <w:r>
        <w:rPr>
          <w:rFonts w:ascii="Arial" w:cs="Arial" w:eastAsia="Arial" w:hAnsi="Arial"/>
          <w:sz w:val="18"/>
          <w:szCs w:val="18"/>
          <w:b w:val="1"/>
          <w:bCs w:val="1"/>
          <w:color w:val="auto"/>
        </w:rPr>
        <w:t>Interest income and expense changes?</w:t>
      </w:r>
    </w:p>
    <w:p>
      <w:pPr>
        <w:spacing w:after="0" w:line="83" w:lineRule="exact"/>
        <w:rPr>
          <w:sz w:val="20"/>
          <w:szCs w:val="20"/>
          <w:color w:val="auto"/>
        </w:rPr>
      </w:pPr>
    </w:p>
    <w:p>
      <w:pPr>
        <w:jc w:val="both"/>
        <w:ind w:left="700" w:right="340"/>
        <w:spacing w:after="0" w:line="259" w:lineRule="auto"/>
        <w:rPr>
          <w:sz w:val="20"/>
          <w:szCs w:val="20"/>
          <w:color w:val="auto"/>
        </w:rPr>
      </w:pPr>
      <w:r>
        <w:rPr>
          <w:rFonts w:ascii="Arial" w:cs="Arial" w:eastAsia="Arial" w:hAnsi="Arial"/>
          <w:sz w:val="18"/>
          <w:szCs w:val="18"/>
          <w:color w:val="auto"/>
        </w:rPr>
        <w:t>Interest income of $11 million decreased $2.1 million sequentially and $6.2 million compared to same quarter last year. Average return decreased to 1.6% this quarter from 2.4% last quarter and 3.5% last year. Average investment balance of $2.6 billion was up $475 million sequentially and $737 million compared to the same quarter last year due to the convertible debenture offering.</w:t>
      </w:r>
    </w:p>
    <w:p>
      <w:pPr>
        <w:sectPr>
          <w:pgSz w:w="11900" w:h="16838" w:orient="portrait"/>
          <w:cols w:equalWidth="0" w:num="1">
            <w:col w:w="11420"/>
          </w:cols>
          <w:pgMar w:left="240" w:top="274" w:right="239" w:bottom="1440" w:gutter="0" w:footer="0" w:header="0"/>
        </w:sectPr>
      </w:pPr>
    </w:p>
    <w:bookmarkStart w:id="18" w:name="page19"/>
    <w:bookmarkEnd w:id="18"/>
    <w:p>
      <w:pPr>
        <w:ind w:left="7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expense of $76 million decreased $16.4 million sequentially and $22.3 million from the same quarter last year. Average borrowing rates of 3.9% decreased from 4.8% last quarter and 4.9% last year. Average debt balance of $7.5 billion increased $33 million sequentially, and decreased $257 million compared to the same quarter last year due to the convertible debenture offering.</w:t>
      </w:r>
    </w:p>
    <w:p>
      <w:pPr>
        <w:spacing w:after="0" w:line="1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Q17)</w:t>
      </w:r>
      <w:r>
        <w:rPr>
          <w:sz w:val="20"/>
          <w:szCs w:val="20"/>
          <w:color w:val="auto"/>
        </w:rPr>
        <w:tab/>
      </w:r>
      <w:r>
        <w:rPr>
          <w:rFonts w:ascii="Arial" w:cs="Arial" w:eastAsia="Arial" w:hAnsi="Arial"/>
          <w:sz w:val="18"/>
          <w:szCs w:val="18"/>
          <w:b w:val="1"/>
          <w:bCs w:val="1"/>
          <w:color w:val="auto"/>
        </w:rPr>
        <w:t>What is the status of the divestiture program as announced in March of this year?</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NPTest and Verification Systems divestitures have been completed and are accounted for as discontinued operations.</w:t>
      </w:r>
    </w:p>
    <w:p>
      <w:pPr>
        <w:spacing w:after="0" w:line="158" w:lineRule="exact"/>
        <w:rPr>
          <w:sz w:val="20"/>
          <w:szCs w:val="20"/>
          <w:color w:val="auto"/>
        </w:rPr>
      </w:pPr>
    </w:p>
    <w:p>
      <w:pPr>
        <w:ind w:left="700" w:right="20"/>
        <w:spacing w:after="0" w:line="332" w:lineRule="auto"/>
        <w:rPr>
          <w:sz w:val="20"/>
          <w:szCs w:val="20"/>
          <w:color w:val="auto"/>
        </w:rPr>
      </w:pPr>
      <w:r>
        <w:rPr>
          <w:rFonts w:ascii="Arial" w:cs="Arial" w:eastAsia="Arial" w:hAnsi="Arial"/>
          <w:sz w:val="16"/>
          <w:szCs w:val="16"/>
          <w:color w:val="auto"/>
        </w:rPr>
        <w:t>In July, Schlumberger entered into an agreement to sell Electricity Meters activity to Itron for an all-cash amount of $255 million. The deal is forecast to be completed beginning of 2004 depending upon the successful completion of the Hart-Scott-Rodino review process.</w:t>
      </w:r>
    </w:p>
    <w:p>
      <w:pPr>
        <w:spacing w:after="0" w:line="72" w:lineRule="exact"/>
        <w:rPr>
          <w:sz w:val="20"/>
          <w:szCs w:val="20"/>
          <w:color w:val="auto"/>
        </w:rPr>
      </w:pPr>
    </w:p>
    <w:p>
      <w:pPr>
        <w:ind w:left="700" w:right="440"/>
        <w:spacing w:after="0" w:line="259" w:lineRule="auto"/>
        <w:rPr>
          <w:sz w:val="20"/>
          <w:szCs w:val="20"/>
          <w:color w:val="auto"/>
        </w:rPr>
      </w:pPr>
      <w:r>
        <w:rPr>
          <w:rFonts w:ascii="Arial" w:cs="Arial" w:eastAsia="Arial" w:hAnsi="Arial"/>
          <w:sz w:val="18"/>
          <w:szCs w:val="18"/>
          <w:color w:val="auto"/>
        </w:rPr>
        <w:t>In September, Schlumberger entered into an agreement to sell the majority of the SchlumbergerSema businesses to Atos. The consideration for the transaction will consist of €400 million in cash and 19.3 million shares of common stock of Atos. The closing of the transaction is expected to be January 2004.</w:t>
      </w:r>
    </w:p>
    <w:p>
      <w:pPr>
        <w:spacing w:after="0" w:line="127" w:lineRule="exact"/>
        <w:rPr>
          <w:sz w:val="20"/>
          <w:szCs w:val="20"/>
          <w:color w:val="auto"/>
        </w:rPr>
      </w:pPr>
    </w:p>
    <w:p>
      <w:pPr>
        <w:ind w:left="700" w:right="300"/>
        <w:spacing w:after="0" w:line="268" w:lineRule="auto"/>
        <w:rPr>
          <w:sz w:val="20"/>
          <w:szCs w:val="20"/>
          <w:color w:val="auto"/>
        </w:rPr>
      </w:pPr>
      <w:r>
        <w:rPr>
          <w:rFonts w:ascii="Arial" w:cs="Arial" w:eastAsia="Arial" w:hAnsi="Arial"/>
          <w:sz w:val="18"/>
          <w:szCs w:val="18"/>
          <w:color w:val="auto"/>
        </w:rPr>
        <w:t>In October, Schlumberger entered into an agreement to sell e-City to Apax Partners for a cash amount of approximately $80 million. The transaction should be completed in the fourth quarter.</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Q18)</w:t>
      </w:r>
      <w:r>
        <w:rPr>
          <w:sz w:val="20"/>
          <w:szCs w:val="20"/>
          <w:color w:val="auto"/>
        </w:rPr>
        <w:tab/>
      </w:r>
      <w:r>
        <w:rPr>
          <w:rFonts w:ascii="Arial" w:cs="Arial" w:eastAsia="Arial" w:hAnsi="Arial"/>
          <w:sz w:val="18"/>
          <w:szCs w:val="18"/>
          <w:b w:val="1"/>
          <w:bCs w:val="1"/>
          <w:color w:val="auto"/>
        </w:rPr>
        <w:t>What is the net debt level after completion of the divestiture program?</w:t>
      </w:r>
    </w:p>
    <w:p>
      <w:pPr>
        <w:spacing w:after="0" w:line="83" w:lineRule="exact"/>
        <w:rPr>
          <w:sz w:val="20"/>
          <w:szCs w:val="20"/>
          <w:color w:val="auto"/>
        </w:rPr>
      </w:pPr>
    </w:p>
    <w:p>
      <w:pPr>
        <w:jc w:val="both"/>
        <w:ind w:left="700" w:right="40"/>
        <w:spacing w:after="0" w:line="259" w:lineRule="auto"/>
        <w:rPr>
          <w:sz w:val="20"/>
          <w:szCs w:val="20"/>
          <w:color w:val="auto"/>
        </w:rPr>
      </w:pPr>
      <w:r>
        <w:rPr>
          <w:rFonts w:ascii="Arial" w:cs="Arial" w:eastAsia="Arial" w:hAnsi="Arial"/>
          <w:sz w:val="18"/>
          <w:szCs w:val="18"/>
          <w:color w:val="auto"/>
        </w:rPr>
        <w:t>Upon completion of the already-announced transactions described in Question 17, Schlumberger will receive the following cash proceeds: $335 million and €400 million. This represents an estimated total cash of $800 million as of October 17 (using a Euro/US$ exchange rate of 1.16). The cash proceeds will be used towards de-leveraging the balance sheet.</w:t>
      </w:r>
    </w:p>
    <w:p>
      <w:pPr>
        <w:spacing w:after="0" w:line="127" w:lineRule="exact"/>
        <w:rPr>
          <w:sz w:val="20"/>
          <w:szCs w:val="20"/>
          <w:color w:val="auto"/>
        </w:rPr>
      </w:pPr>
    </w:p>
    <w:p>
      <w:pPr>
        <w:ind w:left="700" w:right="280"/>
        <w:spacing w:after="0" w:line="332" w:lineRule="auto"/>
        <w:rPr>
          <w:sz w:val="20"/>
          <w:szCs w:val="20"/>
          <w:color w:val="auto"/>
        </w:rPr>
      </w:pPr>
      <w:r>
        <w:rPr>
          <w:rFonts w:ascii="Arial" w:cs="Arial" w:eastAsia="Arial" w:hAnsi="Arial"/>
          <w:sz w:val="16"/>
          <w:szCs w:val="16"/>
          <w:color w:val="auto"/>
        </w:rPr>
        <w:t>The remaining activities that have been identified for future divestiture, either through a sale or IPO, are Axalto (Cards and Point-of-sale Terminals), Business Continuity, Infodata and Telecom Software Products. Active exit negotiations are currently undergoing for each one of these activities.</w:t>
      </w:r>
    </w:p>
    <w:p>
      <w:pPr>
        <w:spacing w:after="0" w:line="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Q19)</w:t>
      </w:r>
      <w:r>
        <w:rPr>
          <w:sz w:val="20"/>
          <w:szCs w:val="20"/>
          <w:color w:val="auto"/>
        </w:rPr>
        <w:tab/>
      </w:r>
      <w:r>
        <w:rPr>
          <w:rFonts w:ascii="Arial" w:cs="Arial" w:eastAsia="Arial" w:hAnsi="Arial"/>
          <w:sz w:val="18"/>
          <w:szCs w:val="18"/>
          <w:b w:val="1"/>
          <w:bCs w:val="1"/>
          <w:color w:val="auto"/>
        </w:rPr>
        <w:t>What is the difference between OFS pretax income and the sum of the business Areas?</w:t>
      </w:r>
    </w:p>
    <w:p>
      <w:pPr>
        <w:spacing w:after="0" w:line="83" w:lineRule="exact"/>
        <w:rPr>
          <w:sz w:val="20"/>
          <w:szCs w:val="20"/>
          <w:color w:val="auto"/>
        </w:rPr>
      </w:pPr>
    </w:p>
    <w:p>
      <w:pPr>
        <w:ind w:left="700" w:right="780"/>
        <w:spacing w:after="0" w:line="268" w:lineRule="auto"/>
        <w:rPr>
          <w:sz w:val="20"/>
          <w:szCs w:val="20"/>
          <w:color w:val="auto"/>
        </w:rPr>
      </w:pPr>
      <w:r>
        <w:rPr>
          <w:rFonts w:ascii="Arial" w:cs="Arial" w:eastAsia="Arial" w:hAnsi="Arial"/>
          <w:sz w:val="18"/>
          <w:szCs w:val="18"/>
          <w:color w:val="auto"/>
        </w:rPr>
        <w:t>The difference of approximately $5 million comes from Oilfield Services headquarters projects and costs plus Oilfield Services consolidation eliminations.</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Q20)</w:t>
      </w:r>
      <w:r>
        <w:rPr>
          <w:sz w:val="20"/>
          <w:szCs w:val="20"/>
          <w:color w:val="auto"/>
        </w:rPr>
        <w:tab/>
      </w:r>
      <w:r>
        <w:rPr>
          <w:rFonts w:ascii="Arial" w:cs="Arial" w:eastAsia="Arial" w:hAnsi="Arial"/>
          <w:sz w:val="18"/>
          <w:szCs w:val="18"/>
          <w:b w:val="1"/>
          <w:bCs w:val="1"/>
          <w:color w:val="auto"/>
        </w:rPr>
        <w:t>What is the difference between the SchlumbergerSema pretax income and the sum of the business Areas?</w:t>
      </w:r>
    </w:p>
    <w:p>
      <w:pPr>
        <w:spacing w:after="0" w:line="83" w:lineRule="exact"/>
        <w:rPr>
          <w:sz w:val="20"/>
          <w:szCs w:val="20"/>
          <w:color w:val="auto"/>
        </w:rPr>
      </w:pPr>
    </w:p>
    <w:p>
      <w:pPr>
        <w:ind w:left="700" w:right="560"/>
        <w:spacing w:after="0" w:line="268" w:lineRule="auto"/>
        <w:rPr>
          <w:sz w:val="20"/>
          <w:szCs w:val="20"/>
          <w:color w:val="auto"/>
        </w:rPr>
      </w:pPr>
      <w:r>
        <w:rPr>
          <w:rFonts w:ascii="Arial" w:cs="Arial" w:eastAsia="Arial" w:hAnsi="Arial"/>
          <w:sz w:val="18"/>
          <w:szCs w:val="18"/>
          <w:color w:val="auto"/>
        </w:rPr>
        <w:t>The difference of about $9 million is due to SchlumbergerSema headquarters’ costs that are not allocated to the Areas and the results of Telecom Products.</w:t>
      </w:r>
    </w:p>
    <w:p>
      <w:pPr>
        <w:sectPr>
          <w:pgSz w:w="11900" w:h="16838" w:orient="portrait"/>
          <w:cols w:equalWidth="0" w:num="1">
            <w:col w:w="11420"/>
          </w:cols>
          <w:pgMar w:left="240" w:top="280" w:right="239" w:bottom="1440" w:gutter="0" w:footer="0" w:header="0"/>
        </w:sectPr>
      </w:pPr>
    </w:p>
    <w:bookmarkStart w:id="19" w:name="page20"/>
    <w:bookmarkEnd w:id="19"/>
    <w:p>
      <w:pPr>
        <w:ind w:left="680" w:right="220" w:hanging="679"/>
        <w:spacing w:after="0" w:line="275" w:lineRule="auto"/>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Q21)</w:t>
      </w:r>
      <w:r>
        <w:rPr>
          <w:sz w:val="20"/>
          <w:szCs w:val="20"/>
          <w:color w:val="auto"/>
        </w:rPr>
        <w:tab/>
      </w:r>
      <w:r>
        <w:rPr>
          <w:rFonts w:ascii="Arial" w:cs="Arial" w:eastAsia="Arial" w:hAnsi="Arial"/>
          <w:sz w:val="18"/>
          <w:szCs w:val="18"/>
          <w:b w:val="1"/>
          <w:bCs w:val="1"/>
          <w:color w:val="auto"/>
        </w:rPr>
        <w:t>What is the difference between Schlumberger pretax income and the pretax income of the business segments, including income from ‘Other’ activities?</w:t>
      </w:r>
    </w:p>
    <w:p>
      <w:pPr>
        <w:spacing w:after="0" w:line="31" w:lineRule="exact"/>
        <w:rPr>
          <w:sz w:val="20"/>
          <w:szCs w:val="20"/>
          <w:color w:val="auto"/>
        </w:rPr>
      </w:pPr>
    </w:p>
    <w:p>
      <w:pPr>
        <w:ind w:left="700" w:right="340"/>
        <w:spacing w:after="0" w:line="370" w:lineRule="auto"/>
        <w:rPr>
          <w:sz w:val="20"/>
          <w:szCs w:val="20"/>
          <w:color w:val="auto"/>
        </w:rPr>
      </w:pPr>
      <w:r>
        <w:rPr>
          <w:rFonts w:ascii="Arial" w:cs="Arial" w:eastAsia="Arial" w:hAnsi="Arial"/>
          <w:sz w:val="15"/>
          <w:szCs w:val="15"/>
          <w:color w:val="auto"/>
        </w:rPr>
        <w:t>Major items include corporate headquarters expenses, interest expense and income, interest on post-retirement benefits, amortization of identifiable intangibles and currency exchange gains and losses, debt extinguishment costs, and employee stock purchase and award plans cost of $7 million.</w:t>
      </w:r>
    </w:p>
    <w:p>
      <w:pPr>
        <w:spacing w:after="0" w:line="4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Q22)</w:t>
      </w:r>
      <w:r>
        <w:rPr>
          <w:sz w:val="20"/>
          <w:szCs w:val="20"/>
          <w:color w:val="auto"/>
        </w:rPr>
        <w:tab/>
      </w:r>
      <w:r>
        <w:rPr>
          <w:rFonts w:ascii="Arial" w:cs="Arial" w:eastAsia="Arial" w:hAnsi="Arial"/>
          <w:sz w:val="18"/>
          <w:szCs w:val="18"/>
          <w:b w:val="1"/>
          <w:bCs w:val="1"/>
          <w:color w:val="auto"/>
        </w:rPr>
        <w:t>What is the current position on funding the company pension plans?</w:t>
      </w:r>
    </w:p>
    <w:p>
      <w:pPr>
        <w:spacing w:after="0" w:line="83" w:lineRule="exact"/>
        <w:rPr>
          <w:sz w:val="20"/>
          <w:szCs w:val="20"/>
          <w:color w:val="auto"/>
        </w:rPr>
      </w:pPr>
    </w:p>
    <w:p>
      <w:pPr>
        <w:ind w:left="700" w:right="160"/>
        <w:spacing w:after="0" w:line="259" w:lineRule="auto"/>
        <w:rPr>
          <w:sz w:val="20"/>
          <w:szCs w:val="20"/>
          <w:color w:val="auto"/>
        </w:rPr>
      </w:pPr>
      <w:r>
        <w:rPr>
          <w:rFonts w:ascii="Arial" w:cs="Arial" w:eastAsia="Arial" w:hAnsi="Arial"/>
          <w:sz w:val="18"/>
          <w:szCs w:val="18"/>
          <w:color w:val="auto"/>
        </w:rPr>
        <w:t>The material defined benefit plans include plans in the USA and the United Kingdom. Each of these plans is under-funded on an actuarial basis as a result of lower interest rates and poor financial market performance. The company will increase its funding of the plans over the next few years unless there is a meaningful recovery in the markets and/or interest rates rise.</w:t>
      </w:r>
    </w:p>
    <w:p>
      <w:pPr>
        <w:spacing w:after="0" w:line="127" w:lineRule="exact"/>
        <w:rPr>
          <w:sz w:val="20"/>
          <w:szCs w:val="20"/>
          <w:color w:val="auto"/>
        </w:rPr>
      </w:pPr>
    </w:p>
    <w:p>
      <w:pPr>
        <w:ind w:left="700" w:right="80"/>
        <w:spacing w:after="0" w:line="298" w:lineRule="auto"/>
        <w:rPr>
          <w:sz w:val="20"/>
          <w:szCs w:val="20"/>
          <w:color w:val="auto"/>
        </w:rPr>
      </w:pPr>
      <w:r>
        <w:rPr>
          <w:rFonts w:ascii="Arial" w:cs="Arial" w:eastAsia="Arial" w:hAnsi="Arial"/>
          <w:sz w:val="16"/>
          <w:szCs w:val="16"/>
          <w:color w:val="auto"/>
        </w:rPr>
        <w:t>In accordance with FASB #87, the company has recorded a cumulative increase in the pension liability of $255 million at September 30, 2003, compared to $278 million at June 30, 2003. At quarter’s end the total pension liability was equal to the minimum liability. The offset has been recorded in Other Comprehensive Income. The minimum liability represents the difference between the Accumulated Benefit Obligation (present value of benefits earned to date) and the plan assets plus the balance sheet accrual at September 30, 2003.</w:t>
      </w:r>
    </w:p>
    <w:p>
      <w:pPr>
        <w:spacing w:after="0" w:line="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Q23)</w:t>
      </w:r>
      <w:r>
        <w:rPr>
          <w:sz w:val="20"/>
          <w:szCs w:val="20"/>
          <w:color w:val="auto"/>
        </w:rPr>
        <w:tab/>
      </w:r>
      <w:r>
        <w:rPr>
          <w:rFonts w:ascii="Arial" w:cs="Arial" w:eastAsia="Arial" w:hAnsi="Arial"/>
          <w:sz w:val="18"/>
          <w:szCs w:val="18"/>
          <w:b w:val="1"/>
          <w:bCs w:val="1"/>
          <w:color w:val="auto"/>
        </w:rPr>
        <w:t>What is the present guidance on full year 2003?</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Total capex: $1.0 billion</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SchlumbergerSema capex: $150 million</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Depreciation and amortization excluding multiclient: $1.3 billion</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Q24)</w:t>
      </w:r>
      <w:r>
        <w:rPr>
          <w:sz w:val="20"/>
          <w:szCs w:val="20"/>
          <w:color w:val="auto"/>
        </w:rPr>
        <w:tab/>
      </w:r>
      <w:r>
        <w:rPr>
          <w:rFonts w:ascii="Arial" w:cs="Arial" w:eastAsia="Arial" w:hAnsi="Arial"/>
          <w:sz w:val="18"/>
          <w:szCs w:val="18"/>
          <w:b w:val="1"/>
          <w:bCs w:val="1"/>
          <w:color w:val="auto"/>
        </w:rPr>
        <w:t>What was Schlumberger’s annualized ROCE</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run-rate for the quarter?</w:t>
      </w:r>
    </w:p>
    <w:p>
      <w:pPr>
        <w:spacing w:after="0" w:line="51" w:lineRule="exact"/>
        <w:rPr>
          <w:sz w:val="20"/>
          <w:szCs w:val="20"/>
          <w:color w:val="auto"/>
        </w:rPr>
      </w:pPr>
    </w:p>
    <w:p>
      <w:pPr>
        <w:ind w:left="700" w:right="260"/>
        <w:spacing w:after="0" w:line="252" w:lineRule="auto"/>
        <w:rPr>
          <w:sz w:val="20"/>
          <w:szCs w:val="20"/>
          <w:color w:val="auto"/>
        </w:rPr>
      </w:pPr>
      <w:r>
        <w:rPr>
          <w:rFonts w:ascii="Arial" w:cs="Arial" w:eastAsia="Arial" w:hAnsi="Arial"/>
          <w:sz w:val="18"/>
          <w:szCs w:val="18"/>
          <w:color w:val="auto"/>
        </w:rPr>
        <w:t>Annualized ROCE in the third quarter 2003 was 10.2% compared to 9.9% in the second quarter. The increase in the quarter reflected a mix of higher income and lower capital employed.</w:t>
      </w:r>
    </w:p>
    <w:p>
      <w:pPr>
        <w:spacing w:after="0" w:line="126" w:lineRule="exact"/>
        <w:rPr>
          <w:sz w:val="20"/>
          <w:szCs w:val="20"/>
          <w:color w:val="auto"/>
        </w:rPr>
      </w:pPr>
    </w:p>
    <w:p>
      <w:pPr>
        <w:ind w:left="700" w:right="340" w:hanging="7"/>
        <w:spacing w:after="0" w:line="275" w:lineRule="auto"/>
        <w:tabs>
          <w:tab w:leader="none" w:pos="832"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ROCE </w:t>
      </w:r>
      <w:r>
        <w:rPr>
          <w:rFonts w:ascii="Arial" w:cs="Arial" w:eastAsia="Arial" w:hAnsi="Arial"/>
          <w:sz w:val="18"/>
          <w:szCs w:val="18"/>
          <w:color w:val="auto"/>
        </w:rPr>
        <w:t>is computed as [Net Income from continuing operations excluding charges + Minority Interest + Interest Expense—Interest Income—Tax</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on interest expense] divided by [Shareholders’ Equity + Net Debt + Minority Interest].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77" w:lineRule="exact"/>
        <w:rPr>
          <w:sz w:val="20"/>
          <w:szCs w:val="20"/>
          <w:color w:val="auto"/>
        </w:rPr>
      </w:pPr>
    </w:p>
    <w:p>
      <w:pPr>
        <w:ind w:left="700"/>
        <w:spacing w:after="0" w:line="286" w:lineRule="auto"/>
        <w:rPr>
          <w:sz w:val="20"/>
          <w:szCs w:val="20"/>
          <w:color w:val="auto"/>
        </w:rPr>
      </w:pPr>
      <w:r>
        <w:rPr>
          <w:rFonts w:ascii="Arial" w:cs="Arial" w:eastAsia="Arial" w:hAnsi="Arial"/>
          <w:sz w:val="16"/>
          <w:szCs w:val="16"/>
          <w:color w:val="auto"/>
        </w:rPr>
        <w:t>This question and answer document, the third quarter 2003 earnings release and other statements we make contain forward looking statements, which include any statements that are not historical facts, such as our expectations regarding business outlook, economic recovery, expected capex, multi-client business and depreciation and amortization expenditures, the funding of pension plans and related pension expense, the likelihood of and benefits to be derived from divestitures, conditions in the oilfield service business, including activity levels during 2003 and beyond, production increases in non-OPEC areas, issues affecting the seismic industry, including sales pertaining to Q technology, continued deepwater drilling activity, benefits from contract awards, future results of operations, pricing, future effective tax rates, general outlook in IT solutions and expectations regarding the sale of SchlumbergerSema. These statements involve risks and uncertainties, including, but not limited to, the extent and timing of a rebound in the global economy, changes in exploration and production spending by major oil companies, including our expectations for gas drilling activities in NAM; recovery of activity levels, improved pricing and realization of cost reduction and cost savings targets associated with the seismic business, Q seismic technology contracts; general economic and business conditions in key regions of the world, including Argentina and political and economic uncertainty in</w:t>
      </w:r>
    </w:p>
    <w:p>
      <w:pPr>
        <w:sectPr>
          <w:pgSz w:w="11900" w:h="16838" w:orient="portrait"/>
          <w:cols w:equalWidth="0" w:num="1">
            <w:col w:w="11400"/>
          </w:cols>
          <w:pgMar w:left="240" w:top="274" w:right="259" w:bottom="1440" w:gutter="0" w:footer="0" w:header="0"/>
        </w:sectPr>
      </w:pPr>
    </w:p>
    <w:bookmarkStart w:id="20" w:name="page21"/>
    <w:bookmarkEnd w:id="2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Venezuela, Nigeria and further socio-political unrest in the Persian Gulf and/or Asia; the completion of the sale of the majority of the SchlumbergerSema businesses, and our ability to complete and benefits to be derived from other announced divestitures; our ability to achieve growth objectives in IT solutions to upstream E &amp; P business; a rebound in the IT environment and an increase in IT spending; the extent and timing of a recovery in the telecommunications industry; continued growth in the demand for smart cards and related products ; Schlumberger’s ability to meet its identified liquidity projections, including the generation of sufficient cash flow from oilfield operating results and the successful completion of certain business divestitures, potential contributions to pension plans and other factors detailed in our third quarter 2003 earnings release, our most recent Forms 10-K and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 #</w:t>
      </w:r>
    </w:p>
    <w:sectPr>
      <w:pgSz w:w="11900" w:h="16838" w:orient="portrait"/>
      <w:cols w:equalWidth="0" w:num="1">
        <w:col w:w="10580"/>
      </w:cols>
      <w:pgMar w:left="940" w:top="2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Letter"/>
      <w:start w:val="3"/>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lvl w:ilvl="1">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2"/>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upperLetter"/>
      <w:start w:val="1"/>
    </w:lvl>
  </w:abstractNum>
  <w:abstractNum w:abstractNumId="13">
    <w:nsid w:val="41A7C4C9"/>
    <w:multiLevelType w:val="hybridMultilevel"/>
    <w:lvl w:ilvl="0">
      <w:lvlJc w:val="left"/>
      <w:lvlText w:val="%1)"/>
      <w:numFmt w:val="upperLetter"/>
      <w:start w:val="2"/>
    </w:lvl>
  </w:abstractNum>
  <w:abstractNum w:abstractNumId="14">
    <w:nsid w:val="6B68079A"/>
    <w:multiLevelType w:val="hybridMultilevel"/>
    <w:lvl w:ilvl="0">
      <w:lvlJc w:val="left"/>
      <w:lvlText w:val="%1)"/>
      <w:numFmt w:val="upperLetter"/>
      <w:start w:val="3"/>
    </w:lvl>
  </w:abstractNum>
  <w:abstractNum w:abstractNumId="15">
    <w:nsid w:val="4E6AFB66"/>
    <w:multiLevelType w:val="hybridMultilevel"/>
    <w:lvl w:ilvl="0">
      <w:lvlJc w:val="left"/>
      <w:lvlText w:val="%1)"/>
      <w:numFmt w:val="upperLetter"/>
      <w:start w:val="4"/>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2019-12-13T06:41:44Z</dcterms:created>
  <dcterms:modified xsi:type="dcterms:W3CDTF">2019-12-13T06:41:44Z</dcterms:modified>
</cp:coreProperties>
</file>