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13D/A</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CE FRANKLIN LTD.</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no par value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125151100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Michael T. McGuinty</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(713) 375-3400</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30,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9"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CUSIP No. 125151100</w:t>
            </w:r>
          </w:p>
        </w:tc>
        <w:tc>
          <w:tcPr>
            <w:tcW w:w="4880" w:type="dxa"/>
            <w:vAlign w:val="bottom"/>
          </w:tcPr>
          <w:p>
            <w:pPr>
              <w:ind w:left="3980"/>
              <w:spacing w:after="0"/>
              <w:rPr>
                <w:sz w:val="20"/>
                <w:szCs w:val="20"/>
                <w:color w:val="auto"/>
              </w:rPr>
            </w:pPr>
            <w:r>
              <w:rPr>
                <w:rFonts w:ascii="Arial" w:cs="Arial" w:eastAsia="Arial" w:hAnsi="Arial"/>
                <w:sz w:val="18"/>
                <w:szCs w:val="18"/>
                <w:color w:val="auto"/>
                <w:w w:val="86"/>
              </w:rPr>
              <w:t>Page 2 of 14</w:t>
            </w:r>
          </w:p>
        </w:tc>
      </w:tr>
      <w:tr>
        <w:trPr>
          <w:trHeight w:val="83"/>
        </w:trPr>
        <w:tc>
          <w:tcPr>
            <w:tcW w:w="656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1.  Names of Reporting Persons.</w:t>
            </w:r>
          </w:p>
        </w:tc>
        <w:tc>
          <w:tcPr>
            <w:tcW w:w="4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-149225</wp:posOffset>
            </wp:positionV>
            <wp:extent cx="8890" cy="5617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-149225</wp:posOffset>
            </wp:positionV>
            <wp:extent cx="8890" cy="227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27266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rPr>
              <w:t>SCHLUMBERGER N.V. (SCHLUMBERGER LIMITED)</w:t>
            </w:r>
          </w:p>
        </w:tc>
        <w:tc>
          <w:tcPr>
            <w:tcW w:w="0" w:type="dxa"/>
            <w:vAlign w:val="bottom"/>
          </w:tcPr>
          <w:p>
            <w:pPr>
              <w:spacing w:after="0"/>
              <w:rPr>
                <w:sz w:val="1"/>
                <w:szCs w:val="1"/>
                <w:color w:val="auto"/>
              </w:rPr>
            </w:pPr>
          </w:p>
        </w:tc>
      </w:tr>
      <w:tr>
        <w:trPr>
          <w:trHeight w:val="170"/>
        </w:trPr>
        <w:tc>
          <w:tcPr>
            <w:tcW w:w="42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940" w:type="dxa"/>
            <w:vAlign w:val="bottom"/>
            <w:gridSpan w:val="5"/>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w w:val="99"/>
              </w:rPr>
              <w:t>(b)</w:t>
            </w:r>
          </w:p>
        </w:tc>
        <w:tc>
          <w:tcPr>
            <w:tcW w:w="99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9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auto"/>
                <w:w w:val="87"/>
              </w:rPr>
              <w:t>SEC Use Only</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9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OO, WC</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109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Curaçao</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Number of</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9,729,582</w:t>
            </w:r>
          </w:p>
        </w:tc>
        <w:tc>
          <w:tcPr>
            <w:tcW w:w="0" w:type="dxa"/>
            <w:vAlign w:val="bottom"/>
          </w:tcPr>
          <w:p>
            <w:pPr>
              <w:spacing w:after="0"/>
              <w:rPr>
                <w:sz w:val="1"/>
                <w:szCs w:val="1"/>
                <w:color w:val="auto"/>
              </w:rPr>
            </w:pPr>
          </w:p>
        </w:tc>
      </w:tr>
      <w:tr>
        <w:trPr>
          <w:trHeight w:val="228"/>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19"/>
                <w:szCs w:val="19"/>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Owned by</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87"/>
              </w:rPr>
              <w:t>Each</w:t>
            </w:r>
          </w:p>
        </w:tc>
        <w:tc>
          <w:tcPr>
            <w:tcW w:w="5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Reporting</w:t>
            </w:r>
          </w:p>
        </w:tc>
        <w:tc>
          <w:tcPr>
            <w:tcW w:w="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9,729,582</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Person</w:t>
            </w:r>
          </w:p>
        </w:tc>
        <w:tc>
          <w:tcPr>
            <w:tcW w:w="1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50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With</w:t>
            </w:r>
          </w:p>
        </w:tc>
        <w:tc>
          <w:tcPr>
            <w:tcW w:w="580" w:type="dxa"/>
            <w:vAlign w:val="bottom"/>
            <w:tcBorders>
              <w:right w:val="single" w:sz="8" w:color="auto"/>
            </w:tcBorders>
          </w:tcPr>
          <w:p>
            <w:pPr>
              <w:spacing w:after="0"/>
              <w:rPr>
                <w:sz w:val="4"/>
                <w:szCs w:val="4"/>
                <w:color w:val="auto"/>
              </w:rPr>
            </w:pPr>
          </w:p>
        </w:tc>
        <w:tc>
          <w:tcPr>
            <w:tcW w:w="380" w:type="dxa"/>
            <w:vAlign w:val="bottom"/>
            <w:tcBorders>
              <w:bottom w:val="single" w:sz="8" w:color="auto"/>
              <w:right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0" w:type="dxa"/>
            <w:vAlign w:val="bottom"/>
            <w:gridSpan w:val="2"/>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9,729,582</w:t>
            </w:r>
            <w:r>
              <w:rPr>
                <w:rFonts w:ascii="Arial" w:cs="Arial" w:eastAsia="Arial" w:hAnsi="Arial"/>
                <w:sz w:val="11"/>
                <w:szCs w:val="11"/>
                <w:color w:val="auto"/>
                <w:w w:val="88"/>
              </w:rPr>
              <w:t>1</w:t>
            </w: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09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spacing w:after="0"/>
              <w:rPr>
                <w:sz w:val="13"/>
                <w:szCs w:val="13"/>
                <w:color w:val="auto"/>
              </w:rPr>
            </w:pPr>
          </w:p>
        </w:tc>
        <w:tc>
          <w:tcPr>
            <w:tcW w:w="998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55.8%</w:t>
            </w:r>
            <w:r>
              <w:rPr>
                <w:rFonts w:ascii="Arial" w:cs="Arial" w:eastAsia="Arial" w:hAnsi="Arial"/>
                <w:sz w:val="11"/>
                <w:szCs w:val="11"/>
                <w:color w:val="auto"/>
              </w:rPr>
              <w:t>2</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1"/>
              </w:rPr>
              <w:t>HC, OO</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Such shares are held by Wilson Distribution Holdings, LLC, an indirect wholly-owned subsidiary of the reporting person.</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Based upon the number of shares of common stock outstanding as reflected in the Issuer’s Annual Report on Form 20-F for the year ended December 31, 2011.</w:t>
      </w:r>
    </w:p>
    <w:p>
      <w:pPr>
        <w:sectPr>
          <w:pgSz w:w="11900" w:h="16838" w:orient="portrait"/>
          <w:cols w:equalWidth="0" w:num="2">
            <w:col w:w="60" w:space="400"/>
            <w:col w:w="10980"/>
          </w:cols>
          <w:pgMar w:left="240" w:top="280" w:right="2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CUSIP No. 125151100</w:t>
            </w:r>
          </w:p>
        </w:tc>
        <w:tc>
          <w:tcPr>
            <w:tcW w:w="4880" w:type="dxa"/>
            <w:vAlign w:val="bottom"/>
          </w:tcPr>
          <w:p>
            <w:pPr>
              <w:ind w:left="3980"/>
              <w:spacing w:after="0"/>
              <w:rPr>
                <w:sz w:val="20"/>
                <w:szCs w:val="20"/>
                <w:color w:val="auto"/>
              </w:rPr>
            </w:pPr>
            <w:r>
              <w:rPr>
                <w:rFonts w:ascii="Arial" w:cs="Arial" w:eastAsia="Arial" w:hAnsi="Arial"/>
                <w:sz w:val="18"/>
                <w:szCs w:val="18"/>
                <w:color w:val="auto"/>
                <w:w w:val="86"/>
              </w:rPr>
              <w:t>Page 3 of 14</w:t>
            </w:r>
          </w:p>
        </w:tc>
      </w:tr>
      <w:tr>
        <w:trPr>
          <w:trHeight w:val="83"/>
        </w:trPr>
        <w:tc>
          <w:tcPr>
            <w:tcW w:w="656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1.  Names of Reporting Persons.</w:t>
            </w:r>
          </w:p>
        </w:tc>
        <w:tc>
          <w:tcPr>
            <w:tcW w:w="4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-149225</wp:posOffset>
            </wp:positionV>
            <wp:extent cx="8890" cy="5617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-149225</wp:posOffset>
            </wp:positionV>
            <wp:extent cx="8890" cy="2272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227266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rPr>
              <w:t>SMITH INTERNATIONAL, INC.</w:t>
            </w:r>
          </w:p>
        </w:tc>
        <w:tc>
          <w:tcPr>
            <w:tcW w:w="0" w:type="dxa"/>
            <w:vAlign w:val="bottom"/>
          </w:tcPr>
          <w:p>
            <w:pPr>
              <w:spacing w:after="0"/>
              <w:rPr>
                <w:sz w:val="1"/>
                <w:szCs w:val="1"/>
                <w:color w:val="auto"/>
              </w:rPr>
            </w:pPr>
          </w:p>
        </w:tc>
      </w:tr>
      <w:tr>
        <w:trPr>
          <w:trHeight w:val="170"/>
        </w:trPr>
        <w:tc>
          <w:tcPr>
            <w:tcW w:w="42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940" w:type="dxa"/>
            <w:vAlign w:val="bottom"/>
            <w:gridSpan w:val="5"/>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9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9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auto"/>
                <w:w w:val="87"/>
              </w:rPr>
              <w:t>SEC Use Only</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9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WC, OO</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109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Delaware</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9,729,582</w:t>
            </w:r>
          </w:p>
        </w:tc>
        <w:tc>
          <w:tcPr>
            <w:tcW w:w="0" w:type="dxa"/>
            <w:vAlign w:val="bottom"/>
          </w:tcPr>
          <w:p>
            <w:pPr>
              <w:spacing w:after="0"/>
              <w:rPr>
                <w:sz w:val="1"/>
                <w:szCs w:val="1"/>
                <w:color w:val="auto"/>
              </w:rPr>
            </w:pPr>
          </w:p>
        </w:tc>
      </w:tr>
      <w:tr>
        <w:trPr>
          <w:trHeight w:val="228"/>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Owned by</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87"/>
              </w:rPr>
              <w:t>Each</w:t>
            </w: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9,729,582</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Person</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50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With</w:t>
            </w:r>
          </w:p>
        </w:tc>
        <w:tc>
          <w:tcPr>
            <w:tcW w:w="580" w:type="dxa"/>
            <w:vAlign w:val="bottom"/>
            <w:tcBorders>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0" w:type="dxa"/>
            <w:vAlign w:val="bottom"/>
            <w:gridSpan w:val="2"/>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9,729,582</w:t>
            </w:r>
            <w:r>
              <w:rPr>
                <w:rFonts w:ascii="Arial" w:cs="Arial" w:eastAsia="Arial" w:hAnsi="Arial"/>
                <w:sz w:val="11"/>
                <w:szCs w:val="11"/>
                <w:color w:val="auto"/>
                <w:w w:val="88"/>
              </w:rPr>
              <w:t>3</w:t>
            </w: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09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spacing w:after="0"/>
              <w:rPr>
                <w:sz w:val="13"/>
                <w:szCs w:val="13"/>
                <w:color w:val="auto"/>
              </w:rPr>
            </w:pPr>
          </w:p>
        </w:tc>
        <w:tc>
          <w:tcPr>
            <w:tcW w:w="998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55.8%</w:t>
            </w:r>
            <w:r>
              <w:rPr>
                <w:rFonts w:ascii="Arial" w:cs="Arial" w:eastAsia="Arial" w:hAnsi="Arial"/>
                <w:sz w:val="11"/>
                <w:szCs w:val="11"/>
                <w:color w:val="auto"/>
                <w:w w:val="90"/>
              </w:rPr>
              <w:t>4</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HC, OO</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Such shares are held by Wilson Distribution Holdings, LLC, an indirect wholly-owned subsidiary of the reporting person.</w:t>
      </w:r>
    </w:p>
    <w:p>
      <w:pPr>
        <w:spacing w:after="0" w:line="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Based upon the number of shares of common stock outstanding as reflected in the Issuer’s Annual Report on Form 20-F for the year ended December 31, 2011.</w:t>
      </w:r>
    </w:p>
    <w:p>
      <w:pPr>
        <w:sectPr>
          <w:pgSz w:w="11900" w:h="16838" w:orient="portrait"/>
          <w:cols w:equalWidth="0" w:num="2">
            <w:col w:w="60" w:space="400"/>
            <w:col w:w="10980"/>
          </w:cols>
          <w:pgMar w:left="240" w:top="280"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CUSIP No. 125151100</w:t>
            </w:r>
          </w:p>
        </w:tc>
        <w:tc>
          <w:tcPr>
            <w:tcW w:w="4880" w:type="dxa"/>
            <w:vAlign w:val="bottom"/>
          </w:tcPr>
          <w:p>
            <w:pPr>
              <w:ind w:left="3980"/>
              <w:spacing w:after="0"/>
              <w:rPr>
                <w:sz w:val="20"/>
                <w:szCs w:val="20"/>
                <w:color w:val="auto"/>
              </w:rPr>
            </w:pPr>
            <w:r>
              <w:rPr>
                <w:rFonts w:ascii="Arial" w:cs="Arial" w:eastAsia="Arial" w:hAnsi="Arial"/>
                <w:sz w:val="18"/>
                <w:szCs w:val="18"/>
                <w:color w:val="auto"/>
                <w:w w:val="86"/>
              </w:rPr>
              <w:t>Page 4 of 14</w:t>
            </w:r>
          </w:p>
        </w:tc>
      </w:tr>
      <w:tr>
        <w:trPr>
          <w:trHeight w:val="83"/>
        </w:trPr>
        <w:tc>
          <w:tcPr>
            <w:tcW w:w="656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8"/>
                <w:szCs w:val="18"/>
                <w:color w:val="auto"/>
              </w:rPr>
              <w:t>1.  Names of Reporting Persons.</w:t>
            </w:r>
          </w:p>
        </w:tc>
        <w:tc>
          <w:tcPr>
            <w:tcW w:w="4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-149225</wp:posOffset>
            </wp:positionV>
            <wp:extent cx="8890" cy="5617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8890" cy="5617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6172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-149225</wp:posOffset>
            </wp:positionV>
            <wp:extent cx="8890" cy="2272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227266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gridSpan w:val="5"/>
          </w:tcPr>
          <w:p>
            <w:pPr>
              <w:spacing w:after="0"/>
              <w:rPr>
                <w:sz w:val="20"/>
                <w:szCs w:val="20"/>
                <w:color w:val="auto"/>
              </w:rPr>
            </w:pPr>
            <w:r>
              <w:rPr>
                <w:rFonts w:ascii="Arial" w:cs="Arial" w:eastAsia="Arial" w:hAnsi="Arial"/>
                <w:sz w:val="22"/>
                <w:szCs w:val="22"/>
                <w:color w:val="auto"/>
              </w:rPr>
              <w:t>WILSON DISTRIBUTION HOLDINGS, LLC</w:t>
            </w:r>
          </w:p>
        </w:tc>
        <w:tc>
          <w:tcPr>
            <w:tcW w:w="0" w:type="dxa"/>
            <w:vAlign w:val="bottom"/>
          </w:tcPr>
          <w:p>
            <w:pPr>
              <w:spacing w:after="0"/>
              <w:rPr>
                <w:sz w:val="1"/>
                <w:szCs w:val="1"/>
                <w:color w:val="auto"/>
              </w:rPr>
            </w:pPr>
          </w:p>
        </w:tc>
      </w:tr>
      <w:tr>
        <w:trPr>
          <w:trHeight w:val="170"/>
        </w:trPr>
        <w:tc>
          <w:tcPr>
            <w:tcW w:w="42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940" w:type="dxa"/>
            <w:vAlign w:val="bottom"/>
            <w:gridSpan w:val="5"/>
          </w:tcPr>
          <w:p>
            <w:pPr>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9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spacing w:after="0"/>
              <w:rPr>
                <w:sz w:val="12"/>
                <w:szCs w:val="12"/>
                <w:color w:val="auto"/>
              </w:rPr>
            </w:pPr>
          </w:p>
        </w:tc>
        <w:tc>
          <w:tcPr>
            <w:tcW w:w="9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auto"/>
                <w:w w:val="87"/>
              </w:rPr>
              <w:t>SEC Use Only</w:t>
            </w:r>
          </w:p>
        </w:tc>
        <w:tc>
          <w:tcPr>
            <w:tcW w:w="9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94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AF</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109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94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Delaware</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Number of</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9,729,582</w:t>
            </w:r>
          </w:p>
        </w:tc>
        <w:tc>
          <w:tcPr>
            <w:tcW w:w="0" w:type="dxa"/>
            <w:vAlign w:val="bottom"/>
          </w:tcPr>
          <w:p>
            <w:pPr>
              <w:spacing w:after="0"/>
              <w:rPr>
                <w:sz w:val="1"/>
                <w:szCs w:val="1"/>
                <w:color w:val="auto"/>
              </w:rPr>
            </w:pPr>
          </w:p>
        </w:tc>
      </w:tr>
      <w:tr>
        <w:trPr>
          <w:trHeight w:val="228"/>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Beneficially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Owned by</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00" w:type="dxa"/>
            <w:vAlign w:val="bottom"/>
            <w:gridSpan w:val="2"/>
          </w:tcPr>
          <w:p>
            <w:pPr>
              <w:ind w:left="120"/>
              <w:spacing w:after="0" w:line="190" w:lineRule="exact"/>
              <w:rPr>
                <w:sz w:val="20"/>
                <w:szCs w:val="20"/>
                <w:color w:val="auto"/>
              </w:rPr>
            </w:pPr>
            <w:r>
              <w:rPr>
                <w:rFonts w:ascii="Arial" w:cs="Arial" w:eastAsia="Arial" w:hAnsi="Arial"/>
                <w:sz w:val="18"/>
                <w:szCs w:val="18"/>
                <w:color w:val="auto"/>
                <w:w w:val="87"/>
              </w:rPr>
              <w:t>Each</w:t>
            </w:r>
          </w:p>
        </w:tc>
        <w:tc>
          <w:tcPr>
            <w:tcW w:w="5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6"/>
                <w:szCs w:val="16"/>
                <w:color w:val="auto"/>
              </w:rPr>
            </w:pPr>
          </w:p>
        </w:tc>
        <w:tc>
          <w:tcPr>
            <w:tcW w:w="9900" w:type="dxa"/>
            <w:vAlign w:val="bottom"/>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restart"/>
          </w:tcPr>
          <w:p>
            <w:pPr>
              <w:spacing w:after="0"/>
              <w:rPr>
                <w:sz w:val="20"/>
                <w:szCs w:val="20"/>
                <w:color w:val="auto"/>
              </w:rPr>
            </w:pPr>
            <w:r>
              <w:rPr>
                <w:rFonts w:ascii="Arial" w:cs="Arial" w:eastAsia="Arial" w:hAnsi="Arial"/>
                <w:sz w:val="22"/>
                <w:szCs w:val="22"/>
                <w:color w:val="auto"/>
              </w:rPr>
              <w:t>9,729,582</w:t>
            </w:r>
          </w:p>
        </w:tc>
        <w:tc>
          <w:tcPr>
            <w:tcW w:w="0" w:type="dxa"/>
            <w:vAlign w:val="bottom"/>
          </w:tcPr>
          <w:p>
            <w:pPr>
              <w:spacing w:after="0"/>
              <w:rPr>
                <w:sz w:val="1"/>
                <w:szCs w:val="1"/>
                <w:color w:val="auto"/>
              </w:rPr>
            </w:pPr>
          </w:p>
        </w:tc>
      </w:tr>
      <w:tr>
        <w:trPr>
          <w:trHeight w:val="216"/>
        </w:trPr>
        <w:tc>
          <w:tcPr>
            <w:tcW w:w="10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Person</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500" w:type="dxa"/>
            <w:vAlign w:val="bottom"/>
            <w:gridSpan w:val="2"/>
            <w:vMerge w:val="restart"/>
          </w:tcPr>
          <w:p>
            <w:pPr>
              <w:ind w:left="120"/>
              <w:spacing w:after="0"/>
              <w:rPr>
                <w:sz w:val="20"/>
                <w:szCs w:val="20"/>
                <w:color w:val="auto"/>
              </w:rPr>
            </w:pPr>
            <w:r>
              <w:rPr>
                <w:rFonts w:ascii="Arial" w:cs="Arial" w:eastAsia="Arial" w:hAnsi="Arial"/>
                <w:sz w:val="18"/>
                <w:szCs w:val="18"/>
                <w:color w:val="auto"/>
                <w:w w:val="99"/>
              </w:rPr>
              <w:t>With</w:t>
            </w:r>
          </w:p>
        </w:tc>
        <w:tc>
          <w:tcPr>
            <w:tcW w:w="580" w:type="dxa"/>
            <w:vAlign w:val="bottom"/>
            <w:tcBorders>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0" w:type="dxa"/>
            <w:vAlign w:val="bottom"/>
            <w:gridSpan w:val="2"/>
            <w:vMerge w:val="continue"/>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3"/>
              </w:rPr>
              <w:t>9,729,582</w:t>
            </w: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10940" w:type="dxa"/>
            <w:vAlign w:val="bottom"/>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2"/>
          </w:tcPr>
          <w:p>
            <w:pPr>
              <w:spacing w:after="0"/>
              <w:rPr>
                <w:sz w:val="13"/>
                <w:szCs w:val="13"/>
                <w:color w:val="auto"/>
              </w:rPr>
            </w:pPr>
          </w:p>
        </w:tc>
        <w:tc>
          <w:tcPr>
            <w:tcW w:w="998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55.8%</w:t>
            </w:r>
            <w:r>
              <w:rPr>
                <w:rFonts w:ascii="Arial" w:cs="Arial" w:eastAsia="Arial" w:hAnsi="Arial"/>
                <w:sz w:val="11"/>
                <w:szCs w:val="11"/>
                <w:color w:val="auto"/>
                <w:w w:val="90"/>
              </w:rPr>
              <w:t>5</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0940" w:type="dxa"/>
            <w:vAlign w:val="bottom"/>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HC, OO</w:t>
            </w:r>
          </w:p>
        </w:tc>
        <w:tc>
          <w:tcPr>
            <w:tcW w:w="9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1" w:lineRule="exact"/>
        <w:rPr>
          <w:sz w:val="20"/>
          <w:szCs w:val="20"/>
          <w:color w:val="auto"/>
        </w:rPr>
      </w:pPr>
    </w:p>
    <w:p>
      <w:pPr>
        <w:ind w:left="460" w:right="200" w:hanging="452"/>
        <w:spacing w:after="0" w:line="228" w:lineRule="auto"/>
        <w:tabs>
          <w:tab w:leader="none" w:pos="46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Based upon the number of shares of common stock outstanding as reflected in the Issuer’s Annual Report on Form 20-F for the year ended December 31, 2011.</w:t>
      </w:r>
    </w:p>
    <w:p>
      <w:pPr>
        <w:sectPr>
          <w:pgSz w:w="11900" w:h="16838" w:orient="portrait"/>
          <w:cols w:equalWidth="0" w:num="1">
            <w:col w:w="11440"/>
          </w:cols>
          <w:pgMar w:left="240" w:top="280" w:right="219" w:bottom="1440" w:gutter="0" w:footer="0" w:header="0"/>
        </w:sectPr>
      </w:pPr>
    </w:p>
    <w:bookmarkStart w:id="4" w:name="page5"/>
    <w:bookmarkEnd w:id="4"/>
    <w:p>
      <w:pPr>
        <w:ind w:left="10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5 of 14</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This Schedule 13D represents Amendment No. 5 (the “Amendment”) to a Statement on Schedule 13D dated May 28, 1999, as amended by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No. 1 dated June 12, 2001, as amended by Amendment No. 2 dated July 31, 2001, as amended by Amendment No. 3 dated August 9, 2002 filed by Smith International, Inc., as amended by Amendment No. 4 filed by Schlumberger N.V. (Schlumberger Limited). Any items that are reported are deemed to amend and supplement the existing items in the Schedule 13D. Capitalized terms used in this Amendment and not defined herein have the respective meanings ascribed to such terms in the Schedule 13D, as previously amended.</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Purpose of Transaction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 is hereby amended by adding the following:</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On May 30, 2012, Wilson Distribution Holdings, LLC (“Wilson”) entered into a support agreement (the “Support Agreement”) with NOCL Holding B.V. (the “Purchaser”) and Dreco Energy Services ULC (the “Guarantor”) pursuant to which Wilson agreed to vote all of the 9,729,582 shares of common stock, no par value per share, of CE Franklin Ltd. (the “Issuer” and the Issuer’s common stock, the “CE Franklin Common Stock”) held by Wilson in favor of a plan of arrangement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(Alberta) (the “Arrangement”) at the meeting of the shareholders of the Issuer to be called to consider the Arrangement. The Arrangement provides for, among other things, the acquisition by the Purchaser of all of the issued and outstanding shares of CE Franklin Common Stock for cash consideration of Cdn.$12.75 for each share of CE Franklin Common Stock.</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Support Agreement will terminate if, among other things, the arrangement agreement dated May 30, 2012 between the Issuer, the Purchaser, NOV Distribution Services ULC and the Guarantor providing for the Arrangement is terminated in accordance with its terms or if the board of directors of the Issuer withdraws, amends, modifies or qualifies, in a manner adverse to Purchaser, its recommendation that shareholders of the Issuer vote in favour of the Arrangement in a manner adverse to the Purchaser.</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description of the Support Agreement in this Amendment is qualified in its entirety by reference to the full text of the Support Agreement, a copy of which is filed herewith as Exhibit 99.1 and is hereby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Contracts, Arrangements, Understandings or Relationships With Respect to Securities of the Issuer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6 is hereby amended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4 above is hereby incorporated herein by reference.</w:t>
      </w:r>
    </w:p>
    <w:p>
      <w:pPr>
        <w:sectPr>
          <w:pgSz w:w="11900" w:h="16838" w:orient="portrait"/>
          <w:cols w:equalWidth="0" w:num="1">
            <w:col w:w="11420"/>
          </w:cols>
          <w:pgMar w:left="240" w:top="2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040" w:type="dxa"/>
            <w:vAlign w:val="bottom"/>
          </w:tcPr>
          <w:p>
            <w:pPr>
              <w:ind w:left="7160"/>
              <w:spacing w:after="0"/>
              <w:rPr>
                <w:sz w:val="20"/>
                <w:szCs w:val="20"/>
                <w:color w:val="auto"/>
              </w:rPr>
            </w:pPr>
            <w:r>
              <w:rPr>
                <w:rFonts w:ascii="Arial" w:cs="Arial" w:eastAsia="Arial" w:hAnsi="Arial"/>
                <w:sz w:val="18"/>
                <w:szCs w:val="18"/>
                <w:color w:val="auto"/>
                <w:w w:val="84"/>
              </w:rPr>
              <w:t>Page 6 of 14</w:t>
            </w:r>
          </w:p>
        </w:tc>
      </w:tr>
      <w:tr>
        <w:trPr>
          <w:trHeight w:val="326"/>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40" w:type="dxa"/>
            <w:vAlign w:val="bottom"/>
            <w:gridSpan w:val="3"/>
          </w:tcPr>
          <w:p>
            <w:pPr>
              <w:ind w:left="60"/>
              <w:spacing w:after="0"/>
              <w:rPr>
                <w:sz w:val="20"/>
                <w:szCs w:val="20"/>
                <w:color w:val="auto"/>
              </w:rPr>
            </w:pPr>
            <w:r>
              <w:rPr>
                <w:rFonts w:ascii="Arial" w:cs="Arial" w:eastAsia="Arial" w:hAnsi="Arial"/>
                <w:sz w:val="18"/>
                <w:szCs w:val="18"/>
                <w:b w:val="1"/>
                <w:bCs w:val="1"/>
                <w:color w:val="auto"/>
              </w:rPr>
              <w:t>Material to be Filed as Exhibits</w:t>
            </w:r>
          </w:p>
        </w:tc>
      </w:tr>
      <w:tr>
        <w:trPr>
          <w:trHeight w:val="361"/>
        </w:trPr>
        <w:tc>
          <w:tcPr>
            <w:tcW w:w="5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8040" w:type="dxa"/>
            <w:vAlign w:val="bottom"/>
          </w:tcPr>
          <w:p>
            <w:pPr>
              <w:spacing w:after="0"/>
              <w:rPr>
                <w:sz w:val="24"/>
                <w:szCs w:val="24"/>
                <w:color w:val="auto"/>
              </w:rPr>
            </w:pPr>
          </w:p>
        </w:tc>
      </w:tr>
      <w:tr>
        <w:trPr>
          <w:trHeight w:val="159"/>
        </w:trPr>
        <w:tc>
          <w:tcPr>
            <w:tcW w:w="760" w:type="dxa"/>
            <w:vAlign w:val="bottom"/>
            <w:gridSpan w:val="3"/>
          </w:tcPr>
          <w:p>
            <w:pPr>
              <w:ind w:left="120"/>
              <w:spacing w:after="0" w:line="159" w:lineRule="exact"/>
              <w:rPr>
                <w:sz w:val="20"/>
                <w:szCs w:val="20"/>
                <w:color w:val="auto"/>
              </w:rPr>
            </w:pPr>
            <w:r>
              <w:rPr>
                <w:rFonts w:ascii="Arial" w:cs="Arial" w:eastAsia="Arial" w:hAnsi="Arial"/>
                <w:sz w:val="14"/>
                <w:szCs w:val="14"/>
                <w:color w:val="auto"/>
              </w:rPr>
              <w:t>No.</w:t>
            </w:r>
          </w:p>
        </w:tc>
        <w:tc>
          <w:tcPr>
            <w:tcW w:w="10660" w:type="dxa"/>
            <w:vAlign w:val="bottom"/>
            <w:gridSpan w:val="4"/>
          </w:tcPr>
          <w:p>
            <w:pPr>
              <w:ind w:left="220"/>
              <w:spacing w:after="0" w:line="159" w:lineRule="exact"/>
              <w:rPr>
                <w:sz w:val="20"/>
                <w:szCs w:val="20"/>
                <w:color w:val="auto"/>
              </w:rPr>
            </w:pPr>
            <w:r>
              <w:rPr>
                <w:rFonts w:ascii="Arial" w:cs="Arial" w:eastAsia="Arial" w:hAnsi="Arial"/>
                <w:sz w:val="14"/>
                <w:szCs w:val="14"/>
                <w:color w:val="auto"/>
              </w:rPr>
              <w:t>Exhibit Name</w:t>
            </w: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8040" w:type="dxa"/>
            <w:vAlign w:val="bottom"/>
            <w:tcBorders>
              <w:bottom w:val="single" w:sz="8" w:color="auto"/>
            </w:tcBorders>
          </w:tcPr>
          <w:p>
            <w:pPr>
              <w:spacing w:after="0" w:line="20" w:lineRule="exact"/>
              <w:rPr>
                <w:sz w:val="1"/>
                <w:szCs w:val="1"/>
                <w:color w:val="auto"/>
              </w:rPr>
            </w:pPr>
          </w:p>
        </w:tc>
      </w:tr>
      <w:tr>
        <w:trPr>
          <w:trHeight w:val="289"/>
        </w:trPr>
        <w:tc>
          <w:tcPr>
            <w:tcW w:w="42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60" w:type="dxa"/>
            <w:vAlign w:val="bottom"/>
            <w:gridSpan w:val="4"/>
          </w:tcPr>
          <w:p>
            <w:pPr>
              <w:ind w:left="220"/>
              <w:spacing w:after="0"/>
              <w:rPr>
                <w:sz w:val="20"/>
                <w:szCs w:val="20"/>
                <w:color w:val="auto"/>
              </w:rPr>
            </w:pPr>
            <w:r>
              <w:rPr>
                <w:rFonts w:ascii="Arial" w:cs="Arial" w:eastAsia="Arial" w:hAnsi="Arial"/>
                <w:sz w:val="18"/>
                <w:szCs w:val="18"/>
                <w:color w:val="auto"/>
                <w:w w:val="94"/>
              </w:rPr>
              <w:t>Support Agreement dated May 30, 2012 between Wilson Distribution Holdings, LLC, NOCL Holding B.V. and Dreco Energy Services ULC.</w:t>
            </w:r>
          </w:p>
        </w:tc>
      </w:tr>
    </w:tbl>
    <w:p>
      <w:pPr>
        <w:ind w:left="22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30,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N.V. (Schlumberger Limited)</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Saul R. Laureles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Assistant Secretary and Senior Counsel</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Smith International, Inc.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Orr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President</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Wilson Distribution Holdings, LLC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T. McGuinty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T. McGuinty</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1240"/>
          </w:cols>
          <w:pgMar w:left="240" w:top="274"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40" w:type="dxa"/>
            <w:vAlign w:val="bottom"/>
          </w:tcPr>
          <w:p>
            <w:pPr>
              <w:ind w:left="9920"/>
              <w:spacing w:after="0"/>
              <w:rPr>
                <w:sz w:val="20"/>
                <w:szCs w:val="20"/>
                <w:color w:val="auto"/>
              </w:rPr>
            </w:pPr>
            <w:r>
              <w:rPr>
                <w:rFonts w:ascii="Arial" w:cs="Arial" w:eastAsia="Arial" w:hAnsi="Arial"/>
                <w:sz w:val="18"/>
                <w:szCs w:val="18"/>
                <w:color w:val="auto"/>
                <w:w w:val="92"/>
              </w:rPr>
              <w:t>Exhibit</w:t>
            </w:r>
          </w:p>
        </w:tc>
      </w:tr>
      <w:tr>
        <w:trPr>
          <w:trHeight w:val="378"/>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40" w:type="dxa"/>
            <w:vAlign w:val="bottom"/>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420" w:type="dxa"/>
            <w:vAlign w:val="bottom"/>
          </w:tcPr>
          <w:p>
            <w:pPr>
              <w:jc w:val="right"/>
              <w:spacing w:after="0"/>
              <w:rPr>
                <w:sz w:val="20"/>
                <w:szCs w:val="20"/>
                <w:color w:val="auto"/>
              </w:rPr>
            </w:pPr>
            <w:r>
              <w:rPr>
                <w:rFonts w:ascii="Arial" w:cs="Arial" w:eastAsia="Arial" w:hAnsi="Arial"/>
                <w:sz w:val="14"/>
                <w:szCs w:val="14"/>
                <w:color w:val="auto"/>
                <w:w w:val="95"/>
              </w:rPr>
              <w:t>Exhibit</w:t>
            </w:r>
          </w:p>
        </w:tc>
        <w:tc>
          <w:tcPr>
            <w:tcW w:w="560" w:type="dxa"/>
            <w:vAlign w:val="bottom"/>
          </w:tcPr>
          <w:p>
            <w:pPr>
              <w:spacing w:after="0"/>
              <w:rPr>
                <w:sz w:val="24"/>
                <w:szCs w:val="24"/>
                <w:color w:val="auto"/>
              </w:rPr>
            </w:pPr>
          </w:p>
        </w:tc>
        <w:tc>
          <w:tcPr>
            <w:tcW w:w="10440" w:type="dxa"/>
            <w:vAlign w:val="bottom"/>
          </w:tcPr>
          <w:p>
            <w:pPr>
              <w:spacing w:after="0"/>
              <w:rPr>
                <w:sz w:val="24"/>
                <w:szCs w:val="24"/>
                <w:color w:val="auto"/>
              </w:rPr>
            </w:pPr>
          </w:p>
        </w:tc>
      </w:tr>
      <w:tr>
        <w:trPr>
          <w:trHeight w:val="166"/>
        </w:trPr>
        <w:tc>
          <w:tcPr>
            <w:tcW w:w="42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10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Exhibit Name</w:t>
            </w:r>
          </w:p>
        </w:tc>
      </w:tr>
      <w:tr>
        <w:trPr>
          <w:trHeight w:val="309"/>
        </w:trPr>
        <w:tc>
          <w:tcPr>
            <w:tcW w:w="420" w:type="dxa"/>
            <w:vAlign w:val="bottom"/>
          </w:tcPr>
          <w:p>
            <w:pPr>
              <w:jc w:val="right"/>
              <w:ind w:right="26"/>
              <w:spacing w:after="0"/>
              <w:rPr>
                <w:sz w:val="20"/>
                <w:szCs w:val="20"/>
                <w:color w:val="auto"/>
              </w:rPr>
            </w:pPr>
            <w:r>
              <w:rPr>
                <w:rFonts w:ascii="Arial" w:cs="Arial" w:eastAsia="Arial" w:hAnsi="Arial"/>
                <w:sz w:val="18"/>
                <w:szCs w:val="18"/>
                <w:color w:val="auto"/>
                <w:w w:val="85"/>
              </w:rPr>
              <w:t>99.1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w w:val="94"/>
              </w:rPr>
              <w:t>Support Agreement dated May 30, 2012 between Wilson Distribution Holdings, LLC, NOCL Holding B.V. and Dreco Energy Services ULC.</w:t>
            </w:r>
          </w:p>
        </w:tc>
      </w:tr>
    </w:tbl>
    <w:p>
      <w:pPr>
        <w:ind w:left="56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as of May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WILSON DISTRIBUTION HOLDINGS LLC</w:t>
      </w:r>
      <w:r>
        <w:rPr>
          <w:rFonts w:ascii="Arial" w:cs="Arial" w:eastAsia="Arial" w:hAnsi="Arial"/>
          <w:sz w:val="18"/>
          <w:szCs w:val="18"/>
          <w:color w:val="auto"/>
        </w:rPr>
        <w:t>, a limited liability company existing under the laws of Delaware</w:t>
      </w:r>
    </w:p>
    <w:p>
      <w:pPr>
        <w:spacing w:after="0" w:line="171"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Shareholder</w:t>
      </w:r>
      <w:r>
        <w:rPr>
          <w:rFonts w:ascii="Arial" w:cs="Arial" w:eastAsia="Arial" w:hAnsi="Arial"/>
          <w:sz w:val="16"/>
          <w:szCs w:val="16"/>
          <w:color w:val="auto"/>
        </w:rPr>
        <w:t>”)</w:t>
      </w:r>
    </w:p>
    <w:p>
      <w:pPr>
        <w:spacing w:after="0" w:line="2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NOCL HOLDING B.V.</w:t>
      </w:r>
      <w:r>
        <w:rPr>
          <w:rFonts w:ascii="Arial" w:cs="Arial" w:eastAsia="Arial" w:hAnsi="Arial"/>
          <w:sz w:val="18"/>
          <w:szCs w:val="18"/>
          <w:color w:val="auto"/>
        </w:rPr>
        <w:t>, a Dutch private company with limited liability</w:t>
      </w:r>
    </w:p>
    <w:p>
      <w:pPr>
        <w:spacing w:after="0" w:line="171" w:lineRule="exact"/>
        <w:rPr>
          <w:sz w:val="20"/>
          <w:szCs w:val="20"/>
          <w:color w:val="auto"/>
        </w:rPr>
      </w:pPr>
    </w:p>
    <w:p>
      <w:pPr>
        <w:ind w:left="10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20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DRECO ENERGY SERVICES ULC</w:t>
      </w:r>
      <w:r>
        <w:rPr>
          <w:rFonts w:ascii="Arial" w:cs="Arial" w:eastAsia="Arial" w:hAnsi="Arial"/>
          <w:sz w:val="18"/>
          <w:szCs w:val="18"/>
          <w:color w:val="auto"/>
        </w:rPr>
        <w:t>, a corporation existing under the laws of Alberta</w:t>
      </w:r>
    </w:p>
    <w:p>
      <w:pPr>
        <w:spacing w:after="0" w:line="171"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w:t>
      </w:r>
    </w:p>
    <w:p>
      <w:pPr>
        <w:spacing w:after="0" w:line="194" w:lineRule="exact"/>
        <w:rPr>
          <w:sz w:val="20"/>
          <w:szCs w:val="20"/>
          <w:color w:val="auto"/>
        </w:rPr>
      </w:pPr>
    </w:p>
    <w:p>
      <w:pPr>
        <w:jc w:val="both"/>
        <w:ind w:right="380" w:firstLine="456"/>
        <w:spacing w:after="0" w:line="30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CE Franklin Ltd. (“</w:t>
      </w:r>
      <w:r>
        <w:rPr>
          <w:rFonts w:ascii="Arial" w:cs="Arial" w:eastAsia="Arial" w:hAnsi="Arial"/>
          <w:sz w:val="16"/>
          <w:szCs w:val="16"/>
          <w:b w:val="1"/>
          <w:bCs w:val="1"/>
          <w:color w:val="auto"/>
        </w:rPr>
        <w:t>CE Franklin</w:t>
      </w:r>
      <w:r>
        <w:rPr>
          <w:rFonts w:ascii="Arial" w:cs="Arial" w:eastAsia="Arial" w:hAnsi="Arial"/>
          <w:sz w:val="16"/>
          <w:szCs w:val="16"/>
          <w:color w:val="auto"/>
        </w:rPr>
        <w:t>”), Purchaser, NOV Distribution Services ULC (“</w:t>
      </w:r>
      <w:r>
        <w:rPr>
          <w:rFonts w:ascii="Arial" w:cs="Arial" w:eastAsia="Arial" w:hAnsi="Arial"/>
          <w:sz w:val="16"/>
          <w:szCs w:val="16"/>
          <w:b w:val="1"/>
          <w:bCs w:val="1"/>
          <w:color w:val="auto"/>
        </w:rPr>
        <w:t>Acquisitionco</w:t>
      </w:r>
      <w:r>
        <w:rPr>
          <w:rFonts w:ascii="Arial" w:cs="Arial" w:eastAsia="Arial" w:hAnsi="Arial"/>
          <w:sz w:val="16"/>
          <w:szCs w:val="16"/>
          <w:color w:val="auto"/>
        </w:rPr>
        <w:t>”) and Guarantor have entered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the date hereof (as in force on the date hereof, the “</w:t>
      </w:r>
      <w:r>
        <w:rPr>
          <w:rFonts w:ascii="Arial" w:cs="Arial" w:eastAsia="Arial" w:hAnsi="Arial"/>
          <w:sz w:val="16"/>
          <w:szCs w:val="16"/>
          <w:b w:val="1"/>
          <w:bCs w:val="1"/>
          <w:color w:val="auto"/>
        </w:rPr>
        <w:t>Arrangement Agreement</w:t>
      </w:r>
      <w:r>
        <w:rPr>
          <w:rFonts w:ascii="Arial" w:cs="Arial" w:eastAsia="Arial" w:hAnsi="Arial"/>
          <w:sz w:val="16"/>
          <w:szCs w:val="16"/>
          <w:color w:val="auto"/>
        </w:rPr>
        <w:t>”) providing for a plan of arrangement (the “</w:t>
      </w:r>
      <w:r>
        <w:rPr>
          <w:rFonts w:ascii="Arial" w:cs="Arial" w:eastAsia="Arial" w:hAnsi="Arial"/>
          <w:sz w:val="16"/>
          <w:szCs w:val="16"/>
          <w:b w:val="1"/>
          <w:bCs w:val="1"/>
          <w:color w:val="auto"/>
        </w:rPr>
        <w:t>Arrangement</w:t>
      </w:r>
      <w:r>
        <w:rPr>
          <w:rFonts w:ascii="Arial" w:cs="Arial" w:eastAsia="Arial" w:hAnsi="Arial"/>
          <w:sz w:val="16"/>
          <w:szCs w:val="16"/>
          <w:color w:val="auto"/>
        </w:rPr>
        <w:t xml:space="preserv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(Alberta) (the “</w:t>
      </w:r>
      <w:r>
        <w:rPr>
          <w:rFonts w:ascii="Arial" w:cs="Arial" w:eastAsia="Arial" w:hAnsi="Arial"/>
          <w:sz w:val="16"/>
          <w:szCs w:val="16"/>
          <w:b w:val="1"/>
          <w:bCs w:val="1"/>
          <w:color w:val="auto"/>
        </w:rPr>
        <w:t>ABCA</w:t>
      </w:r>
      <w:r>
        <w:rPr>
          <w:rFonts w:ascii="Arial" w:cs="Arial" w:eastAsia="Arial" w:hAnsi="Arial"/>
          <w:sz w:val="16"/>
          <w:szCs w:val="16"/>
          <w:color w:val="auto"/>
        </w:rPr>
        <w:t>”), pursuant to which, among other things, Purchaser will indirectly acquire all of the outstanding commons shares of CE Franklin for cash consideration of C$12.75 for each common share of CE Franklin;</w:t>
      </w:r>
    </w:p>
    <w:p>
      <w:pPr>
        <w:spacing w:after="0" w:line="10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CE Franklin is required to obtain approval of the Arrangement from the holders of common shares (the “</w:t>
      </w:r>
      <w:r>
        <w:rPr>
          <w:rFonts w:ascii="Arial" w:cs="Arial" w:eastAsia="Arial" w:hAnsi="Arial"/>
          <w:sz w:val="18"/>
          <w:szCs w:val="18"/>
          <w:b w:val="1"/>
          <w:bCs w:val="1"/>
          <w:color w:val="auto"/>
        </w:rPr>
        <w:t>CE Franklin Shares</w:t>
      </w:r>
      <w:r>
        <w:rPr>
          <w:rFonts w:ascii="Arial" w:cs="Arial" w:eastAsia="Arial" w:hAnsi="Arial"/>
          <w:sz w:val="18"/>
          <w:szCs w:val="18"/>
          <w:color w:val="auto"/>
        </w:rPr>
        <w: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of CE Franklin at a meeting of CE Franklin shareholders;</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the entering into of the Arrangement Agreement by the Purchaser is subject to, among other things, the execution and delivery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as of the date hereof, the Shareholder is, directly or indirectly, the beneficial owner of or exercises control or direction over 9,729,582</w:t>
      </w:r>
      <w:r>
        <w:rPr>
          <w:rFonts w:ascii="Arial" w:cs="Arial" w:eastAsia="Arial" w:hAnsi="Arial"/>
          <w:sz w:val="18"/>
          <w:szCs w:val="18"/>
          <w:b w:val="1"/>
          <w:bCs w:val="1"/>
          <w:color w:val="auto"/>
        </w:rPr>
        <w:t xml:space="preserve"> </w:t>
      </w:r>
      <w:r>
        <w:rPr>
          <w:rFonts w:ascii="Arial" w:cs="Arial" w:eastAsia="Arial" w:hAnsi="Arial"/>
          <w:sz w:val="18"/>
          <w:szCs w:val="18"/>
          <w:color w:val="auto"/>
        </w:rPr>
        <w:t>CE Franklin Shares (the “</w:t>
      </w:r>
      <w:r>
        <w:rPr>
          <w:rFonts w:ascii="Arial" w:cs="Arial" w:eastAsia="Arial" w:hAnsi="Arial"/>
          <w:sz w:val="18"/>
          <w:szCs w:val="18"/>
          <w:b w:val="1"/>
          <w:bCs w:val="1"/>
          <w:color w:val="auto"/>
        </w:rPr>
        <w:t>Subject Shares</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Purchaser has requested that the Shareholder enter into this Agreement with respect to the Subject Shares;</w:t>
      </w:r>
    </w:p>
    <w:p>
      <w:pPr>
        <w:spacing w:after="0" w:line="1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 xml:space="preserve">AND WHEREAS </w:t>
      </w:r>
      <w:r>
        <w:rPr>
          <w:rFonts w:ascii="Arial" w:cs="Arial" w:eastAsia="Arial" w:hAnsi="Arial"/>
          <w:sz w:val="18"/>
          <w:szCs w:val="18"/>
          <w:color w:val="auto"/>
        </w:rPr>
        <w:t>this Agreement sets out the terms and conditions of the agreement of the Shareholder to support the Arrangement and to vote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Shares in favour of the Arrangement;</w:t>
      </w:r>
    </w:p>
    <w:p>
      <w:pPr>
        <w:spacing w:after="0" w:line="120"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NOW THEREFORE THIS AGREEMENT WITNESSES </w:t>
      </w:r>
      <w:r>
        <w:rPr>
          <w:rFonts w:ascii="Arial" w:cs="Arial" w:eastAsia="Arial" w:hAnsi="Arial"/>
          <w:sz w:val="16"/>
          <w:szCs w:val="16"/>
          <w:color w:val="auto"/>
        </w:rPr>
        <w:t>that in consideration of the sum of $1.00 paid by each of the parties hereto to the other,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good and valuable consideration, the receipt and sufficiency of which is hereby acknowledged, the parties hereto agree as follows.</w:t>
      </w:r>
    </w:p>
    <w:p>
      <w:pPr>
        <w:sectPr>
          <w:pgSz w:w="11900" w:h="16838" w:orient="portrait"/>
          <w:cols w:equalWidth="0" w:num="1">
            <w:col w:w="11420"/>
          </w:cols>
          <w:pgMar w:left="240" w:top="125" w:right="239" w:bottom="1440" w:gutter="0" w:footer="0" w:header="0"/>
        </w:sectPr>
      </w:pPr>
    </w:p>
    <w:bookmarkStart w:id="9" w:name="page10"/>
    <w:bookmarkEnd w:id="9"/>
    <w:p>
      <w:pPr>
        <w:ind w:left="452" w:right="100" w:hanging="452"/>
        <w:spacing w:after="0" w:line="262"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of the Shareholder</w:t>
      </w:r>
      <w:r>
        <w:rPr>
          <w:rFonts w:ascii="Arial" w:cs="Arial" w:eastAsia="Arial" w:hAnsi="Arial"/>
          <w:sz w:val="18"/>
          <w:szCs w:val="18"/>
          <w:color w:val="auto"/>
        </w:rPr>
        <w:t>. The Shareholder hereby represents and warrants to the Purchaser and Guarantor and acknowledges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and Guarantor are relying upon such representations and warranties in entering into this Agreement and the Arrangement Agreement, that, as of the date hereof:</w:t>
      </w:r>
    </w:p>
    <w:p>
      <w:pPr>
        <w:spacing w:after="0" w:line="57" w:lineRule="exact"/>
        <w:rPr>
          <w:rFonts w:ascii="Arial" w:cs="Arial" w:eastAsia="Arial" w:hAnsi="Arial"/>
          <w:sz w:val="18"/>
          <w:szCs w:val="18"/>
          <w:color w:val="auto"/>
        </w:rPr>
      </w:pPr>
    </w:p>
    <w:p>
      <w:pPr>
        <w:ind w:left="892" w:right="80"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it is the beneficial owner of or exercises control or direction over the Subject Shares and does not beneficially own, directly or indirectly, or exercise control or direction over any other CE Franklin Shares or other securities of CE Franklin;</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Subject Shares are not subject to any voting agreement (other than this Agreement);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it has full power and authority to make, enter into and carry out the terms of this Agreement.</w:t>
      </w:r>
    </w:p>
    <w:p>
      <w:pPr>
        <w:spacing w:after="0" w:line="84" w:lineRule="exact"/>
        <w:rPr>
          <w:rFonts w:ascii="Arial" w:cs="Arial" w:eastAsia="Arial" w:hAnsi="Arial"/>
          <w:sz w:val="18"/>
          <w:szCs w:val="18"/>
          <w:color w:val="auto"/>
        </w:rPr>
      </w:pPr>
    </w:p>
    <w:p>
      <w:pPr>
        <w:ind w:left="452" w:right="440" w:hanging="452"/>
        <w:spacing w:after="0" w:line="275" w:lineRule="auto"/>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Covenants of Shareholder. </w:t>
      </w:r>
      <w:r>
        <w:rPr>
          <w:rFonts w:ascii="Arial" w:cs="Arial" w:eastAsia="Arial" w:hAnsi="Arial"/>
          <w:sz w:val="18"/>
          <w:szCs w:val="18"/>
          <w:color w:val="auto"/>
        </w:rPr>
        <w:t>From the date hereof until this Agreement is terminated in accordance with its terms, the Shareholder hereby agrees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all such actions which are otherwise permitted hereunder, it shall:</w:t>
      </w:r>
    </w:p>
    <w:p>
      <w:pPr>
        <w:spacing w:after="0" w:line="44"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at the CE Franklin Shareholders’ Meeting (as such term is defined in the Arrangement Agreement), vote (or cause to be voted) either in person or by proxy all voting rights attached to the Subject Shares entitled to be voted at the Meeting:</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2"/>
          <w:numId w:val="3"/>
        </w:numPr>
        <w:rPr>
          <w:rFonts w:ascii="Arial" w:cs="Arial" w:eastAsia="Arial" w:hAnsi="Arial"/>
          <w:sz w:val="18"/>
          <w:szCs w:val="18"/>
          <w:color w:val="auto"/>
        </w:rPr>
      </w:pPr>
      <w:r>
        <w:rPr>
          <w:rFonts w:ascii="Arial" w:cs="Arial" w:eastAsia="Arial" w:hAnsi="Arial"/>
          <w:sz w:val="18"/>
          <w:szCs w:val="18"/>
          <w:color w:val="auto"/>
        </w:rPr>
        <w:t>in favour of the Arrangement Resolution (as such term is defined in the Arrangement Agreement);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3"/>
        </w:numPr>
        <w:rPr>
          <w:rFonts w:ascii="Arial" w:cs="Arial" w:eastAsia="Arial" w:hAnsi="Arial"/>
          <w:sz w:val="16"/>
          <w:szCs w:val="16"/>
          <w:color w:val="auto"/>
        </w:rPr>
      </w:pPr>
      <w:r>
        <w:rPr>
          <w:rFonts w:ascii="Arial" w:cs="Arial" w:eastAsia="Arial" w:hAnsi="Arial"/>
          <w:sz w:val="16"/>
          <w:szCs w:val="16"/>
          <w:color w:val="auto"/>
        </w:rPr>
        <w:t>in favour of any action required to complete the Arrangement or required in furtherance of the actions contemplated thereby; and</w:t>
      </w:r>
    </w:p>
    <w:p>
      <w:pPr>
        <w:spacing w:after="0" w:line="113" w:lineRule="exact"/>
        <w:rPr>
          <w:rFonts w:ascii="Arial" w:cs="Arial" w:eastAsia="Arial" w:hAnsi="Arial"/>
          <w:sz w:val="16"/>
          <w:szCs w:val="16"/>
          <w:color w:val="auto"/>
        </w:rPr>
      </w:pPr>
    </w:p>
    <w:p>
      <w:pPr>
        <w:ind w:left="1472" w:right="60" w:hanging="567"/>
        <w:spacing w:after="0" w:line="268" w:lineRule="auto"/>
        <w:tabs>
          <w:tab w:leader="none" w:pos="1472" w:val="left"/>
        </w:tabs>
        <w:numPr>
          <w:ilvl w:val="2"/>
          <w:numId w:val="3"/>
        </w:numPr>
        <w:rPr>
          <w:rFonts w:ascii="Arial" w:cs="Arial" w:eastAsia="Arial" w:hAnsi="Arial"/>
          <w:sz w:val="18"/>
          <w:szCs w:val="18"/>
          <w:color w:val="auto"/>
        </w:rPr>
      </w:pPr>
      <w:r>
        <w:rPr>
          <w:rFonts w:ascii="Arial" w:cs="Arial" w:eastAsia="Arial" w:hAnsi="Arial"/>
          <w:sz w:val="18"/>
          <w:szCs w:val="18"/>
          <w:color w:val="auto"/>
        </w:rPr>
        <w:t>against any proposed action by CE Franklin or any other party the result of which would be reasonably expected to impede, interfere with or delay the completion of the Arrangement;</w:t>
      </w:r>
    </w:p>
    <w:p>
      <w:pPr>
        <w:spacing w:after="0" w:line="50" w:lineRule="exact"/>
        <w:rPr>
          <w:rFonts w:ascii="Arial" w:cs="Arial" w:eastAsia="Arial" w:hAnsi="Arial"/>
          <w:sz w:val="18"/>
          <w:szCs w:val="18"/>
          <w:color w:val="auto"/>
        </w:rPr>
      </w:pPr>
    </w:p>
    <w:p>
      <w:pPr>
        <w:ind w:left="892" w:right="140"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 directly or indirectly, exercise any securityholder rights or remedies available to the Shareholder, whether arising under statute, at common law or otherwise, to impede, frustrate, nullify, prevent, hinder, delay, upset or challenge the Arrangement;</w:t>
      </w:r>
    </w:p>
    <w:p>
      <w:pPr>
        <w:spacing w:after="0" w:line="50" w:lineRule="exact"/>
        <w:rPr>
          <w:rFonts w:ascii="Arial" w:cs="Arial" w:eastAsia="Arial" w:hAnsi="Arial"/>
          <w:sz w:val="18"/>
          <w:szCs w:val="18"/>
          <w:color w:val="auto"/>
        </w:rPr>
      </w:pPr>
    </w:p>
    <w:p>
      <w:pPr>
        <w:ind w:left="892" w:right="160" w:hanging="446"/>
        <w:spacing w:after="0" w:line="306" w:lineRule="auto"/>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color w:val="auto"/>
        </w:rPr>
        <w:t>not, directly or indirectly, take any action of any kind which would reasonably be expected to reduce the likelihood of, or interfere with, the completion of the Arrangement, including, without limitation, not, directly or indirectly, supporting or voting in favour of any Acquisition Proposal (as defined in the Arrangement Agreement) or tendering any of the Subject Shares under any Acquisition Proposal;</w:t>
      </w:r>
    </w:p>
    <w:p>
      <w:pPr>
        <w:spacing w:after="0" w:line="25" w:lineRule="exact"/>
        <w:rPr>
          <w:rFonts w:ascii="Arial" w:cs="Arial" w:eastAsia="Arial" w:hAnsi="Arial"/>
          <w:sz w:val="16"/>
          <w:szCs w:val="16"/>
          <w:color w:val="auto"/>
        </w:rPr>
      </w:pPr>
    </w:p>
    <w:p>
      <w:pPr>
        <w:ind w:left="892" w:hanging="446"/>
        <w:spacing w:after="0"/>
        <w:tabs>
          <w:tab w:leader="none" w:pos="892" w:val="left"/>
        </w:tabs>
        <w:numPr>
          <w:ilvl w:val="1"/>
          <w:numId w:val="3"/>
        </w:numPr>
        <w:rPr>
          <w:rFonts w:ascii="Arial" w:cs="Arial" w:eastAsia="Arial" w:hAnsi="Arial"/>
          <w:sz w:val="15"/>
          <w:szCs w:val="15"/>
          <w:color w:val="auto"/>
        </w:rPr>
      </w:pPr>
      <w:r>
        <w:rPr>
          <w:rFonts w:ascii="Arial" w:cs="Arial" w:eastAsia="Arial" w:hAnsi="Arial"/>
          <w:sz w:val="15"/>
          <w:szCs w:val="15"/>
          <w:color w:val="auto"/>
        </w:rPr>
        <w:t>not, directly or indirectly, exercise any dissent or appraisal rights or any similar rights available to the Shareholder in respect of the Arrangement; and</w:t>
      </w:r>
    </w:p>
    <w:p>
      <w:pPr>
        <w:spacing w:after="0" w:line="124" w:lineRule="exact"/>
        <w:rPr>
          <w:rFonts w:ascii="Arial" w:cs="Arial" w:eastAsia="Arial" w:hAnsi="Arial"/>
          <w:sz w:val="15"/>
          <w:szCs w:val="15"/>
          <w:color w:val="auto"/>
        </w:rPr>
      </w:pPr>
    </w:p>
    <w:p>
      <w:pPr>
        <w:ind w:left="892" w:right="160" w:hanging="446"/>
        <w:spacing w:after="0" w:line="290" w:lineRule="auto"/>
        <w:tabs>
          <w:tab w:leader="none" w:pos="892" w:val="left"/>
        </w:tabs>
        <w:numPr>
          <w:ilvl w:val="1"/>
          <w:numId w:val="3"/>
        </w:numPr>
        <w:rPr>
          <w:rFonts w:ascii="Arial" w:cs="Arial" w:eastAsia="Arial" w:hAnsi="Arial"/>
          <w:sz w:val="16"/>
          <w:szCs w:val="16"/>
          <w:color w:val="auto"/>
        </w:rPr>
      </w:pPr>
      <w:r>
        <w:rPr>
          <w:rFonts w:ascii="Arial" w:cs="Arial" w:eastAsia="Arial" w:hAnsi="Arial"/>
          <w:sz w:val="16"/>
          <w:szCs w:val="16"/>
          <w:color w:val="auto"/>
        </w:rPr>
        <w:t>other than (i) in connection with the performance of its obligations hereunder, or (ii) Transfers to a company under common control with the Shareholder (in which event the transferee shall agree to be bound by the terms hereof), not sell, assign, exchange, transfer, convey, encumber, hypothecate, pledge, grant a security interest in, option or otherwise convey or dispose of (including by gift) (collectively, “</w:t>
      </w:r>
      <w:r>
        <w:rPr>
          <w:rFonts w:ascii="Arial" w:cs="Arial" w:eastAsia="Arial" w:hAnsi="Arial"/>
          <w:sz w:val="16"/>
          <w:szCs w:val="16"/>
          <w:b w:val="1"/>
          <w:bCs w:val="1"/>
          <w:color w:val="auto"/>
        </w:rPr>
        <w:t>Transfer</w:t>
      </w:r>
      <w:r>
        <w:rPr>
          <w:rFonts w:ascii="Arial" w:cs="Arial" w:eastAsia="Arial" w:hAnsi="Arial"/>
          <w:sz w:val="16"/>
          <w:szCs w:val="16"/>
          <w:color w:val="auto"/>
        </w:rPr>
        <w:t>”) any Subject Shares or enter into any agreement, contract, commitment, option or other arrangement with respect to the Transfer of any of its Subject Shares to any person, or enter into any voting arrangement, whether by granting any proxy or other right to vote its Subject Shares, voting agreement, voting trust, vote pooling or other agreement with respect to the right to vote, call meetings of shareholders or give consents or approvals of any kind as to its Subject Shares, and agrees not to commit or agree to take any of the foregoing actions.</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10" w:name="page11"/>
    <w:bookmarkEnd w:id="10"/>
    <w:p>
      <w:pPr>
        <w:ind w:left="452" w:right="20" w:hanging="452"/>
        <w:spacing w:after="0" w:line="262"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over Corporation or Trust</w:t>
      </w:r>
      <w:r>
        <w:rPr>
          <w:rFonts w:ascii="Arial" w:cs="Arial" w:eastAsia="Arial" w:hAnsi="Arial"/>
          <w:sz w:val="18"/>
          <w:szCs w:val="18"/>
          <w:color w:val="auto"/>
        </w:rPr>
        <w:t>. If any of the Subject Shares are held through a corporation or trust over which the Shareholder has control,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meaning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(Alberta) (either alone or in conjunction with any other person), the Shareholder shall act, vote and exercise its power and authority to ensure that this Agreement is complied with by such corporation or trust.</w:t>
      </w:r>
    </w:p>
    <w:p>
      <w:pPr>
        <w:spacing w:after="0" w:line="51" w:lineRule="exact"/>
        <w:rPr>
          <w:rFonts w:ascii="Arial" w:cs="Arial" w:eastAsia="Arial" w:hAnsi="Arial"/>
          <w:sz w:val="18"/>
          <w:szCs w:val="18"/>
          <w:color w:val="auto"/>
        </w:rPr>
      </w:pPr>
    </w:p>
    <w:p>
      <w:pPr>
        <w:ind w:left="452" w:right="20" w:hanging="452"/>
        <w:spacing w:after="0" w:line="311" w:lineRule="auto"/>
        <w:tabs>
          <w:tab w:leader="none" w:pos="452"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Covenants, Representations and Warranties of Purchaser and Guarantor</w:t>
      </w:r>
      <w:r>
        <w:rPr>
          <w:rFonts w:ascii="Arial" w:cs="Arial" w:eastAsia="Arial" w:hAnsi="Arial"/>
          <w:sz w:val="15"/>
          <w:szCs w:val="15"/>
          <w:color w:val="auto"/>
        </w:rPr>
        <w:t>. Each of Purchaser and Guarantor represents and warrants that it is duly</w:t>
      </w:r>
      <w:r>
        <w:rPr>
          <w:rFonts w:ascii="Arial" w:cs="Arial" w:eastAsia="Arial" w:hAnsi="Arial"/>
          <w:sz w:val="15"/>
          <w:szCs w:val="15"/>
          <w:b w:val="1"/>
          <w:bCs w:val="1"/>
          <w:color w:val="auto"/>
        </w:rPr>
        <w:t xml:space="preserve"> </w:t>
      </w:r>
      <w:r>
        <w:rPr>
          <w:rFonts w:ascii="Arial" w:cs="Arial" w:eastAsia="Arial" w:hAnsi="Arial"/>
          <w:sz w:val="15"/>
          <w:szCs w:val="15"/>
          <w:color w:val="auto"/>
        </w:rPr>
        <w:t>authorized to execute and deliver this Agreement and this Agreement is a valid and binding agreement enforceable by the Shareholder in accordance with its terms, subject to the usual exceptions as to bankruptcy, insolvency, reorganization, moratorium and other laws relating to or affecting creditors’ rights generally and the availability of equitable remedies. Each of Purchaser and Guarantor further represents and warrants that the execution and delivery of this Agreement and the fulfillment of the terms hereof by Purchaser and Guarantor does not and will not result in a breach of any agreement or instrument to which it is a party or by which it is contractually bound. Except as disclosed in writing by Purchaser to Shareholder on or prior to the date hereof, Purchaser and Guarantor hereby makes to Shareholder the representations and warranties set forth in Schedule 3.1 to the Arrangement Agreement. Each of Purchaser and Guarantor covenants to comply, and to cause Acquisitionco to comply, with the terms of the Arrangement Agreement applicable to each of them.</w:t>
      </w:r>
    </w:p>
    <w:p>
      <w:pPr>
        <w:spacing w:after="0" w:line="21" w:lineRule="exact"/>
        <w:rPr>
          <w:rFonts w:ascii="Arial" w:cs="Arial" w:eastAsia="Arial" w:hAnsi="Arial"/>
          <w:sz w:val="15"/>
          <w:szCs w:val="15"/>
          <w:color w:val="auto"/>
        </w:rPr>
      </w:pPr>
    </w:p>
    <w:p>
      <w:pPr>
        <w:ind w:left="452" w:hanging="452"/>
        <w:spacing w:after="0" w:line="287" w:lineRule="auto"/>
        <w:tabs>
          <w:tab w:leader="none" w:pos="452"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Unless otherwise provided for herein, this Agreement and the parties’ rights and obligations hereunder shall terminate and be of no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force or effect, and there shall be no obligation or further liability on the part of the Shareholder, the Purchaser or the Guarantor hereunder, upon the earlier of: (i) the mutual written consent of the Purchaser, the Guarantor and the Shareholder; (ii) without any further action by the Shareholder, the Guarantor or the Purchaser, the Effective Time (as defined in the Arrangement Agreement); (iii) the time at which the Arrangement Agreement is terminated in accordance with its terms; (iv) the time at which the Arrangement Agreement is amended, modified or waived without the prior written consent of the Shareholder, which amendment, modification or waiver would (A) impose additional conditions to completion of the Arrangement, (B) change the amount or form of consideration per CE Franklin Share pursuant to the Arrangement (other than to increase the total consideration per CE Franklin Share or add additional consideration), (C) delay the completion of the Arrangement or (D) otherwise be adverse to the Shareholder, or (v) the time at which the board of directors of CE Franklin withdraws, amends, modifies or qualifies, in a manner adverse to Purchaser, its recommendation that shareholders of CE Franklin vote in favour of the Arrangement Resolution. Either party may terminate this Agreement by notice to the other if the other party has not complied in all material respects with its covenants herein or if any of the representations and warranties of the other party herein is untrue or inaccurate in any material respect. No termination of this Agreement shall relieve any party hereto from any liability for any breach of this Agreement prior to such termination.</w:t>
      </w:r>
    </w:p>
    <w:p>
      <w:pPr>
        <w:spacing w:after="0" w:line="33" w:lineRule="exact"/>
        <w:rPr>
          <w:rFonts w:ascii="Arial" w:cs="Arial" w:eastAsia="Arial" w:hAnsi="Arial"/>
          <w:sz w:val="16"/>
          <w:szCs w:val="16"/>
          <w:color w:val="auto"/>
        </w:rPr>
      </w:pPr>
    </w:p>
    <w:p>
      <w:pPr>
        <w:ind w:left="452" w:right="160" w:hanging="452"/>
        <w:spacing w:after="0" w:line="258" w:lineRule="auto"/>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Specific Performance</w:t>
      </w:r>
      <w:r>
        <w:rPr>
          <w:rFonts w:ascii="Arial" w:cs="Arial" w:eastAsia="Arial" w:hAnsi="Arial"/>
          <w:sz w:val="18"/>
          <w:szCs w:val="18"/>
          <w:color w:val="auto"/>
        </w:rPr>
        <w:t>. Each party acknowledges that it may not be possible to measure in money the damage to the other party if it fails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obligations under this Agreement, that every such obligation may be material and that, in the event of any such failure, the other party may not have an adequate remedy at law or in damages, and accordingly, each party agrees that the issuance of an injunction or other equitable remedy may be the appropriate remedy for any such failure.</w:t>
      </w:r>
    </w:p>
    <w:p>
      <w:pPr>
        <w:spacing w:after="0" w:line="55" w:lineRule="exact"/>
        <w:rPr>
          <w:rFonts w:ascii="Arial" w:cs="Arial" w:eastAsia="Arial" w:hAnsi="Arial"/>
          <w:sz w:val="18"/>
          <w:szCs w:val="18"/>
          <w:color w:val="auto"/>
        </w:rPr>
      </w:pPr>
    </w:p>
    <w:p>
      <w:pPr>
        <w:ind w:left="452" w:right="120" w:hanging="452"/>
        <w:spacing w:after="0" w:line="378" w:lineRule="auto"/>
        <w:tabs>
          <w:tab w:leader="none" w:pos="452"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Successors and Assigns</w:t>
      </w:r>
      <w:r>
        <w:rPr>
          <w:rFonts w:ascii="Arial" w:cs="Arial" w:eastAsia="Arial" w:hAnsi="Arial"/>
          <w:sz w:val="15"/>
          <w:szCs w:val="15"/>
          <w:color w:val="auto"/>
        </w:rPr>
        <w:t>. This Agreement and all obligations of the parties hereunder shall be binding upon and shall enure to the benefit of the parties</w:t>
      </w:r>
      <w:r>
        <w:rPr>
          <w:rFonts w:ascii="Arial" w:cs="Arial" w:eastAsia="Arial" w:hAnsi="Arial"/>
          <w:sz w:val="15"/>
          <w:szCs w:val="15"/>
          <w:b w:val="1"/>
          <w:bCs w:val="1"/>
          <w:color w:val="auto"/>
        </w:rPr>
        <w:t xml:space="preserve"> </w:t>
      </w:r>
      <w:r>
        <w:rPr>
          <w:rFonts w:ascii="Arial" w:cs="Arial" w:eastAsia="Arial" w:hAnsi="Arial"/>
          <w:sz w:val="15"/>
          <w:szCs w:val="15"/>
          <w:color w:val="auto"/>
        </w:rPr>
        <w:t>hereto and their respective successors and assigns. This agreement may not be assigned by either party without the prior written consent of the other party.</w:t>
      </w:r>
    </w:p>
    <w:p>
      <w:pPr>
        <w:spacing w:after="0" w:line="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4" w:right="239" w:bottom="1440" w:gutter="0" w:footer="0" w:header="0"/>
        </w:sectPr>
      </w:pPr>
    </w:p>
    <w:bookmarkStart w:id="11" w:name="page12"/>
    <w:bookmarkEnd w:id="11"/>
    <w:p>
      <w:pPr>
        <w:ind w:left="452" w:hanging="452"/>
        <w:spacing w:after="0" w:line="301" w:lineRule="auto"/>
        <w:tabs>
          <w:tab w:leader="none" w:pos="452"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6"/>
          <w:szCs w:val="16"/>
          <w:color w:val="auto"/>
        </w:rPr>
        <w:t>. This Agreement supersedes all prior agreements between the parties hereto with respect to the subject matter hereof and contains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agreement among the parties with respect to the subject matter hereof. This Agreement may not be modified or waived, except expressly by an instrument in writing signed by all the parties hereto. No waiver of any provision hereof by any party shall be deemed a waiver by any other party nor shall any such waiver be deemed a continuing wavier of any matter by such party.</w:t>
      </w:r>
    </w:p>
    <w:p>
      <w:pPr>
        <w:spacing w:after="0" w:line="22" w:lineRule="exact"/>
        <w:rPr>
          <w:rFonts w:ascii="Arial" w:cs="Arial" w:eastAsia="Arial" w:hAnsi="Arial"/>
          <w:sz w:val="16"/>
          <w:szCs w:val="16"/>
          <w:color w:val="auto"/>
        </w:rPr>
      </w:pPr>
    </w:p>
    <w:p>
      <w:pPr>
        <w:ind w:left="452" w:right="540" w:hanging="452"/>
        <w:spacing w:after="0" w:line="339" w:lineRule="auto"/>
        <w:tabs>
          <w:tab w:leader="none" w:pos="452"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Any notice or other communication required or contemplated under this Agreement to be given by one party to the other shall be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telecopied or mailed by prepaid registered post to the party to receive same at the undernoted address, namely:</w:t>
      </w:r>
    </w:p>
    <w:p>
      <w:pPr>
        <w:spacing w:after="0" w:line="8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if to the Shareholder:</w:t>
      </w:r>
    </w:p>
    <w:p>
      <w:pPr>
        <w:spacing w:after="0" w:line="17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Wilson Distribution Holdings LLC</w:t>
      </w:r>
    </w:p>
    <w:p>
      <w:pPr>
        <w:spacing w:after="0" w:line="1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 Schlumberger Limited</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5595 San Felipe, 17th Floor</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892"/>
        <w:spacing w:after="0"/>
        <w:tabs>
          <w:tab w:leader="none" w:pos="1972"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T. McGuinty</w:t>
      </w:r>
    </w:p>
    <w:p>
      <w:pPr>
        <w:spacing w:after="0" w:line="9" w:lineRule="exact"/>
        <w:rPr>
          <w:sz w:val="20"/>
          <w:szCs w:val="20"/>
          <w:color w:val="auto"/>
        </w:rPr>
      </w:pPr>
    </w:p>
    <w:p>
      <w:pPr>
        <w:ind w:left="892"/>
        <w:spacing w:after="0"/>
        <w:tabs>
          <w:tab w:leader="none" w:pos="1992"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713-375-3400</w:t>
      </w:r>
    </w:p>
    <w:p>
      <w:pPr>
        <w:spacing w:after="0" w:line="16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Davies Ward Phillips &amp; Vineberg LLP</w:t>
      </w:r>
    </w:p>
    <w:p>
      <w:pPr>
        <w:spacing w:after="0" w:line="1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1 First Canadian Place, Suite 4400</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Toronto, Ontario M5X 1B1</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892"/>
        <w:spacing w:after="0"/>
        <w:tabs>
          <w:tab w:leader="none" w:pos="1972"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Peter S. Hong</w:t>
      </w:r>
    </w:p>
    <w:p>
      <w:pPr>
        <w:spacing w:after="0" w:line="9" w:lineRule="exact"/>
        <w:rPr>
          <w:sz w:val="20"/>
          <w:szCs w:val="20"/>
          <w:color w:val="auto"/>
        </w:rPr>
      </w:pPr>
    </w:p>
    <w:p>
      <w:pPr>
        <w:ind w:left="892"/>
        <w:spacing w:after="0"/>
        <w:tabs>
          <w:tab w:leader="none" w:pos="1992"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416-863-0871</w:t>
      </w:r>
    </w:p>
    <w:p>
      <w:pPr>
        <w:spacing w:after="0" w:line="16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if to Purchaser or the Guarantor:</w:t>
      </w:r>
    </w:p>
    <w:p>
      <w:pPr>
        <w:spacing w:after="0" w:line="17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7909 Parkwood Circle Dr</w:t>
      </w:r>
    </w:p>
    <w:p>
      <w:pPr>
        <w:spacing w:after="0" w:line="1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Houston, TX 77036</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892"/>
        <w:spacing w:after="0"/>
        <w:tabs>
          <w:tab w:leader="none" w:pos="1972"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892"/>
        <w:spacing w:after="0"/>
        <w:tabs>
          <w:tab w:leader="none" w:pos="1992"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713-346-4452</w:t>
      </w:r>
    </w:p>
    <w:p>
      <w:pPr>
        <w:spacing w:after="0" w:line="16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Fraser Milner Casgrain LLP</w:t>
      </w:r>
    </w:p>
    <w:p>
      <w:pPr>
        <w:spacing w:after="0" w:line="1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 Bankers Court</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850 – 2</w:t>
      </w:r>
      <w:r>
        <w:rPr>
          <w:rFonts w:ascii="Arial" w:cs="Arial" w:eastAsia="Arial" w:hAnsi="Arial"/>
          <w:sz w:val="11"/>
          <w:szCs w:val="11"/>
          <w:color w:val="auto"/>
        </w:rPr>
        <w:t>nd</w:t>
      </w:r>
      <w:r>
        <w:rPr>
          <w:rFonts w:ascii="Arial" w:cs="Arial" w:eastAsia="Arial" w:hAnsi="Arial"/>
          <w:sz w:val="18"/>
          <w:szCs w:val="18"/>
          <w:color w:val="auto"/>
        </w:rPr>
        <w:t xml:space="preserve"> Street SW</w:t>
      </w:r>
    </w:p>
    <w:p>
      <w:pPr>
        <w:spacing w:after="0" w:line="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Calgary, Alberta, Canada T2P 0R8</w:t>
      </w:r>
    </w:p>
    <w:p>
      <w:pPr>
        <w:spacing w:after="0" w:line="9" w:lineRule="exact"/>
        <w:rPr>
          <w:sz w:val="20"/>
          <w:szCs w:val="20"/>
          <w:color w:val="auto"/>
        </w:rPr>
      </w:pPr>
    </w:p>
    <w:p>
      <w:pPr>
        <w:ind w:left="892"/>
        <w:spacing w:after="0"/>
        <w:tabs>
          <w:tab w:leader="none" w:pos="1972"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Toby Allan</w:t>
      </w:r>
    </w:p>
    <w:p>
      <w:pPr>
        <w:spacing w:after="0" w:line="9" w:lineRule="exact"/>
        <w:rPr>
          <w:sz w:val="20"/>
          <w:szCs w:val="20"/>
          <w:color w:val="auto"/>
        </w:rPr>
      </w:pPr>
    </w:p>
    <w:p>
      <w:pPr>
        <w:ind w:left="892"/>
        <w:spacing w:after="0"/>
        <w:tabs>
          <w:tab w:leader="none" w:pos="1992"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403-268-3100</w:t>
      </w:r>
    </w:p>
    <w:p>
      <w:pPr>
        <w:spacing w:after="0" w:line="165"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Any notice delivered or telecopied shall be deemed to have been given and received on the business day next following the date of delivery or telecopying, as the case may be. Any notice mailed as aforesaid shall be deemed to have been given and received on the third business day following the date it is posted, provided that if between the time of mailing and actual receipt of the notice there shall be a mail strike, slow-down or other labour dispute which might affect delivery of the notice by mail, then the notice shall be effective only if actually delivered.</w:t>
      </w:r>
    </w:p>
    <w:p>
      <w:pPr>
        <w:spacing w:after="0" w:line="9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52"/>
          </w:cols>
          <w:pgMar w:left="248" w:top="274" w:right="299" w:bottom="1440" w:gutter="0" w:footer="0" w:header="0"/>
        </w:sectPr>
      </w:pPr>
    </w:p>
    <w:bookmarkStart w:id="12" w:name="page13"/>
    <w:bookmarkEnd w:id="12"/>
    <w:p>
      <w:pPr>
        <w:ind w:left="452" w:right="160" w:hanging="452"/>
        <w:spacing w:after="0" w:line="275"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Assurances</w:t>
      </w:r>
      <w:r>
        <w:rPr>
          <w:rFonts w:ascii="Arial" w:cs="Arial" w:eastAsia="Arial" w:hAnsi="Arial"/>
          <w:sz w:val="18"/>
          <w:szCs w:val="18"/>
          <w:color w:val="auto"/>
        </w:rPr>
        <w:t>. Each of the parties hereto agrees to execute such further and other deeds, documents and assurances and do such further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acts as may be necessary to carry out the true intent and meaning of this Agreement fully and effectually.</w:t>
      </w:r>
    </w:p>
    <w:p>
      <w:pPr>
        <w:spacing w:after="0" w:line="38" w:lineRule="exact"/>
        <w:rPr>
          <w:rFonts w:ascii="Arial" w:cs="Arial" w:eastAsia="Arial" w:hAnsi="Arial"/>
          <w:sz w:val="18"/>
          <w:szCs w:val="18"/>
          <w:color w:val="auto"/>
        </w:rPr>
      </w:pPr>
    </w:p>
    <w:p>
      <w:pPr>
        <w:ind w:left="452" w:right="280" w:hanging="452"/>
        <w:spacing w:after="0" w:line="338" w:lineRule="auto"/>
        <w:tabs>
          <w:tab w:leader="none" w:pos="452"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Severability</w:t>
      </w:r>
      <w:r>
        <w:rPr>
          <w:rFonts w:ascii="Arial" w:cs="Arial" w:eastAsia="Arial" w:hAnsi="Arial"/>
          <w:sz w:val="15"/>
          <w:szCs w:val="15"/>
          <w:color w:val="auto"/>
        </w:rPr>
        <w:t>. Each of the covenants, provisions, sections, subsections and other subdivisions hereof is severable from every other covenant, provision,</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subsection and subdivision and the invalidity or unenforceability of any one or more covenants, provisions, sections, subsections and other subdivisions hereof shall not affect the validity or enforceability of the remaining covenants, provisions, sections, subsections or subdivisions hereof.</w:t>
      </w:r>
    </w:p>
    <w:p>
      <w:pPr>
        <w:ind w:left="452" w:hanging="452"/>
        <w:spacing w:after="0" w:line="301" w:lineRule="auto"/>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Disclosure</w:t>
      </w:r>
      <w:r>
        <w:rPr>
          <w:rFonts w:ascii="Arial" w:cs="Arial" w:eastAsia="Arial" w:hAnsi="Arial"/>
          <w:sz w:val="16"/>
          <w:szCs w:val="16"/>
          <w:color w:val="auto"/>
        </w:rPr>
        <w:t>. The parties acknowledge and agree that (a) a copy of this Agreement may be provided to CE Franklin, (b) the terms of this Agreement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publicly disclosed pursuant to the press release announcing the Arrangement and pursuant to applicable securities law filings of the parties or CE Franklin and (c) this Agreement may be filed with applicable securities law filings. Each party, to the extent that such party is responsible for the press release or filing, shall ensure that the description of this Agreement in such press release or filing is accurate</w:t>
      </w:r>
    </w:p>
    <w:p>
      <w:pPr>
        <w:spacing w:after="0" w:line="22" w:lineRule="exact"/>
        <w:rPr>
          <w:rFonts w:ascii="Arial" w:cs="Arial" w:eastAsia="Arial" w:hAnsi="Arial"/>
          <w:sz w:val="16"/>
          <w:szCs w:val="16"/>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892" w:right="400" w:hanging="446"/>
        <w:spacing w:after="0" w:line="268"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Alberta and the parties hereto agree to attorn to the jurisdiction of the courts thereof.</w:t>
      </w:r>
    </w:p>
    <w:p>
      <w:pPr>
        <w:spacing w:after="0" w:line="50" w:lineRule="exact"/>
        <w:rPr>
          <w:rFonts w:ascii="Arial" w:cs="Arial" w:eastAsia="Arial" w:hAnsi="Arial"/>
          <w:sz w:val="18"/>
          <w:szCs w:val="18"/>
          <w:color w:val="auto"/>
        </w:rPr>
      </w:pPr>
    </w:p>
    <w:p>
      <w:pPr>
        <w:ind w:left="892" w:right="60" w:hanging="446"/>
        <w:spacing w:after="0" w:line="268"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This Agreement may be executed in one or more counterparts and delivered by facsimile, each of which shall be deemed to be an original but all of which together shall constitute one and the same instrument.</w:t>
      </w:r>
    </w:p>
    <w:p>
      <w:pPr>
        <w:spacing w:after="0" w:line="50" w:lineRule="exact"/>
        <w:rPr>
          <w:rFonts w:ascii="Arial" w:cs="Arial" w:eastAsia="Arial" w:hAnsi="Arial"/>
          <w:sz w:val="18"/>
          <w:szCs w:val="18"/>
          <w:color w:val="auto"/>
        </w:rPr>
      </w:pPr>
    </w:p>
    <w:p>
      <w:pPr>
        <w:ind w:left="892" w:right="260" w:hanging="446"/>
        <w:spacing w:after="0" w:line="268"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Section headings herein are for convenience of reference only and are not part of this Agreement and no construction or interference shall be derived there from.</w:t>
      </w:r>
    </w:p>
    <w:p>
      <w:pPr>
        <w:spacing w:after="0" w:line="11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12"/>
          </w:cols>
          <w:pgMar w:left="248" w:top="27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executed and delivered this Agreement as of the date first above written.</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WILSON DISTRIBUTION HOLDINGS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 /s/ Michael McGuinty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NOCL HOLDING B.V.</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 /s/ Dwight Rettig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5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DRECO ENERGY SERVICES ULC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Per: /s/ Dwight Rettig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sectPr>
      <w:pgSz w:w="11900" w:h="16838" w:orient="portrait"/>
      <w:cols w:equalWidth="0" w:num="1">
        <w:col w:w="10320"/>
      </w:cols>
      <w:pgMar w:left="240" w:top="280"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5"/>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decimal"/>
      <w:start w:val="1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2019-12-20T20:34:31Z</dcterms:created>
  <dcterms:modified xsi:type="dcterms:W3CDTF">2019-12-20T20:34:31Z</dcterms:modified>
</cp:coreProperties>
</file>