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center"/>
              <w:ind w:right="752"/>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29"/>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0" w:type="dxa"/>
            <w:vAlign w:val="bottom"/>
            <w:gridSpan w:val="10"/>
          </w:tcPr>
          <w:p>
            <w:pPr>
              <w:jc w:val="center"/>
              <w:ind w:left="95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360" w:type="dxa"/>
            <w:vAlign w:val="bottom"/>
            <w:gridSpan w:val="5"/>
            <w:vMerge w:val="restart"/>
          </w:tcPr>
          <w:p>
            <w:pPr>
              <w:jc w:val="center"/>
              <w:ind w:right="532"/>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20" w:type="dxa"/>
            <w:vAlign w:val="bottom"/>
            <w:gridSpan w:val="4"/>
          </w:tcPr>
          <w:p>
            <w:pPr>
              <w:ind w:left="4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3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8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0" w:type="dxa"/>
            <w:vAlign w:val="bottom"/>
            <w:gridSpan w:val="10"/>
            <w:vMerge w:val="restart"/>
          </w:tcPr>
          <w:p>
            <w:pPr>
              <w:jc w:val="center"/>
              <w:ind w:left="955"/>
              <w:spacing w:after="0"/>
              <w:rPr>
                <w:sz w:val="20"/>
                <w:szCs w:val="20"/>
                <w:color w:val="auto"/>
              </w:rPr>
            </w:pPr>
            <w:r>
              <w:rPr>
                <w:rFonts w:ascii="Arial" w:cs="Arial" w:eastAsia="Arial" w:hAnsi="Arial"/>
                <w:sz w:val="14"/>
                <w:szCs w:val="14"/>
                <w:b w:val="1"/>
                <w:bCs w:val="1"/>
                <w:color w:val="auto"/>
              </w:rPr>
              <w:t>NOTICE OF PROPOSED SALE OF SECURITIES</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0" w:type="dxa"/>
            <w:vAlign w:val="bottom"/>
            <w:gridSpan w:val="10"/>
            <w:vMerge w:val="continue"/>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0" w:type="dxa"/>
            <w:vAlign w:val="bottom"/>
            <w:gridSpan w:val="10"/>
            <w:vMerge w:val="continue"/>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60" w:type="dxa"/>
            <w:vAlign w:val="bottom"/>
            <w:gridSpan w:val="13"/>
            <w:vMerge w:val="restart"/>
          </w:tcPr>
          <w:p>
            <w:pPr>
              <w:jc w:val="center"/>
              <w:ind w:right="14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60" w:type="dxa"/>
            <w:vAlign w:val="bottom"/>
            <w:gridSpan w:val="13"/>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4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8"/>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8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STREET</w:t>
            </w: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8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gridSpan w:val="3"/>
            <w:vMerge w:val="restart"/>
          </w:tcPr>
          <w:p>
            <w:pPr>
              <w:ind w:left="360"/>
              <w:spacing w:after="0"/>
              <w:rPr>
                <w:sz w:val="20"/>
                <w:szCs w:val="20"/>
                <w:color w:val="auto"/>
              </w:rPr>
            </w:pPr>
            <w:r>
              <w:rPr>
                <w:rFonts w:ascii="Arial" w:cs="Arial" w:eastAsia="Arial" w:hAnsi="Arial"/>
                <w:sz w:val="18"/>
                <w:szCs w:val="18"/>
                <w:color w:val="auto"/>
                <w:w w:val="92"/>
              </w:rPr>
              <w:t>Houston</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9"/>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80" w:type="dxa"/>
            <w:vAlign w:val="bottom"/>
            <w:tcBorders>
              <w:left w:val="single" w:sz="8" w:color="auto"/>
            </w:tcBorders>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9"/>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8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0" w:type="dxa"/>
            <w:vAlign w:val="bottom"/>
            <w:tcBorders>
              <w:right w:val="single" w:sz="8" w:color="auto"/>
            </w:tcBorders>
          </w:tcPr>
          <w:p>
            <w:pPr>
              <w:spacing w:after="0"/>
              <w:rPr>
                <w:sz w:val="9"/>
                <w:szCs w:val="9"/>
                <w:color w:val="auto"/>
              </w:rPr>
            </w:pPr>
          </w:p>
        </w:tc>
        <w:tc>
          <w:tcPr>
            <w:tcW w:w="1580" w:type="dxa"/>
            <w:vAlign w:val="bottom"/>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8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9"/>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780" w:type="dxa"/>
            <w:vAlign w:val="bottom"/>
            <w:gridSpan w:val="3"/>
          </w:tcPr>
          <w:p>
            <w:pPr>
              <w:ind w:left="100"/>
              <w:spacing w:after="0" w:line="135" w:lineRule="exact"/>
              <w:rPr>
                <w:sz w:val="20"/>
                <w:szCs w:val="20"/>
                <w:color w:val="auto"/>
              </w:rPr>
            </w:pPr>
            <w:r>
              <w:rPr>
                <w:rFonts w:ascii="Arial" w:cs="Arial" w:eastAsia="Arial" w:hAnsi="Arial"/>
                <w:sz w:val="13"/>
                <w:szCs w:val="13"/>
                <w:color w:val="auto"/>
                <w:w w:val="94"/>
              </w:rPr>
              <w:t>ACCOUNT THE SECURITIES</w:t>
            </w:r>
          </w:p>
        </w:tc>
        <w:tc>
          <w:tcPr>
            <w:tcW w:w="14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3"/>
                <w:szCs w:val="13"/>
                <w:color w:val="auto"/>
              </w:rPr>
              <w:t>IDENT.</w:t>
            </w:r>
          </w:p>
        </w:tc>
        <w:tc>
          <w:tcPr>
            <w:tcW w:w="280" w:type="dxa"/>
            <w:vAlign w:val="bottom"/>
          </w:tcPr>
          <w:p>
            <w:pPr>
              <w:spacing w:after="0"/>
              <w:rPr>
                <w:sz w:val="11"/>
                <w:szCs w:val="11"/>
                <w:color w:val="auto"/>
              </w:rPr>
            </w:pP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TO ISSUER</w:t>
            </w:r>
          </w:p>
        </w:tc>
        <w:tc>
          <w:tcPr>
            <w:tcW w:w="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420" w:type="dxa"/>
            <w:vAlign w:val="bottom"/>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w w:val="86"/>
              </w:rPr>
              <w:t>NO.</w:t>
            </w:r>
          </w:p>
        </w:tc>
        <w:tc>
          <w:tcPr>
            <w:tcW w:w="6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5"/>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9"/>
              </w:rPr>
              <w:t>Andrew Gould</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tcBorders>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gridSpan w:val="5"/>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gridSpan w:val="20"/>
          </w:tcPr>
          <w:p>
            <w:pPr>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42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68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0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rPr>
              <w:t>(c)</w:t>
            </w:r>
          </w:p>
        </w:tc>
        <w:tc>
          <w:tcPr>
            <w:tcW w:w="30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2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jc w:val="center"/>
              <w:ind w:left="95"/>
              <w:spacing w:after="0" w:line="135" w:lineRule="exact"/>
              <w:rPr>
                <w:sz w:val="20"/>
                <w:szCs w:val="20"/>
                <w:color w:val="auto"/>
              </w:rPr>
            </w:pPr>
            <w:r>
              <w:rPr>
                <w:rFonts w:ascii="Arial" w:cs="Arial" w:eastAsia="Arial" w:hAnsi="Arial"/>
                <w:sz w:val="13"/>
                <w:szCs w:val="13"/>
                <w:b w:val="1"/>
                <w:bCs w:val="1"/>
                <w:color w:val="auto"/>
                <w:w w:val="89"/>
              </w:rPr>
              <w:t>Broker Through</w:t>
            </w:r>
          </w:p>
        </w:tc>
        <w:tc>
          <w:tcPr>
            <w:tcW w:w="2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shd w:val="clear" w:color="auto" w:fill="BFBFBF"/>
          </w:tcPr>
          <w:p>
            <w:pPr>
              <w:spacing w:after="0"/>
              <w:rPr>
                <w:sz w:val="12"/>
                <w:szCs w:val="12"/>
                <w:color w:val="auto"/>
              </w:rPr>
            </w:pPr>
          </w:p>
        </w:tc>
        <w:tc>
          <w:tcPr>
            <w:tcW w:w="60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auto"/>
            </w:tcBorders>
            <w:shd w:val="clear" w:color="auto" w:fill="BFBFBF"/>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Borders>
              <w:right w:val="single" w:sz="8" w:color="auto"/>
            </w:tcBorders>
          </w:tcPr>
          <w:p>
            <w:pPr>
              <w:jc w:val="center"/>
              <w:ind w:right="32"/>
              <w:spacing w:after="0" w:line="135"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tcPr>
          <w:p>
            <w:pPr>
              <w:jc w:val="center"/>
              <w:ind w:left="375"/>
              <w:spacing w:after="0" w:line="108" w:lineRule="exact"/>
              <w:rPr>
                <w:sz w:val="20"/>
                <w:szCs w:val="20"/>
                <w:color w:val="auto"/>
              </w:rPr>
            </w:pPr>
            <w:r>
              <w:rPr>
                <w:rFonts w:ascii="Arial" w:cs="Arial" w:eastAsia="Arial" w:hAnsi="Arial"/>
                <w:sz w:val="12"/>
                <w:szCs w:val="12"/>
                <w:b w:val="1"/>
                <w:bCs w:val="1"/>
                <w:color w:val="auto"/>
                <w:w w:val="96"/>
              </w:rPr>
              <w:t>Title of</w:t>
            </w:r>
          </w:p>
        </w:tc>
        <w:tc>
          <w:tcPr>
            <w:tcW w:w="38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80" w:type="dxa"/>
            <w:vAlign w:val="bottom"/>
            <w:gridSpan w:val="2"/>
          </w:tcPr>
          <w:p>
            <w:pPr>
              <w:jc w:val="center"/>
              <w:spacing w:after="0" w:line="108" w:lineRule="exact"/>
              <w:rPr>
                <w:sz w:val="20"/>
                <w:szCs w:val="20"/>
                <w:color w:val="auto"/>
              </w:rPr>
            </w:pPr>
            <w:r>
              <w:rPr>
                <w:rFonts w:ascii="Arial" w:cs="Arial" w:eastAsia="Arial" w:hAnsi="Arial"/>
                <w:sz w:val="12"/>
                <w:szCs w:val="12"/>
                <w:b w:val="1"/>
                <w:bCs w:val="1"/>
                <w:color w:val="auto"/>
                <w:w w:val="94"/>
              </w:rPr>
              <w:t>Whom the Securities are to be</w:t>
            </w:r>
          </w:p>
        </w:tc>
        <w:tc>
          <w:tcPr>
            <w:tcW w:w="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shd w:val="clear" w:color="auto" w:fill="BFBFBF"/>
          </w:tcPr>
          <w:p>
            <w:pPr>
              <w:jc w:val="center"/>
              <w:spacing w:after="0" w:line="108" w:lineRule="exact"/>
              <w:rPr>
                <w:sz w:val="20"/>
                <w:szCs w:val="20"/>
                <w:color w:val="auto"/>
              </w:rPr>
            </w:pPr>
            <w:r>
              <w:rPr>
                <w:rFonts w:ascii="Arial" w:cs="Arial" w:eastAsia="Arial" w:hAnsi="Arial"/>
                <w:sz w:val="12"/>
                <w:szCs w:val="12"/>
                <w:b w:val="1"/>
                <w:bCs w:val="1"/>
                <w:color w:val="auto"/>
                <w:w w:val="98"/>
              </w:rPr>
              <w:t>Broker-Dealer</w:t>
            </w:r>
          </w:p>
        </w:tc>
        <w:tc>
          <w:tcPr>
            <w:tcW w:w="400" w:type="dxa"/>
            <w:vAlign w:val="bottom"/>
          </w:tcPr>
          <w:p>
            <w:pPr>
              <w:spacing w:after="0"/>
              <w:rPr>
                <w:sz w:val="9"/>
                <w:szCs w:val="9"/>
                <w:color w:val="auto"/>
              </w:rPr>
            </w:pPr>
          </w:p>
        </w:tc>
        <w:tc>
          <w:tcPr>
            <w:tcW w:w="900" w:type="dxa"/>
            <w:vAlign w:val="bottom"/>
            <w:tcBorders>
              <w:right w:val="single" w:sz="8" w:color="auto"/>
            </w:tcBorders>
          </w:tcPr>
          <w:p>
            <w:pPr>
              <w:jc w:val="center"/>
              <w:ind w:right="32"/>
              <w:spacing w:after="0" w:line="108" w:lineRule="exact"/>
              <w:rPr>
                <w:sz w:val="20"/>
                <w:szCs w:val="20"/>
                <w:color w:val="auto"/>
              </w:rPr>
            </w:pPr>
            <w:r>
              <w:rPr>
                <w:rFonts w:ascii="Arial" w:cs="Arial" w:eastAsia="Arial" w:hAnsi="Arial"/>
                <w:sz w:val="12"/>
                <w:szCs w:val="12"/>
                <w:b w:val="1"/>
                <w:bCs w:val="1"/>
                <w:color w:val="auto"/>
                <w:w w:val="89"/>
              </w:rPr>
              <w:t>Shares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right w:val="single" w:sz="8" w:color="auto"/>
            </w:tcBorders>
            <w:gridSpan w:val="2"/>
          </w:tcPr>
          <w:p>
            <w:pPr>
              <w:jc w:val="center"/>
              <w:spacing w:after="0" w:line="108" w:lineRule="exact"/>
              <w:rPr>
                <w:sz w:val="20"/>
                <w:szCs w:val="20"/>
                <w:color w:val="auto"/>
              </w:rPr>
            </w:pPr>
            <w:r>
              <w:rPr>
                <w:rFonts w:ascii="Arial" w:cs="Arial" w:eastAsia="Arial" w:hAnsi="Arial"/>
                <w:sz w:val="12"/>
                <w:szCs w:val="12"/>
                <w:b w:val="1"/>
                <w:bCs w:val="1"/>
                <w:color w:val="auto"/>
                <w:w w:val="90"/>
              </w:rPr>
              <w:t>Aggregate</w:t>
            </w:r>
          </w:p>
        </w:tc>
        <w:tc>
          <w:tcPr>
            <w:tcW w:w="1400" w:type="dxa"/>
            <w:vAlign w:val="bottom"/>
            <w:tcBorders>
              <w:right w:val="single" w:sz="8" w:color="auto"/>
            </w:tcBorders>
            <w:gridSpan w:val="3"/>
          </w:tcPr>
          <w:p>
            <w:pPr>
              <w:jc w:val="center"/>
              <w:ind w:left="228"/>
              <w:spacing w:after="0" w:line="108" w:lineRule="exact"/>
              <w:rPr>
                <w:sz w:val="20"/>
                <w:szCs w:val="20"/>
                <w:color w:val="auto"/>
              </w:rPr>
            </w:pPr>
            <w:r>
              <w:rPr>
                <w:rFonts w:ascii="Arial" w:cs="Arial" w:eastAsia="Arial" w:hAnsi="Arial"/>
                <w:sz w:val="12"/>
                <w:szCs w:val="12"/>
                <w:b w:val="1"/>
                <w:bCs w:val="1"/>
                <w:color w:val="auto"/>
                <w:w w:val="94"/>
              </w:rPr>
              <w:t>Number of Shares</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ind w:left="40"/>
              <w:spacing w:after="0" w:line="108" w:lineRule="exact"/>
              <w:rPr>
                <w:sz w:val="20"/>
                <w:szCs w:val="20"/>
                <w:color w:val="auto"/>
              </w:rPr>
            </w:pPr>
            <w:r>
              <w:rPr>
                <w:rFonts w:ascii="Arial" w:cs="Arial" w:eastAsia="Arial" w:hAnsi="Arial"/>
                <w:sz w:val="12"/>
                <w:szCs w:val="12"/>
                <w:b w:val="1"/>
                <w:bCs w:val="1"/>
                <w:color w:val="auto"/>
                <w:w w:val="98"/>
              </w:rPr>
              <w:t>Approximate</w:t>
            </w:r>
          </w:p>
        </w:tc>
        <w:tc>
          <w:tcPr>
            <w:tcW w:w="10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5"/>
              </w:rPr>
              <w:t>Name of Each</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980" w:type="dxa"/>
            <w:vAlign w:val="bottom"/>
          </w:tcPr>
          <w:p>
            <w:pPr>
              <w:jc w:val="center"/>
              <w:ind w:left="395"/>
              <w:spacing w:after="0" w:line="135" w:lineRule="exact"/>
              <w:rPr>
                <w:sz w:val="20"/>
                <w:szCs w:val="20"/>
                <w:color w:val="auto"/>
              </w:rPr>
            </w:pPr>
            <w:r>
              <w:rPr>
                <w:rFonts w:ascii="Arial" w:cs="Arial" w:eastAsia="Arial" w:hAnsi="Arial"/>
                <w:sz w:val="13"/>
                <w:szCs w:val="13"/>
                <w:b w:val="1"/>
                <w:bCs w:val="1"/>
                <w:color w:val="auto"/>
                <w:w w:val="82"/>
              </w:rPr>
              <w:t>the Class</w:t>
            </w:r>
          </w:p>
        </w:tc>
        <w:tc>
          <w:tcPr>
            <w:tcW w:w="3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jc w:val="center"/>
              <w:ind w:left="95"/>
              <w:spacing w:after="0" w:line="135" w:lineRule="exact"/>
              <w:rPr>
                <w:sz w:val="20"/>
                <w:szCs w:val="20"/>
                <w:color w:val="auto"/>
              </w:rPr>
            </w:pPr>
            <w:r>
              <w:rPr>
                <w:rFonts w:ascii="Arial" w:cs="Arial" w:eastAsia="Arial" w:hAnsi="Arial"/>
                <w:sz w:val="13"/>
                <w:szCs w:val="13"/>
                <w:b w:val="1"/>
                <w:bCs w:val="1"/>
                <w:color w:val="auto"/>
                <w:w w:val="89"/>
              </w:rPr>
              <w:t>Offered or</w:t>
            </w:r>
          </w:p>
        </w:tc>
        <w:tc>
          <w:tcPr>
            <w:tcW w:w="2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80" w:type="dxa"/>
            <w:vAlign w:val="bottom"/>
            <w:shd w:val="clear" w:color="auto" w:fill="BFBFBF"/>
          </w:tcPr>
          <w:p>
            <w:pPr>
              <w:spacing w:after="0"/>
              <w:rPr>
                <w:sz w:val="11"/>
                <w:szCs w:val="11"/>
                <w:color w:val="auto"/>
              </w:rPr>
            </w:pPr>
          </w:p>
        </w:tc>
        <w:tc>
          <w:tcPr>
            <w:tcW w:w="880" w:type="dxa"/>
            <w:vAlign w:val="bottom"/>
            <w:tcBorders>
              <w:right w:val="single" w:sz="8" w:color="auto"/>
            </w:tcBorders>
            <w:gridSpan w:val="2"/>
            <w:shd w:val="clear" w:color="auto" w:fill="BFBFBF"/>
          </w:tcPr>
          <w:p>
            <w:pPr>
              <w:jc w:val="center"/>
              <w:ind w:right="123"/>
              <w:spacing w:after="0" w:line="135"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1"/>
                <w:szCs w:val="11"/>
                <w:color w:val="auto"/>
              </w:rPr>
            </w:pPr>
          </w:p>
        </w:tc>
        <w:tc>
          <w:tcPr>
            <w:tcW w:w="900" w:type="dxa"/>
            <w:vAlign w:val="bottom"/>
            <w:tcBorders>
              <w:right w:val="single" w:sz="8" w:color="auto"/>
            </w:tcBorders>
          </w:tcPr>
          <w:p>
            <w:pPr>
              <w:jc w:val="center"/>
              <w:ind w:right="32"/>
              <w:spacing w:after="0" w:line="135"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4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0" w:type="dxa"/>
            <w:vAlign w:val="bottom"/>
            <w:tcBorders>
              <w:left w:val="single" w:sz="8" w:color="auto"/>
            </w:tcBorders>
          </w:tcPr>
          <w:p>
            <w:pPr>
              <w:spacing w:after="0"/>
              <w:rPr>
                <w:sz w:val="11"/>
                <w:szCs w:val="11"/>
                <w:color w:val="auto"/>
              </w:rPr>
            </w:pPr>
          </w:p>
        </w:tc>
        <w:tc>
          <w:tcPr>
            <w:tcW w:w="1360" w:type="dxa"/>
            <w:vAlign w:val="bottom"/>
            <w:tcBorders>
              <w:right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84"/>
              </w:rPr>
              <w:t>of Securities</w:t>
            </w:r>
          </w:p>
        </w:tc>
        <w:tc>
          <w:tcPr>
            <w:tcW w:w="420" w:type="dxa"/>
            <w:vAlign w:val="bottom"/>
          </w:tcPr>
          <w:p>
            <w:pPr>
              <w:spacing w:after="0"/>
              <w:rPr>
                <w:sz w:val="11"/>
                <w:szCs w:val="11"/>
                <w:color w:val="auto"/>
              </w:rPr>
            </w:pPr>
          </w:p>
        </w:tc>
        <w:tc>
          <w:tcPr>
            <w:tcW w:w="1440" w:type="dxa"/>
            <w:vAlign w:val="bottom"/>
          </w:tcPr>
          <w:p>
            <w:pPr>
              <w:jc w:val="center"/>
              <w:ind w:left="115"/>
              <w:spacing w:after="0" w:line="131" w:lineRule="exact"/>
              <w:rPr>
                <w:sz w:val="20"/>
                <w:szCs w:val="20"/>
                <w:color w:val="auto"/>
              </w:rPr>
            </w:pPr>
            <w:r>
              <w:rPr>
                <w:rFonts w:ascii="Arial" w:cs="Arial" w:eastAsia="Arial" w:hAnsi="Arial"/>
                <w:sz w:val="13"/>
                <w:szCs w:val="13"/>
                <w:b w:val="1"/>
                <w:bCs w:val="1"/>
                <w:color w:val="auto"/>
                <w:w w:val="93"/>
              </w:rPr>
              <w:t>Each Market Maker</w:t>
            </w:r>
          </w:p>
        </w:tc>
        <w:tc>
          <w:tcPr>
            <w:tcW w:w="2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80" w:type="dxa"/>
            <w:vAlign w:val="bottom"/>
            <w:shd w:val="clear" w:color="auto" w:fill="BFBFBF"/>
          </w:tcPr>
          <w:p>
            <w:pPr>
              <w:spacing w:after="0"/>
              <w:rPr>
                <w:sz w:val="11"/>
                <w:szCs w:val="11"/>
                <w:color w:val="auto"/>
              </w:rPr>
            </w:pPr>
          </w:p>
        </w:tc>
        <w:tc>
          <w:tcPr>
            <w:tcW w:w="600" w:type="dxa"/>
            <w:vAlign w:val="bottom"/>
            <w:tcBorders>
              <w:right w:val="single" w:sz="8" w:color="BFBFBF"/>
            </w:tcBorders>
            <w:shd w:val="clear" w:color="auto" w:fill="BFBFBF"/>
          </w:tcPr>
          <w:p>
            <w:pPr>
              <w:spacing w:after="0"/>
              <w:rPr>
                <w:sz w:val="11"/>
                <w:szCs w:val="11"/>
                <w:color w:val="auto"/>
              </w:rPr>
            </w:pPr>
          </w:p>
        </w:tc>
        <w:tc>
          <w:tcPr>
            <w:tcW w:w="280" w:type="dxa"/>
            <w:vAlign w:val="bottom"/>
            <w:tcBorders>
              <w:right w:val="single" w:sz="8" w:color="auto"/>
            </w:tcBorders>
            <w:shd w:val="clear" w:color="auto" w:fill="BFBFBF"/>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Borders>
              <w:right w:val="single" w:sz="8" w:color="auto"/>
            </w:tcBorders>
          </w:tcPr>
          <w:p>
            <w:pPr>
              <w:jc w:val="center"/>
              <w:ind w:right="32"/>
              <w:spacing w:after="0" w:line="131"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right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20"/>
              <w:spacing w:after="0" w:line="131"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To Be Sold</w:t>
            </w:r>
          </w:p>
        </w:tc>
        <w:tc>
          <w:tcPr>
            <w:tcW w:w="2100" w:type="dxa"/>
            <w:vAlign w:val="bottom"/>
            <w:tcBorders>
              <w:bottom w:val="single" w:sz="8" w:color="auto"/>
            </w:tcBorders>
            <w:gridSpan w:val="3"/>
          </w:tcPr>
          <w:p>
            <w:pPr>
              <w:jc w:val="center"/>
              <w:ind w:left="283"/>
              <w:spacing w:after="0"/>
              <w:rPr>
                <w:sz w:val="20"/>
                <w:szCs w:val="20"/>
                <w:color w:val="auto"/>
              </w:rPr>
            </w:pPr>
            <w:r>
              <w:rPr>
                <w:rFonts w:ascii="Arial" w:cs="Arial" w:eastAsia="Arial" w:hAnsi="Arial"/>
                <w:sz w:val="13"/>
                <w:szCs w:val="13"/>
                <w:b w:val="1"/>
                <w:bCs w:val="1"/>
                <w:color w:val="auto"/>
                <w:w w:val="85"/>
              </w:rPr>
              <w:t>who is Acquiring the Securities</w:t>
            </w:r>
          </w:p>
        </w:tc>
        <w:tc>
          <w:tcPr>
            <w:tcW w:w="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60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90"/>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2100" w:type="dxa"/>
            <w:vAlign w:val="bottom"/>
            <w:gridSpan w:val="3"/>
          </w:tcPr>
          <w:p>
            <w:pPr>
              <w:ind w:left="40"/>
              <w:spacing w:after="0" w:line="195" w:lineRule="exact"/>
              <w:rPr>
                <w:sz w:val="20"/>
                <w:szCs w:val="20"/>
                <w:color w:val="auto"/>
              </w:rPr>
            </w:pPr>
            <w:r>
              <w:rPr>
                <w:rFonts w:ascii="Arial" w:cs="Arial" w:eastAsia="Arial" w:hAnsi="Arial"/>
                <w:sz w:val="18"/>
                <w:szCs w:val="18"/>
                <w:color w:val="auto"/>
                <w:w w:val="94"/>
              </w:rPr>
              <w:t>FBR Capital Markets &amp; Co.</w:t>
            </w:r>
          </w:p>
        </w:tc>
        <w:tc>
          <w:tcPr>
            <w:tcW w:w="60" w:type="dxa"/>
            <w:vAlign w:val="bottom"/>
            <w:tcBorders>
              <w:right w:val="single" w:sz="8" w:color="auto"/>
            </w:tcBorders>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60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Common Stock</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w w:val="96"/>
              </w:rPr>
              <w:t>1001 Nineteenth Street</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00" w:type="dxa"/>
            <w:vAlign w:val="bottom"/>
            <w:tcBorders>
              <w:right w:val="single" w:sz="8" w:color="auto"/>
            </w:tcBorders>
            <w:gridSpan w:val="2"/>
            <w:vMerge w:val="restart"/>
          </w:tcPr>
          <w:p>
            <w:pPr>
              <w:jc w:val="right"/>
              <w:ind w:right="292"/>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right w:val="single" w:sz="8" w:color="auto"/>
            </w:tcBorders>
            <w:gridSpan w:val="3"/>
            <w:vMerge w:val="restart"/>
          </w:tcPr>
          <w:p>
            <w:pPr>
              <w:jc w:val="right"/>
              <w:ind w:right="43"/>
              <w:spacing w:after="0"/>
              <w:rPr>
                <w:sz w:val="20"/>
                <w:szCs w:val="20"/>
                <w:color w:val="auto"/>
              </w:rPr>
            </w:pPr>
            <w:r>
              <w:rPr>
                <w:rFonts w:ascii="Arial" w:cs="Arial" w:eastAsia="Arial" w:hAnsi="Arial"/>
                <w:sz w:val="18"/>
                <w:szCs w:val="18"/>
                <w:color w:val="auto"/>
                <w:w w:val="89"/>
              </w:rPr>
              <w:t>$36,300,000.00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1,201,037,022</w:t>
            </w: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restart"/>
          </w:tcPr>
          <w:p>
            <w:pPr>
              <w:jc w:val="right"/>
              <w:ind w:right="123"/>
              <w:spacing w:after="0"/>
              <w:rPr>
                <w:sz w:val="20"/>
                <w:szCs w:val="20"/>
                <w:color w:val="auto"/>
              </w:rPr>
            </w:pPr>
            <w:r>
              <w:rPr>
                <w:rFonts w:ascii="Arial" w:cs="Arial" w:eastAsia="Arial" w:hAnsi="Arial"/>
                <w:sz w:val="18"/>
                <w:szCs w:val="18"/>
                <w:color w:val="auto"/>
                <w:w w:val="94"/>
              </w:rPr>
              <w:t>12/1/2009</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vMerge w:val="continue"/>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0"/>
              </w:rPr>
              <w:t>North</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Arlington, VA 22209</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shd w:val="clear" w:color="auto" w:fill="BFBFBF"/>
          </w:tcPr>
          <w:p>
            <w:pPr>
              <w:spacing w:after="0"/>
              <w:rPr>
                <w:sz w:val="20"/>
                <w:szCs w:val="20"/>
                <w:color w:val="auto"/>
              </w:rPr>
            </w:pPr>
          </w:p>
        </w:tc>
        <w:tc>
          <w:tcPr>
            <w:tcW w:w="60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280" w:type="dxa"/>
            <w:vAlign w:val="bottom"/>
            <w:gridSpan w:val="6"/>
          </w:tcPr>
          <w:p>
            <w:pPr>
              <w:ind w:left="100"/>
              <w:spacing w:after="0" w:line="135" w:lineRule="exact"/>
              <w:rPr>
                <w:sz w:val="20"/>
                <w:szCs w:val="20"/>
                <w:color w:val="auto"/>
              </w:rPr>
            </w:pPr>
            <w:r>
              <w:rPr>
                <w:rFonts w:ascii="Arial" w:cs="Arial" w:eastAsia="Arial" w:hAnsi="Arial"/>
                <w:sz w:val="13"/>
                <w:szCs w:val="13"/>
                <w:color w:val="auto"/>
                <w:w w:val="87"/>
              </w:rPr>
              <w:t>(a) Title of the class of securities to be sold</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0" w:type="dxa"/>
            <w:vAlign w:val="bottom"/>
            <w:gridSpan w:val="11"/>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160" w:type="dxa"/>
            <w:vAlign w:val="bottom"/>
            <w:gridSpan w:val="13"/>
          </w:tcPr>
          <w:p>
            <w:pPr>
              <w:ind w:left="10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58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40" w:type="dxa"/>
            <w:vAlign w:val="bottom"/>
            <w:gridSpan w:val="19"/>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40" w:type="dxa"/>
            <w:vAlign w:val="bottom"/>
            <w:gridSpan w:val="9"/>
          </w:tcPr>
          <w:p>
            <w:pPr>
              <w:jc w:val="center"/>
              <w:ind w:right="42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40" w:type="dxa"/>
            <w:vAlign w:val="bottom"/>
            <w:gridSpan w:val="9"/>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60" w:type="dxa"/>
            <w:vAlign w:val="bottom"/>
            <w:gridSpan w:val="5"/>
          </w:tcPr>
          <w:p>
            <w:pPr>
              <w:spacing w:after="0" w:line="145" w:lineRule="exact"/>
              <w:rPr>
                <w:sz w:val="20"/>
                <w:szCs w:val="20"/>
                <w:color w:val="auto"/>
              </w:rPr>
            </w:pPr>
            <w:r>
              <w:rPr>
                <w:rFonts w:ascii="Arial" w:cs="Arial" w:eastAsia="Arial" w:hAnsi="Arial"/>
                <w:sz w:val="13"/>
                <w:szCs w:val="13"/>
                <w:color w:val="auto"/>
                <w:w w:val="89"/>
              </w:rPr>
              <w:t>(a) Name of person for whose account the securities are to be sold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0" w:type="dxa"/>
            <w:vAlign w:val="bottom"/>
            <w:gridSpan w:val="11"/>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ind w:left="620"/>
              <w:spacing w:after="0" w:line="131" w:lineRule="exact"/>
              <w:rPr>
                <w:sz w:val="20"/>
                <w:szCs w:val="20"/>
                <w:color w:val="auto"/>
              </w:rPr>
            </w:pPr>
            <w:r>
              <w:rPr>
                <w:rFonts w:ascii="Arial" w:cs="Arial" w:eastAsia="Arial" w:hAnsi="Arial"/>
                <w:sz w:val="13"/>
                <w:szCs w:val="13"/>
                <w:b w:val="1"/>
                <w:bCs w:val="1"/>
                <w:color w:val="auto"/>
              </w:rPr>
              <w:t>Nature of Acquisition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3"/>
                <w:szCs w:val="13"/>
                <w:b w:val="1"/>
                <w:bCs w:val="1"/>
                <w:color w:val="auto"/>
              </w:rPr>
              <w:t>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02/21/2006</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87,920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02/21/2006</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02/21/2006</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109,900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02/21/2006</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02/12/2007</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183,970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02/12/2007</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02/12/2007</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16,030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02/12/2007</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02/12/2007</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152,180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02/12/2007</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4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12/1/2009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9"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/s/Andrew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9"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(SIGNATURE)</w:t>
      </w:r>
    </w:p>
    <w:p>
      <w:pPr>
        <w:spacing w:after="0" w:line="200"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2019-12-10T03:09:11Z</dcterms:created>
  <dcterms:modified xsi:type="dcterms:W3CDTF">2019-12-10T03:09:11Z</dcterms:modified>
</cp:coreProperties>
</file>