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15, 2005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333-124541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tbl>
      <w:tblPr>
        <w:tblLayout w:type="fixed"/>
        <w:tblInd w:w="190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5200" w:type="dxa"/>
            <w:vAlign w:val="bottom"/>
            <w:gridSpan w:val="3"/>
          </w:tcPr>
          <w:p>
            <w:pPr>
              <w:jc w:val="center"/>
              <w:ind w:right="17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325"/>
        </w:trPr>
        <w:tc>
          <w:tcPr>
            <w:tcW w:w="2120" w:type="dxa"/>
            <w:vAlign w:val="bottom"/>
          </w:tcPr>
          <w:p>
            <w:pPr>
              <w:jc w:val="center"/>
              <w:ind w:right="106"/>
              <w:spacing w:after="0"/>
              <w:rPr>
                <w:sz w:val="20"/>
                <w:szCs w:val="20"/>
                <w:color w:val="auto"/>
              </w:rPr>
            </w:pPr>
            <w:r>
              <w:rPr>
                <w:rFonts w:ascii="Arial" w:cs="Arial" w:eastAsia="Arial" w:hAnsi="Arial"/>
                <w:sz w:val="18"/>
                <w:szCs w:val="18"/>
                <w:b w:val="1"/>
                <w:bCs w:val="1"/>
                <w:color w:val="auto"/>
                <w:w w:val="88"/>
              </w:rPr>
              <w:t>Netherlands Antilles</w:t>
            </w:r>
          </w:p>
        </w:tc>
        <w:tc>
          <w:tcPr>
            <w:tcW w:w="5200" w:type="dxa"/>
            <w:vAlign w:val="bottom"/>
            <w:gridSpan w:val="3"/>
          </w:tcPr>
          <w:p>
            <w:pPr>
              <w:jc w:val="center"/>
              <w:ind w:left="4036"/>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212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20" w:type="dxa"/>
            <w:vAlign w:val="bottom"/>
          </w:tcPr>
          <w:p>
            <w:pPr>
              <w:jc w:val="center"/>
              <w:ind w:right="126"/>
              <w:spacing w:after="0"/>
              <w:rPr>
                <w:sz w:val="20"/>
                <w:szCs w:val="20"/>
                <w:color w:val="auto"/>
              </w:rPr>
            </w:pPr>
            <w:r>
              <w:rPr>
                <w:rFonts w:ascii="Arial" w:cs="Arial" w:eastAsia="Arial" w:hAnsi="Arial"/>
                <w:sz w:val="14"/>
                <w:szCs w:val="14"/>
                <w:b w:val="1"/>
                <w:bCs w:val="1"/>
                <w:color w:val="auto"/>
                <w:w w:val="88"/>
              </w:rPr>
              <w:t>of incorporation or organization)</w:t>
            </w:r>
          </w:p>
        </w:tc>
        <w:tc>
          <w:tcPr>
            <w:tcW w:w="7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Identification No.)</w:t>
            </w:r>
          </w:p>
        </w:tc>
      </w:tr>
      <w:tr>
        <w:trPr>
          <w:trHeight w:val="163"/>
        </w:trPr>
        <w:tc>
          <w:tcPr>
            <w:tcW w:w="2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520" w:type="dxa"/>
            <w:vAlign w:val="bottom"/>
          </w:tcPr>
          <w:p>
            <w:pPr>
              <w:spacing w:after="0"/>
              <w:rPr>
                <w:sz w:val="14"/>
                <w:szCs w:val="14"/>
                <w:color w:val="auto"/>
              </w:rPr>
            </w:pPr>
          </w:p>
        </w:tc>
      </w:tr>
      <w:tr>
        <w:trPr>
          <w:trHeight w:val="371"/>
        </w:trPr>
        <w:tc>
          <w:tcPr>
            <w:tcW w:w="2120" w:type="dxa"/>
            <w:vAlign w:val="bottom"/>
          </w:tcPr>
          <w:p>
            <w:pPr>
              <w:spacing w:after="0"/>
              <w:rPr>
                <w:sz w:val="24"/>
                <w:szCs w:val="24"/>
                <w:color w:val="auto"/>
              </w:rPr>
            </w:pPr>
          </w:p>
        </w:tc>
        <w:tc>
          <w:tcPr>
            <w:tcW w:w="5200" w:type="dxa"/>
            <w:vAlign w:val="bottom"/>
            <w:gridSpan w:val="3"/>
          </w:tcPr>
          <w:p>
            <w:pPr>
              <w:jc w:val="center"/>
              <w:ind w:right="1732"/>
              <w:spacing w:after="0"/>
              <w:rPr>
                <w:sz w:val="20"/>
                <w:szCs w:val="20"/>
                <w:color w:val="auto"/>
              </w:rPr>
            </w:pPr>
            <w:r>
              <w:rPr>
                <w:rFonts w:ascii="Arial" w:cs="Arial" w:eastAsia="Arial" w:hAnsi="Arial"/>
                <w:sz w:val="18"/>
                <w:szCs w:val="18"/>
                <w:b w:val="1"/>
                <w:bCs w:val="1"/>
                <w:color w:val="auto"/>
                <w:w w:val="89"/>
              </w:rPr>
              <w:t>153 East 53rd Street, 57th Floor</w:t>
            </w:r>
          </w:p>
        </w:tc>
      </w:tr>
      <w:tr>
        <w:trPr>
          <w:trHeight w:val="216"/>
        </w:trPr>
        <w:tc>
          <w:tcPr>
            <w:tcW w:w="2120" w:type="dxa"/>
            <w:vAlign w:val="bottom"/>
          </w:tcPr>
          <w:p>
            <w:pPr>
              <w:spacing w:after="0"/>
              <w:rPr>
                <w:sz w:val="18"/>
                <w:szCs w:val="18"/>
                <w:color w:val="auto"/>
              </w:rPr>
            </w:pPr>
          </w:p>
        </w:tc>
        <w:tc>
          <w:tcPr>
            <w:tcW w:w="5200" w:type="dxa"/>
            <w:vAlign w:val="bottom"/>
            <w:gridSpan w:val="3"/>
          </w:tcPr>
          <w:p>
            <w:pPr>
              <w:jc w:val="center"/>
              <w:ind w:right="1732"/>
              <w:spacing w:after="0"/>
              <w:rPr>
                <w:sz w:val="20"/>
                <w:szCs w:val="20"/>
                <w:color w:val="auto"/>
              </w:rPr>
            </w:pPr>
            <w:r>
              <w:rPr>
                <w:rFonts w:ascii="Arial" w:cs="Arial" w:eastAsia="Arial" w:hAnsi="Arial"/>
                <w:sz w:val="18"/>
                <w:szCs w:val="18"/>
                <w:b w:val="1"/>
                <w:bCs w:val="1"/>
                <w:color w:val="auto"/>
                <w:w w:val="90"/>
              </w:rPr>
              <w:t>New York, New York 10022-4624</w:t>
            </w:r>
          </w:p>
        </w:tc>
      </w:tr>
      <w:tr>
        <w:trPr>
          <w:trHeight w:val="228"/>
        </w:trPr>
        <w:tc>
          <w:tcPr>
            <w:tcW w:w="2120" w:type="dxa"/>
            <w:vAlign w:val="bottom"/>
          </w:tcPr>
          <w:p>
            <w:pPr>
              <w:spacing w:after="0"/>
              <w:rPr>
                <w:sz w:val="19"/>
                <w:szCs w:val="19"/>
                <w:color w:val="auto"/>
              </w:rPr>
            </w:pPr>
          </w:p>
        </w:tc>
        <w:tc>
          <w:tcPr>
            <w:tcW w:w="26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(212) 350-9400</w:t>
            </w:r>
          </w:p>
        </w:tc>
        <w:tc>
          <w:tcPr>
            <w:tcW w:w="2520" w:type="dxa"/>
            <w:vAlign w:val="bottom"/>
          </w:tcPr>
          <w:p>
            <w:pPr>
              <w:spacing w:after="0"/>
              <w:rPr>
                <w:sz w:val="19"/>
                <w:szCs w:val="19"/>
                <w:color w:val="auto"/>
              </w:rPr>
            </w:pPr>
          </w:p>
        </w:tc>
      </w:tr>
      <w:tr>
        <w:trPr>
          <w:trHeight w:val="352"/>
        </w:trPr>
        <w:tc>
          <w:tcPr>
            <w:tcW w:w="2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89"/>
              </w:rPr>
              <w:t>42, rue Saint-Dominique</w:t>
            </w:r>
          </w:p>
        </w:tc>
      </w:tr>
      <w:tr>
        <w:trPr>
          <w:trHeight w:val="216"/>
        </w:trPr>
        <w:tc>
          <w:tcPr>
            <w:tcW w:w="2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88"/>
              </w:rPr>
              <w:t>Paris, France 75007</w:t>
            </w:r>
          </w:p>
        </w:tc>
      </w:tr>
      <w:tr>
        <w:trPr>
          <w:trHeight w:val="228"/>
        </w:trPr>
        <w:tc>
          <w:tcPr>
            <w:tcW w:w="2120" w:type="dxa"/>
            <w:vAlign w:val="bottom"/>
          </w:tcPr>
          <w:p>
            <w:pPr>
              <w:spacing w:after="0"/>
              <w:rPr>
                <w:sz w:val="19"/>
                <w:szCs w:val="19"/>
                <w:color w:val="auto"/>
              </w:rPr>
            </w:pPr>
          </w:p>
        </w:tc>
        <w:tc>
          <w:tcPr>
            <w:tcW w:w="26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33-1-4062-1000</w:t>
            </w:r>
          </w:p>
        </w:tc>
        <w:tc>
          <w:tcPr>
            <w:tcW w:w="2520" w:type="dxa"/>
            <w:vAlign w:val="bottom"/>
          </w:tcPr>
          <w:p>
            <w:pPr>
              <w:spacing w:after="0"/>
              <w:rPr>
                <w:sz w:val="19"/>
                <w:szCs w:val="19"/>
                <w:color w:val="auto"/>
              </w:rPr>
            </w:pPr>
          </w:p>
        </w:tc>
      </w:tr>
    </w:tbl>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Parkstraat 83, The Hague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Netherlands, 2514 JG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31-70-310-5400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 Summer,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153 East 53rd Street, 57th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10022-4624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350-9400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 David Kirkland, Jr.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Botts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Shell Plaza</w:t>
      </w:r>
    </w:p>
    <w:p>
      <w:pPr>
        <w:spacing w:after="0" w:line="9" w:lineRule="exact"/>
        <w:rPr>
          <w:sz w:val="24"/>
          <w:szCs w:val="24"/>
          <w:color w:val="auto"/>
        </w:rPr>
      </w:pPr>
    </w:p>
    <w:p>
      <w:pPr>
        <w:ind w:left="5500" w:hanging="310"/>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Louisiana</w:t>
      </w:r>
    </w:p>
    <w:p>
      <w:pPr>
        <w:spacing w:after="0" w:line="9" w:lineRule="exact"/>
        <w:rPr>
          <w:rFonts w:ascii="Arial" w:cs="Arial" w:eastAsia="Arial" w:hAnsi="Arial"/>
          <w:sz w:val="18"/>
          <w:szCs w:val="18"/>
          <w:b w:val="1"/>
          <w:bCs w:val="1"/>
          <w:color w:val="auto"/>
        </w:rPr>
      </w:pPr>
    </w:p>
    <w:p>
      <w:pPr>
        <w:ind w:left="49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Houston, Texas 77002</w:t>
      </w:r>
    </w:p>
    <w:p>
      <w:pPr>
        <w:spacing w:after="0" w:line="9" w:lineRule="exact"/>
        <w:rPr>
          <w:rFonts w:ascii="Arial" w:cs="Arial" w:eastAsia="Arial" w:hAnsi="Arial"/>
          <w:sz w:val="18"/>
          <w:szCs w:val="18"/>
          <w:b w:val="1"/>
          <w:bCs w:val="1"/>
          <w:color w:val="auto"/>
        </w:rPr>
      </w:pPr>
    </w:p>
    <w:p>
      <w:pPr>
        <w:ind w:left="51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(713) 229-1101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54"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13" w:lineRule="exact"/>
        <w:rPr>
          <w:sz w:val="24"/>
          <w:szCs w:val="24"/>
          <w:color w:val="auto"/>
        </w:rPr>
      </w:pPr>
    </w:p>
    <w:p>
      <w:pPr>
        <w:ind w:right="2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24"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0" w:gutter="0" w:footer="0" w:header="0"/>
        </w:sectPr>
      </w:pPr>
    </w:p>
    <w:bookmarkStart w:id="1" w:name="page2"/>
    <w:bookmarkEnd w:id="1"/>
    <w:p>
      <w:pPr>
        <w:ind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 dated June 15,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1"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auto"/>
        </w:rPr>
        <w:t>1,540,750 Shares</w:t>
      </w:r>
    </w:p>
    <w:p>
      <w:pPr>
        <w:spacing w:after="0" w:line="145"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125095</wp:posOffset>
            </wp:positionV>
            <wp:extent cx="1260475"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1,540,750 shares of our common stock offered by this prospectus were originally issued by us in offshore transactions and in private placements in connection with our acquisition of interests in PetroAlliance Services Company Limited. All of the shares of common stock offered by this prospectus may be sold from time to time by or on behalf the selling stockholders named herein. The shares of common stock covered by this prospectus may be sold at fixed prices, at market prices prevailing at the time of sale, at prices related to such prevailing market prices or at negotiated prices. We will not receive any of the proceeds from the sale of our common stock by the selling stockholders. Please read “Plan of Distribution.”</w:t>
      </w:r>
    </w:p>
    <w:p>
      <w:pPr>
        <w:spacing w:after="0" w:line="10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June 14, 2005, the closing sale price of our common stock as reported on the New York Stock Exchange was $73.75 per share.</w:t>
      </w:r>
    </w:p>
    <w:p>
      <w:pPr>
        <w:spacing w:after="0" w:line="105" w:lineRule="exact"/>
        <w:rPr>
          <w:sz w:val="20"/>
          <w:szCs w:val="20"/>
          <w:color w:val="auto"/>
        </w:rPr>
      </w:pPr>
    </w:p>
    <w:p>
      <w:pPr>
        <w:ind w:left="580"/>
        <w:spacing w:after="0"/>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Investing in our common stock involves risk. Please read “ </w:t>
      </w:r>
      <w:hyperlink w:anchor="page5">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118745</wp:posOffset>
            </wp:positionV>
            <wp:extent cx="15347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2"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64770</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57" w:lineRule="exact"/>
        <w:rPr>
          <w:sz w:val="20"/>
          <w:szCs w:val="20"/>
          <w:color w:val="auto"/>
        </w:rPr>
      </w:pPr>
    </w:p>
    <w:tbl>
      <w:tblPr>
        <w:tblLayout w:type="fixed"/>
        <w:tblInd w:w="3920" w:type="dxa"/>
        <w:tblCellMar>
          <w:top w:w="0" w:type="dxa"/>
          <w:left w:w="0" w:type="dxa"/>
          <w:bottom w:w="0" w:type="dxa"/>
          <w:right w:w="0" w:type="dxa"/>
        </w:tblCellMar>
      </w:tblPr>
      <w:tr>
        <w:trPr>
          <w:trHeight w:val="228"/>
        </w:trPr>
        <w:tc>
          <w:tcPr>
            <w:tcW w:w="26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2005.</w:t>
            </w:r>
          </w:p>
        </w:tc>
      </w:tr>
    </w:tbl>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we have provided or incorporated by reference in this prospectus. We have not authorized any person to provide you with additional or different information. We are not making an offer of these securities in any jurisdiction where the offer is not permitted.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prospectus may have changed since those dates.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70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12"/>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220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SCHLUMBERGER LIMITED</w:t>
              </w:r>
            </w:hyperlink>
          </w:p>
        </w:tc>
        <w:tc>
          <w:tcPr>
            <w:tcW w:w="1520" w:type="dxa"/>
            <w:vAlign w:val="bottom"/>
            <w:gridSpan w:val="3"/>
          </w:tcPr>
          <w:p>
            <w:pPr>
              <w:spacing w:after="0"/>
              <w:rPr>
                <w:sz w:val="24"/>
                <w:szCs w:val="24"/>
                <w:color w:val="auto"/>
              </w:rPr>
            </w:pPr>
          </w:p>
        </w:tc>
        <w:tc>
          <w:tcPr>
            <w:tcW w:w="77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860" w:type="dxa"/>
            <w:vAlign w:val="bottom"/>
            <w:gridSpan w:val="2"/>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STOCKHOLDERS</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PLAN OF DISTRIBUTION</w:t>
              </w:r>
            </w:hyperlink>
          </w:p>
        </w:tc>
        <w:tc>
          <w:tcPr>
            <w:tcW w:w="1560" w:type="dxa"/>
            <w:vAlign w:val="bottom"/>
            <w:gridSpan w:val="4"/>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COMMON STOCK</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840" w:type="dxa"/>
            <w:vAlign w:val="bottom"/>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2300" w:type="dxa"/>
            <w:vAlign w:val="bottom"/>
            <w:gridSpan w:val="7"/>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7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WHERE YOU CAN FIND MORE INFORMATION</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Founded in 1927, we are the world’s leading oilfield services company, supplying technology, project management, and information solutions that optimize performance in the oil and gas industry. As of December 31, 2004, we employed more than 52,000 people of over 140 nationalities operating in more than 80 countries. We have two business segments:</w:t>
      </w:r>
    </w:p>
    <w:p>
      <w:pPr>
        <w:spacing w:after="0" w:line="46" w:lineRule="exact"/>
        <w:rPr>
          <w:sz w:val="20"/>
          <w:szCs w:val="20"/>
          <w:color w:val="auto"/>
        </w:rPr>
      </w:pPr>
    </w:p>
    <w:p>
      <w:pPr>
        <w:ind w:left="900" w:right="1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Schlumberger Oilfield Services is the world’s premier oilfield services company supplying a wide range of technology services and solutions to the international oil and gas industry.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WesternGeco, jointly owned with Baker Hughes, is one of the world’s largest and most advanced surface seismic companies.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We are incorporated under the laws of the Netherlands Antilles. The mailing addresses and telephone numbers of our principal executive offices are:</w:t>
      </w:r>
    </w:p>
    <w:p>
      <w:pPr>
        <w:spacing w:after="0" w:line="10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153 East 53rd Street, 57th Floor, New York, New York, 10022-4624, 212-350-9400;</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42 Rue Saint-Dominique, Paris, France, 75007, 33-1-4062-1000;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Parkstraat 83, The Hague, The Netherlands 2514 JG, 31-70-310-5400.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securities. If any of the matters included in the following risks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presently known to us or that we currently deem immaterial may also adversely affect our business and operations.</w:t>
      </w:r>
    </w:p>
    <w:p>
      <w:pPr>
        <w:spacing w:after="0" w:line="93"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revenue.</w:t>
      </w:r>
    </w:p>
    <w:p>
      <w:pPr>
        <w:spacing w:after="0" w:line="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12"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energy, which is affected by worldwide population growth and general economic and business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or OPEC, to set and maintain production levels for oil;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conditions.</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harm our operating results.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more than 80 countries in which we operate.</w:t>
      </w:r>
    </w:p>
    <w:p>
      <w:pPr>
        <w:spacing w:after="0" w:line="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non-US operations accounted for approximately 68% of our consolidated revenues in 2004 and 70% of our consolidated revenues in 2003. Operations in countries other than the United States are subject to various risks, including:</w:t>
      </w:r>
    </w:p>
    <w:p>
      <w:pPr>
        <w:spacing w:after="0" w:line="3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possible expropriation or other governmental 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fluctuations and devaluations.</w:t>
      </w:r>
    </w:p>
    <w:p>
      <w:pPr>
        <w:spacing w:after="0" w:line="1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addition, we are subject to risks associated with our operations in countries, including Iran, Syria, Sudan, Libya and Cuba, which are subject to trade, economic sanctions or other restrictions imposed by the US government.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of the risks described above could reduce our earnings and our cash available for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131" w:lineRule="exact"/>
        <w:rPr>
          <w:sz w:val="20"/>
          <w:szCs w:val="20"/>
          <w:color w:val="auto"/>
        </w:rPr>
      </w:pPr>
    </w:p>
    <w:p>
      <w:pPr>
        <w:jc w:val="both"/>
        <w:ind w:right="100" w:firstLine="456"/>
        <w:spacing w:after="0" w:line="318" w:lineRule="auto"/>
        <w:rPr>
          <w:sz w:val="20"/>
          <w:szCs w:val="20"/>
          <w:color w:val="auto"/>
        </w:rPr>
      </w:pPr>
      <w:r>
        <w:rPr>
          <w:rFonts w:ascii="Arial" w:cs="Arial" w:eastAsia="Arial" w:hAnsi="Arial"/>
          <w:sz w:val="15"/>
          <w:szCs w:val="15"/>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Many of our oilfield products, such as directional drilling equipment, perforating systems, subsea completion equipment and well completion systems, are used in hostile environments, such as exploration, development and production applications. An accident or a failure of a product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9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revenue. Additionally, developing non-infringing technologies would increase our costs.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of 1933 (the “Securities Act”) and Section 21E of the Securities Exchange Act of 1934 (the “Exchange Act”). Forward-looking statements include the information concerning our possible or assumed future results of operations, including statements about the following subjects:</w:t>
      </w:r>
    </w:p>
    <w:p>
      <w:pPr>
        <w:spacing w:after="0" w:line="18"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and market outlook;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growth as a whole and growth for each of Oilfield Services and WesternGeco;</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and our customers’ business strategies;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and capital expenditures by us and the oil and gas industry;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depreciation and amortization expense;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funding of pension plans and related pension expense;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benefits from contract awards and performance of contracts;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outcomes of legal proceedings;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results of operations and/or financial position;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effective tax rates;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applicable laws.</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Forward-looking statements in this prospectus or in the documents incorporated by reference in this prospectus are generally identifiable by use of the following words and other similar expressions, among others:</w:t>
      </w:r>
    </w:p>
    <w:p>
      <w:pPr>
        <w:spacing w:after="0" w:line="118"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“anticipate”;</w:t>
            </w: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“estimate”;</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“may”;</w:t>
            </w: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“project”;</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“believe”;</w:t>
            </w: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“expect”;</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“might”;</w:t>
            </w: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“shall”;</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“budget”;</w:t>
            </w: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“forecast”;</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“plan”;</w:t>
            </w: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w w:val="91"/>
              </w:rPr>
              <w:t>“should”; and</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“could”;</w:t>
            </w: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“intend”;</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“predict”;</w:t>
            </w: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“will.”</w:t>
            </w:r>
          </w:p>
        </w:tc>
      </w:tr>
    </w:tbl>
    <w:p>
      <w:pPr>
        <w:spacing w:after="0" w:line="14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Assumptions, beliefs, expectations, intentions and projections about future events may and often do vary materially from actual results. Therefore, actual results may differ materially from those expressed or implied by our forward-looking statements. Some of the factors that could cause actual results to differ from those expressed or implied by our forward-looking statements are described in the “Risk Factors” section of this prospectus, in the “Management’s Discussion and Analysis of Financial Condition and Results of Operations” and “Business” sections of our Annual Report on Form 10-K for the fiscal year ended December 31, 2004, and in our subsequent filings with the Securities and Exchange Commission (“SEC”).</w:t>
      </w:r>
    </w:p>
    <w:p>
      <w:pPr>
        <w:spacing w:after="0" w:line="1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shares of common stock by the selling stockholders.</w:t>
      </w:r>
    </w:p>
    <w:p>
      <w:pPr>
        <w:spacing w:after="0" w:line="15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following table sets forth the total number of shares of our common stock held by each selling stockholder as of the date of this prospectus and the number of shares of our common stock of each selling stockholder offered by this prospectus. No estimate can be given as to the number of shares of our common stock that each selling stockholder will own after the sale of any shares under this prospectus, because the selling stockholders may offer all, some or none of their respective shares. No selling stockholder named in the table below owns or will own more than 1% of our outstanding common stock before or after the offering.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0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Number of Shares of</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20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0" w:type="dxa"/>
            <w:vAlign w:val="bottom"/>
          </w:tcPr>
          <w:p>
            <w:pPr>
              <w:spacing w:after="0"/>
              <w:rPr>
                <w:sz w:val="1"/>
                <w:szCs w:val="1"/>
                <w:color w:val="auto"/>
              </w:rPr>
            </w:pPr>
          </w:p>
        </w:tc>
      </w:tr>
      <w:tr>
        <w:trPr>
          <w:trHeight w:val="174"/>
        </w:trPr>
        <w:tc>
          <w:tcPr>
            <w:tcW w:w="83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Beneficially Owned(1)</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to be Offered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Janak Kumar Basnet</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15,722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Glen Bird</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7,861</w:t>
            </w:r>
          </w:p>
        </w:tc>
        <w:tc>
          <w:tcPr>
            <w:tcW w:w="1060" w:type="dxa"/>
            <w:vAlign w:val="bottom"/>
          </w:tcPr>
          <w:p>
            <w:pPr>
              <w:jc w:val="right"/>
              <w:spacing w:after="0"/>
              <w:rPr>
                <w:sz w:val="20"/>
                <w:szCs w:val="20"/>
                <w:color w:val="auto"/>
              </w:rPr>
            </w:pPr>
            <w:r>
              <w:rPr>
                <w:rFonts w:ascii="Arial" w:cs="Arial" w:eastAsia="Arial" w:hAnsi="Arial"/>
                <w:sz w:val="18"/>
                <w:szCs w:val="18"/>
                <w:color w:val="auto"/>
              </w:rPr>
              <w:t>7,861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Majoram Limited</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393,049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Alexander Yulievich Djaparidze</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235,829</w:t>
            </w:r>
          </w:p>
        </w:tc>
        <w:tc>
          <w:tcPr>
            <w:tcW w:w="1060" w:type="dxa"/>
            <w:vAlign w:val="bottom"/>
          </w:tcPr>
          <w:p>
            <w:pPr>
              <w:jc w:val="right"/>
              <w:spacing w:after="0"/>
              <w:rPr>
                <w:sz w:val="20"/>
                <w:szCs w:val="20"/>
                <w:color w:val="auto"/>
              </w:rPr>
            </w:pPr>
            <w:r>
              <w:rPr>
                <w:rFonts w:ascii="Arial" w:cs="Arial" w:eastAsia="Arial" w:hAnsi="Arial"/>
                <w:sz w:val="18"/>
                <w:szCs w:val="18"/>
                <w:color w:val="auto"/>
              </w:rPr>
              <w:t>235,829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Efraim Dory</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7,861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Alexander V. Gavura</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2,374</w:t>
            </w:r>
          </w:p>
        </w:tc>
        <w:tc>
          <w:tcPr>
            <w:tcW w:w="1060" w:type="dxa"/>
            <w:vAlign w:val="bottom"/>
          </w:tcPr>
          <w:p>
            <w:pPr>
              <w:jc w:val="right"/>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Martin Hansen</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31,443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Douglas Thompson</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1,556</w:t>
            </w:r>
          </w:p>
        </w:tc>
        <w:tc>
          <w:tcPr>
            <w:tcW w:w="1060" w:type="dxa"/>
            <w:vAlign w:val="bottom"/>
          </w:tcPr>
          <w:p>
            <w:pPr>
              <w:jc w:val="right"/>
              <w:spacing w:after="0"/>
              <w:rPr>
                <w:sz w:val="20"/>
                <w:szCs w:val="20"/>
                <w:color w:val="auto"/>
              </w:rPr>
            </w:pPr>
            <w:r>
              <w:rPr>
                <w:rFonts w:ascii="Arial" w:cs="Arial" w:eastAsia="Arial" w:hAnsi="Arial"/>
                <w:sz w:val="18"/>
                <w:szCs w:val="18"/>
                <w:color w:val="auto"/>
              </w:rPr>
              <w:t>1,556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Igor N. Kerysov</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3,153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Vassili Kyvelidi</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31,443</w:t>
            </w:r>
          </w:p>
        </w:tc>
        <w:tc>
          <w:tcPr>
            <w:tcW w:w="1060" w:type="dxa"/>
            <w:vAlign w:val="bottom"/>
          </w:tcPr>
          <w:p>
            <w:pPr>
              <w:jc w:val="right"/>
              <w:spacing w:after="0"/>
              <w:rPr>
                <w:sz w:val="20"/>
                <w:szCs w:val="20"/>
                <w:color w:val="auto"/>
              </w:rPr>
            </w:pPr>
            <w:r>
              <w:rPr>
                <w:rFonts w:ascii="Arial" w:cs="Arial" w:eastAsia="Arial" w:hAnsi="Arial"/>
                <w:sz w:val="18"/>
                <w:szCs w:val="18"/>
                <w:color w:val="auto"/>
              </w:rPr>
              <w:t>31,443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Vladimir V. Metlin</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3,153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Andrei Niziev</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138,345</w:t>
            </w:r>
          </w:p>
        </w:tc>
        <w:tc>
          <w:tcPr>
            <w:tcW w:w="1060" w:type="dxa"/>
            <w:vAlign w:val="bottom"/>
          </w:tcPr>
          <w:p>
            <w:pPr>
              <w:jc w:val="right"/>
              <w:spacing w:after="0"/>
              <w:rPr>
                <w:sz w:val="20"/>
                <w:szCs w:val="20"/>
                <w:color w:val="auto"/>
              </w:rPr>
            </w:pPr>
            <w:r>
              <w:rPr>
                <w:rFonts w:ascii="Arial" w:cs="Arial" w:eastAsia="Arial" w:hAnsi="Arial"/>
                <w:sz w:val="18"/>
                <w:szCs w:val="18"/>
                <w:color w:val="auto"/>
              </w:rPr>
              <w:t>138,345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PetroAlliance Directors, Officers and Employees Benefits Plan Limited</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45,119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PetroAlliance Stock Incentive Plan Limited</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177,651</w:t>
            </w:r>
          </w:p>
        </w:tc>
        <w:tc>
          <w:tcPr>
            <w:tcW w:w="1060" w:type="dxa"/>
            <w:vAlign w:val="bottom"/>
          </w:tcPr>
          <w:p>
            <w:pPr>
              <w:jc w:val="right"/>
              <w:spacing w:after="0"/>
              <w:rPr>
                <w:sz w:val="20"/>
                <w:szCs w:val="20"/>
                <w:color w:val="auto"/>
              </w:rPr>
            </w:pPr>
            <w:r>
              <w:rPr>
                <w:rFonts w:ascii="Arial" w:cs="Arial" w:eastAsia="Arial" w:hAnsi="Arial"/>
                <w:sz w:val="18"/>
                <w:szCs w:val="18"/>
                <w:color w:val="auto"/>
              </w:rPr>
              <w:t>177,651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The Rice Family Living Trust</w:t>
            </w:r>
            <w:r>
              <w:rPr>
                <w:rFonts w:ascii="Arial" w:cs="Arial" w:eastAsia="Arial" w:hAnsi="Arial"/>
                <w:sz w:val="22"/>
                <w:szCs w:val="22"/>
                <w:color w:val="auto"/>
                <w:vertAlign w:val="superscript"/>
              </w:rPr>
              <w:t>(2)</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27,225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Thomas A. Russell</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78,610</w:t>
            </w:r>
          </w:p>
        </w:tc>
        <w:tc>
          <w:tcPr>
            <w:tcW w:w="1060" w:type="dxa"/>
            <w:vAlign w:val="bottom"/>
          </w:tcPr>
          <w:p>
            <w:pPr>
              <w:jc w:val="right"/>
              <w:spacing w:after="0"/>
              <w:rPr>
                <w:sz w:val="20"/>
                <w:szCs w:val="20"/>
                <w:color w:val="auto"/>
              </w:rPr>
            </w:pPr>
            <w:r>
              <w:rPr>
                <w:rFonts w:ascii="Arial" w:cs="Arial" w:eastAsia="Arial" w:hAnsi="Arial"/>
                <w:sz w:val="18"/>
                <w:szCs w:val="18"/>
                <w:color w:val="auto"/>
              </w:rPr>
              <w:t>78,610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Murat Sampiev</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106,901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Isa Sharaputtinovich Shabanov</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15,722</w:t>
            </w:r>
          </w:p>
        </w:tc>
        <w:tc>
          <w:tcPr>
            <w:tcW w:w="1060" w:type="dxa"/>
            <w:vAlign w:val="bottom"/>
          </w:tcPr>
          <w:p>
            <w:pPr>
              <w:jc w:val="right"/>
              <w:spacing w:after="0"/>
              <w:rPr>
                <w:sz w:val="20"/>
                <w:szCs w:val="20"/>
                <w:color w:val="auto"/>
              </w:rPr>
            </w:pPr>
            <w:r>
              <w:rPr>
                <w:rFonts w:ascii="Arial" w:cs="Arial" w:eastAsia="Arial" w:hAnsi="Arial"/>
                <w:sz w:val="18"/>
                <w:szCs w:val="18"/>
                <w:color w:val="auto"/>
              </w:rPr>
              <w:t>15,722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Alexander Sizov</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138,345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Vladimir Stenin</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28,292</w:t>
            </w:r>
          </w:p>
        </w:tc>
        <w:tc>
          <w:tcPr>
            <w:tcW w:w="1060" w:type="dxa"/>
            <w:vAlign w:val="bottom"/>
          </w:tcPr>
          <w:p>
            <w:pPr>
              <w:jc w:val="right"/>
              <w:spacing w:after="0"/>
              <w:rPr>
                <w:sz w:val="20"/>
                <w:szCs w:val="20"/>
                <w:color w:val="auto"/>
              </w:rPr>
            </w:pPr>
            <w:r>
              <w:rPr>
                <w:rFonts w:ascii="Arial" w:cs="Arial" w:eastAsia="Arial" w:hAnsi="Arial"/>
                <w:sz w:val="18"/>
                <w:szCs w:val="18"/>
                <w:color w:val="auto"/>
              </w:rPr>
              <w:t>28,292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Alexander A. Vaigel</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15,722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Vadim E. Usakovsky</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35,374</w:t>
            </w:r>
          </w:p>
        </w:tc>
        <w:tc>
          <w:tcPr>
            <w:tcW w:w="1060" w:type="dxa"/>
            <w:vAlign w:val="bottom"/>
          </w:tcPr>
          <w:p>
            <w:pPr>
              <w:jc w:val="right"/>
              <w:spacing w:after="0"/>
              <w:rPr>
                <w:sz w:val="20"/>
                <w:szCs w:val="20"/>
                <w:color w:val="auto"/>
              </w:rPr>
            </w:pPr>
            <w:r>
              <w:rPr>
                <w:rFonts w:ascii="Arial" w:cs="Arial" w:eastAsia="Arial" w:hAnsi="Arial"/>
                <w:sz w:val="18"/>
                <w:szCs w:val="18"/>
                <w:color w:val="auto"/>
              </w:rPr>
              <w:t>35,374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1,540,750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94"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Shares of common stock subject to securities exercisable or convertible into shares of common stock that are currently exercisable or exercisable within 60 days of June 15, 2005, are deemed to be beneficially owned by the person holding such securities for the purpose of computing the percentage of ownership of such person, but are not treated as outstanding for the purpose of computing the percentage ownership of any other person. This information has been obtained from the selling stockholders, and we have not independently verified this information.</w:t>
      </w:r>
    </w:p>
    <w:p>
      <w:pPr>
        <w:spacing w:after="0" w:line="21"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William Rice and Karen Rice serve as trustees of The Rice Family Living Trust and they share investment and voting power with respect to the shares of our common stock beneficially owned by The Rice Family Living Trust.</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Each of the selling stockholders is a current or former security holder of PetroAlliance Services Company Limited immediately prior to our acquisition of interests in PetroAlliance Services Company Limited. 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set forth above, none of the selling stockholders has, or within the past three years has had, any position, office or other material relationship with us or, insofar as we are aware, any of our predecessors or affiliates.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by Selling Stockholders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are registering the shares of common stock on behalf of the selling stockholders pursuant to the terms of a registration rights agreement entered into in connection with our acquisition of interests in PetroAlliance Services Company Limited. A copy of the registration rights agreement has been filed as an exhibit to the registration statement of which this prospectus is a part.</w:t>
      </w:r>
    </w:p>
    <w:p>
      <w:pPr>
        <w:spacing w:after="0" w:line="12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Any or all of the selling stockholders may offer the shares of common stock from time to time, either in increments or in a single transaction. The selling stockholders may also decide not to sell all the shares of common stock they are allowed to sell under this prospectus. The selling stockholders will act independently of us in making decisions with respect to the timing, manner and size of each sale.</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Sale Transactions</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selling stockholders may sell the shares of common stock offered by this prospectus at market prices prevailing at the time of sale, at prices related to such prevailing market prices, at negotiated prices or at fixed prices that may be changed. Sales of shares of our common stock by the selling stockholders may occur from time to time in one or more of the following types of transactions (which may involve crosses or block transactions):</w:t>
      </w:r>
    </w:p>
    <w:p>
      <w:pPr>
        <w:spacing w:after="0" w:line="1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the New York Stock Exchange or any other securities exchange that quotes the common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transactions other than on those exchanges or in the over-the-counter market (including negotiated transactions and other private transactions);</w:t>
      </w:r>
    </w:p>
    <w:p>
      <w:pPr>
        <w:spacing w:after="0" w:line="126"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short sales (sales of shares completed by delivery of borrowed stock) of the common stock, in transactions to cover short sales or otherwise in connection with short sales;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pledge to secure debts and other obligations or on foreclosure of a pledge;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through put or call options, including the writing of exchange-traded call options, or other hedging transactions related to the common stock; or</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 combination of any of the above transactions.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stockholders may enter into hedging transactions from time to time in which a selling stockholder may:</w:t>
      </w:r>
    </w:p>
    <w:p>
      <w:pPr>
        <w:spacing w:after="0" w:line="77" w:lineRule="exact"/>
        <w:rPr>
          <w:sz w:val="20"/>
          <w:szCs w:val="20"/>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 broker-dealer or any other person in connection with which such broker-dealer or other person will engage in short sales of common stock, in which case such broker-dealer or other person may use shares of common stock received from the selling stockholder to close out its short positions;</w:t>
      </w:r>
    </w:p>
    <w:p>
      <w:pPr>
        <w:spacing w:after="0" w:line="45"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common stock short itself and redeliver shares offered by this prospectus to close out its short positions or to close out stock loans incurred in connection with its short positions;</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the selling stockholder to deliver common stock to a broker-dealer or any other person, who will then resell or transfer the common stock under this prospectus;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4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any other person, who may sell the loaned shares or, in an event of default in the case of a pledge, sell the pledged shares under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stockholders may use broker-dealers or other persons to sell their shares in transactions that may include one or more of the following:</w:t>
      </w:r>
    </w:p>
    <w:p>
      <w:pPr>
        <w:spacing w:after="0" w:line="10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block trade in which a broker-dealer or other person may resell a portion of the block, as principal or agent, in order to facilitate the transaction;</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by a broker-dealer or other person, as principal, and resale by the broker-dealer or other person for its account;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Resales by selling stockholders may be made directly to investors or through securities firms acting as underwriters, brokers or dealers. When resales are to be made through a securities firm, the securities firm may be engaged to act as the selling stockholder’s agent in the resale of the shares of common stock by the selling stockholder, or the securities firm may purchase shares of our common stock from the selling security holder as principal and thereafter resell those shares from time to time. The fees earned by or paid to the securities firm may be the normal stock exchange commission or negotiated commissions or underwriting discounts to the extent permissible. The securities firm may resell the securities through other securities dealers, and commissions or concessions to those other dealers may be allowed.</w:t>
      </w:r>
    </w:p>
    <w:p>
      <w:pPr>
        <w:spacing w:after="0" w:line="13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selling stockholders and any agent, broker or dealer that participates in sales of common stock offered by this prospectus may be deemed “underwriters” under the Securities Act, and any commissions or other consideration received by any agent, broker or dealer may be considered underwriting discounts or commissions under the Securities Act.</w:t>
      </w:r>
    </w:p>
    <w:p>
      <w:pPr>
        <w:spacing w:after="0" w:line="12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Instead of selling shares of common stock under this prospectus, the selling stockholders may sell shares of common stock in compliance with the provisions of Rule 144 under the Securities Act, if available.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M</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have informed the selling stockholders that the anti-manipulation provisions of Regulation M under the Exchange Act may apply to their sales of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Delivery Requirements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a selling stockholder may be deemed an underwriter, the selling stockholders must deliver this prospectus and any supplements to this prospectus in the manner required by the Securities Act. This might include delivery through the facilities of the New York Stock Exchange in accordance with Rule 153 under the Securities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Supplements; Post-Effective Amendments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our knowledge, there are currently no plans, arrangements or understandings between the selling stockholders and any broker-dealer or agent regarding the sale of common stock by the selling stockholders. To the extent required, the shares of common stock to be sold, the name of the selling stockholders, the respective purchase prices and public offering prices, the names of any agent, dealer or underwriter, and any applicable commissions or discounts with respect to a particular offer will be set forth in an accompanying prospectus supplement filed with the SEC under Rule 424(b) under the Securities Act or, if appropriate, a post-effective amendment to the shelf registration statement of which this prospectus is a part.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agreed to indemnify selling stockholders against certain liabilities arising under the Securities Act from sales of common stock. The selling stockholders may agree to indemnify any agent, broker or dealer that participates in sales of common stock against liabilities arising under the Securities Act from sales of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Effectiveness of Registration Statement</w:t>
      </w:r>
    </w:p>
    <w:p>
      <w:pPr>
        <w:spacing w:after="0" w:line="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Under the registration rights agreement, we will use our commercially reasonable efforts to keep the registration statement of which this prospectus is a part effective until the earlier of (1) the sale of all of the registrable securities registered under the registration statement; and (2) two years after the date of the second closing at which we acquired interests in PetroAlliance Services Company Limited.</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permitted to suspend the use of this prospectus for a period not to exceed 90 consecutive days and an aggregate of 150 days during any calendar year if the use of this prospectus would be significantly disadvantageous to us or our stockholders for any reason, including the existence, or in anticipation, of any acquisition, divestiture or financing activity involving us or the unavailability of any required financial statements, or any disclosure that would be required to be made or any other event or condition of similar significance to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this Offering</w:t>
      </w:r>
    </w:p>
    <w:p>
      <w:pPr>
        <w:spacing w:after="0" w:line="77"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We have agreed, among other things, to pay all expenses in connection with the registration and sale of the shares of common stock covered by this prospectus, other than underwriting fees, discounts, selling commissions and stock transfer taxes applicable to the sale of our common stock by the selling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summarizes the material terms of our capital stock. Reference is made to our articles of incorporation and our by-laws, each as amended to date. Please read “Where You Can Find More Information” for information on how to obtain a copy of our articles of incorporation or by-laws.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Issued and Treasury Shares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issue an aggregate of 1,500,000,000 shares of common stock, par value $0.01 per share. As of March 31, 2005, 667,106,015 shares were issued, of which 589,174,503 shares were outstanding and 77,931,512 shares were held by us as treasury stock.</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also issue an aggregate of 200,000,000 shares of preferred stock, par value $0.01 per share, which may be issued in one or more separate series. Under the articles of incorporation, our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prospectus.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outstanding shares of our common stock (</w:t>
      </w:r>
      <w:r>
        <w:rPr>
          <w:rFonts w:ascii="Arial" w:cs="Arial" w:eastAsia="Arial" w:hAnsi="Arial"/>
          <w:sz w:val="16"/>
          <w:szCs w:val="16"/>
          <w:i w:val="1"/>
          <w:iCs w:val="1"/>
          <w:color w:val="auto"/>
        </w:rPr>
        <w:t>i.e.</w:t>
      </w:r>
      <w:r>
        <w:rPr>
          <w:rFonts w:ascii="Arial" w:cs="Arial" w:eastAsia="Arial" w:hAnsi="Arial"/>
          <w:sz w:val="16"/>
          <w:szCs w:val="16"/>
          <w:color w:val="auto"/>
        </w:rPr>
        <w:t>,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time of distribution, our “equity” (i.e., our net asset value) at least equals the nominal capital (i.e., the aggregate par value of our outstanding shares) and as a result of the distribution will not fall below the nominal capital.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Entitlement to Vote</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Each holder of shares of common stock and each holder of preferred shares (if issued and outstanding) is entitled to one vote for each share registered in that holder’s name. Voting rights may be exercised in person or by proxy.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Quorum</w:t>
      </w:r>
    </w:p>
    <w:p>
      <w:pPr>
        <w:spacing w:after="0" w:line="77"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No action may be taken at any general meeting of stockholders unless a quorum consisting of the holders of at least one-half of the outstanding shares entitling the holders thereof to vote at such meeting are present at such meeting in person or by proxy. If a quorum is not present in person or by proxy at any general meeting of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us or the amendment of our articles of incorporation), valid resolutions may be adopted with respect to any matter stated in the notice of the original meeting and also in the notice of the second meeting or which by law is required to be brought before the stockholders despite the absence of a quorum.</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Required Vote</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general, any action requiring the approval of the stockholders may be authorized by a majority of the votes cast (excluding any abstentions) at any meeting at which a quorum is present (subject to the quorum exception described above).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sale or disposition of all or substantially all of our assets must be approved by the holders of at least a majority of the shares outstanding and entitled to vote, except that under the articles of incorporation this requirement does not apply to a reorganization or rearrangement of us or any of our subsidiaries or any of our assets in any transaction that does not result in any diminution of the beneficial interest of the stockholders in our assets.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articles of incorporation, the board of directors may move our corporate seat to, or convert us into a legal entity under the laws of, another jurisdiction, and may change our corporate domicile from the Netherlands Antilles to another jurisdiction to the extent allowed by applicable law. In certain cases, stockholder approval of such action may not be required under applicable law.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and Other Rights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shares of our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for our own account purchase shares of common stock so long as one share of common stock remains outstanding and our equity before and after such a purchase at least equals our nominal capital.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stockholders. The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accordance with applicable law, all general meetings of stockholders must be held in the Netherlands Antilles. The annual general meeting of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stockholders may be called at any time upon the direction of the chairman, the vice chairman, the chief executive officer, the president or the board of directors. Special general meetings of stockholders may also be called by one or more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Netherlands Antilles law, stockholders may not act by written consent without a meeting, unless all stockholders entitled to vote on the matter have cast a vote.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Buy-Out</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articles of incorporation, any one person, or any two or more legal entities belonging to the same group, holding shares representing at least 90% of our equity can require the remaining stockholders to transfer their shares as provided by and in accordance with the provisions of Netherlands Antilles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of liquidation, each share of common stock is entitled to equal rights after satisfaction of any preferred stock liquidation preference.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Agents and Registrars</w:t>
      </w:r>
    </w:p>
    <w:p>
      <w:pPr>
        <w:spacing w:after="0" w:line="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common stock is listed for trading on the New York Stock Exchange, The London Stock Exchange, Euronext Paris, Euronext Amsterdam and The SWS Swiss Exchange. The transfer agent and registrar for the common stock is EquiServe Trust Company, N.A., Canton, Massachusetts.</w:t>
      </w:r>
    </w:p>
    <w:p>
      <w:pPr>
        <w:spacing w:after="0" w:line="6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common stock will be passed upon for us by Ellen Summer, Esq., our General Counsel.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our website at www.slb.com and at the SEC’s website at www.sec.gov. You may also read and copy any document we file at the SEC’s public reference room at 450 Fifth Street N.W., Washington, D.C. 20549. Please call the SEC at 1-800-SEC-0330 for more information on the public reference rooms and their copy charges. You may also inspect our SEC reports and other information at the New York Stock Exchange, 20 Broad Street, New York, New York 10005.</w:t>
      </w:r>
    </w:p>
    <w:p>
      <w:pPr>
        <w:spacing w:after="0" w:line="9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This prospectus is part of a registration statement that we have filed with the SEC relating to the common stock. This prospectus does not contain all of the information we have included in the registration statement and the accompanying exhibits and schedules as permitted by the rules and regulations of the SEC, and we refer you to the omitted information. The statements this prospectus makes pertaining to the content of any contract, agreement or other document that is an exhibit to the registration statement are necessarily summaries of their material provisions, and we qualify them in their entirety by reference to those exhibits for complete statements of their provisions. The registration statement, exhibits and schedules are available at the SEC’s public reference room or through its website.</w:t>
      </w:r>
    </w:p>
    <w:p>
      <w:pPr>
        <w:spacing w:after="0" w:line="8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this document, we “incorporate by reference” certain information we file with the SEC, which means that we disclose important information to you by referring to that information. The information incorporated by reference is considered to be a part of this prospectus, and later information filed with the SEC will update and supersede this information. We incorporate by reference the documents listed below that we have previously filed with the SEC and any future filings we make with the SEC pursuant to Sections 13(a), 13(c), 14 and 15(d) of the Exchange Act after the date of this prospectus and until this offering is completed (other than information in such documents that is deemed not to be filed) and any filings we make with the SEC pursuant to Sections 13(a), 13(c), 14 and 15(d) of the Exchange Act after the date of the initial registration statement and prior to the effectiveness of the registration statement:</w:t>
      </w:r>
    </w:p>
    <w:p>
      <w:pPr>
        <w:spacing w:after="0" w:line="2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2004;</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2005;</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April 1, 2005, April 19, 2005 and April 22, 2005;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current report on Form 8-K filed with the SEC on April 29, 2005.</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telephoning us 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10022-4624</w:t>
      </w:r>
    </w:p>
    <w:p>
      <w:pPr>
        <w:spacing w:after="0" w:line="9" w:lineRule="exact"/>
        <w:rPr>
          <w:sz w:val="20"/>
          <w:szCs w:val="20"/>
          <w:color w:val="auto"/>
        </w:rPr>
      </w:pPr>
    </w:p>
    <w:p>
      <w:pPr>
        <w:ind w:left="5580" w:hanging="415"/>
        <w:spacing w:after="0"/>
        <w:tabs>
          <w:tab w:leader="none" w:pos="5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350-9400</w:t>
      </w:r>
    </w:p>
    <w:p>
      <w:pPr>
        <w:spacing w:after="0" w:line="32" w:lineRule="exact"/>
        <w:rPr>
          <w:rFonts w:ascii="Arial" w:cs="Arial" w:eastAsia="Arial" w:hAnsi="Arial"/>
          <w:sz w:val="16"/>
          <w:szCs w:val="16"/>
          <w:color w:val="auto"/>
        </w:rPr>
      </w:pPr>
    </w:p>
    <w:p>
      <w:pPr>
        <w:ind w:left="4700"/>
        <w:spacing w:after="0"/>
        <w:rPr>
          <w:rFonts w:ascii="Arial" w:cs="Arial" w:eastAsia="Arial" w:hAnsi="Arial"/>
          <w:sz w:val="16"/>
          <w:szCs w:val="16"/>
          <w:color w:val="auto"/>
        </w:rPr>
      </w:pPr>
      <w:r>
        <w:rPr>
          <w:rFonts w:ascii="Arial" w:cs="Arial" w:eastAsia="Arial" w:hAnsi="Arial"/>
          <w:sz w:val="18"/>
          <w:szCs w:val="18"/>
          <w:color w:val="auto"/>
        </w:rPr>
        <w:t>Attention: Investor Relations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subsequently filed document that is or is considered to be incorporated by reference modifies or supersedes that statement. Any statement that is modified or superseded shall not, except as so modified or superseded, constitute a part of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estimated expenses payable by Schlumberger Limited (the “Registrant”) in connection with the issuance and distribution of the securities being registered. All amounts shown are estimates, except the registration fee.</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Printing expenses</w:t>
            </w: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Article 10 of the Registrant’s Articles of Incorporation and Article V of the Registrant’s Amended and Restated By-Laws contain provisions providing for indemnification of the Registrant’s directors, officers, employees and agents. Article 10 of the Articles of Incorporation permits (but does not require) the Registrant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the Registrant’s Amended and Restated By-Laws contains mandatory indemnification for current and former directors and officers as described below.</w:t>
      </w:r>
    </w:p>
    <w:p>
      <w:pPr>
        <w:spacing w:after="0" w:line="13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or officer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of Control” means a change in control of the Registrant, which shall be deemed to have occurred if at any time (i) 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the Board of Directors in office immediately prior to such entity, person or organization attaining such percentage interest; (ii) the Registrant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Registrant’s stockholders was approved by a vote of at least two-thirds of the directors then still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office who were directors at the beginning of such period) cease for any reason to constitute at least a majority of the Board of Directors.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of Control (as defined above).</w:t>
      </w:r>
    </w:p>
    <w:p>
      <w:pPr>
        <w:spacing w:after="0" w:line="1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the Registrant only as authorized by the Chief Executive Officer or by contract approved, or by-laws, resolution or other action adopted or taken, by the board of directors or by the stockholders.</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w:t>
      </w:r>
    </w:p>
    <w:p>
      <w:pPr>
        <w:spacing w:after="0" w:line="9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Registrant may pay such expenses (including attorneys’ fees) incurred by former officers or other employees and agents upon such terms and conditions, if any, it deems appropriate.</w:t>
      </w:r>
    </w:p>
    <w:p>
      <w:pPr>
        <w:spacing w:after="0" w:line="11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Registrant has the power to purchase and maintain insurance on behalf of any person who is or was a director, officer, employee or agent of the Registrant, or is or was serving at the request of the Registrant in such a capacity for another corporation, partnership, joint venture, trust or other enterprise or entity against any liability asserted against that person and incurred by that person in any of those capacities or arising out of such person’s status as such, whether or not the Registrant would have the power to indemnify such person against such liability.</w:t>
      </w:r>
    </w:p>
    <w:p>
      <w:pPr>
        <w:spacing w:after="0" w:line="9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References to the Registrant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02"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 member of the Board of Directors, or a member of any committee designated by the Board of Directors, shall, in the performance of such member’s duties, be fully protected in relying in good faith upon the records of the Registrant and upon such information, opinions, reports or statements presented to the Registrant by any of the Registrant’s officers or employees, or committees of the Board of Directors, or by any other person as to matters the member reasonably believes are within such other person’s professional or expert competence and who has been selected with reasonable care by or on behalf of the Registrant.</w:t>
      </w:r>
    </w:p>
    <w:p>
      <w:pPr>
        <w:spacing w:after="0" w:line="8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certain liabilities that the officers and directors of the Registrant may incur in such capacities.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159" w:lineRule="exact"/>
        <w:rPr>
          <w:sz w:val="20"/>
          <w:szCs w:val="20"/>
          <w:color w:val="auto"/>
        </w:rPr>
      </w:pPr>
    </w:p>
    <w:p>
      <w:pPr>
        <w:ind w:left="140"/>
        <w:spacing w:after="0"/>
        <w:tabs>
          <w:tab w:leader="none" w:pos="14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032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10" w:lineRule="exact"/>
        <w:rPr>
          <w:sz w:val="20"/>
          <w:szCs w:val="20"/>
          <w:color w:val="auto"/>
        </w:rPr>
      </w:pPr>
    </w:p>
    <w:p>
      <w:pPr>
        <w:ind w:left="1480" w:right="140" w:hanging="847"/>
        <w:spacing w:after="0" w:line="259" w:lineRule="auto"/>
        <w:tabs>
          <w:tab w:leader="none" w:pos="14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Articles of Incorporation of Schlumberger N.V. (Schlumberger Limited) as last amended and restated on April 13, 2005 (incorporated by reference to Appendix 1 to Schlumberger’s definitive proxy statement for the 2005 Annual General Meeting of Stockholders held on April 13, 2005).</w:t>
      </w:r>
    </w:p>
    <w:p>
      <w:pPr>
        <w:spacing w:after="0" w:line="86" w:lineRule="exact"/>
        <w:rPr>
          <w:sz w:val="20"/>
          <w:szCs w:val="20"/>
          <w:color w:val="auto"/>
        </w:rPr>
      </w:pPr>
    </w:p>
    <w:p>
      <w:pPr>
        <w:ind w:left="1480" w:hanging="847"/>
        <w:spacing w:after="0" w:line="268" w:lineRule="auto"/>
        <w:tabs>
          <w:tab w:leader="none" w:pos="14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Amended and Restated Bylaws of Schlumberger N.V. (Schlumberger Limited) as last amended on April 21, 2005 (incorporated by reference to Exhibit 3.1 to Schlumberger’s Form 8-K filed on April 22, 2005).</w:t>
      </w:r>
    </w:p>
    <w:p>
      <w:pPr>
        <w:spacing w:after="0" w:line="78" w:lineRule="exact"/>
        <w:rPr>
          <w:sz w:val="20"/>
          <w:szCs w:val="20"/>
          <w:color w:val="auto"/>
        </w:rPr>
      </w:pPr>
    </w:p>
    <w:p>
      <w:pPr>
        <w:ind w:left="540"/>
        <w:spacing w:after="0"/>
        <w:tabs>
          <w:tab w:leader="none" w:pos="14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Registration Rights Agreement, dated as of May 27, 2004, by and between Schlumberger and the other parties thereto.</w:t>
      </w:r>
    </w:p>
    <w:p>
      <w:pPr>
        <w:spacing w:after="0" w:line="117" w:lineRule="exact"/>
        <w:rPr>
          <w:sz w:val="20"/>
          <w:szCs w:val="20"/>
          <w:color w:val="auto"/>
        </w:rPr>
      </w:pPr>
    </w:p>
    <w:p>
      <w:pPr>
        <w:ind w:left="540"/>
        <w:spacing w:after="0"/>
        <w:tabs>
          <w:tab w:leader="none" w:pos="14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Opinion of Ellen Summer, Esq. regarding the legality of the securities being offered.</w:t>
      </w:r>
    </w:p>
    <w:p>
      <w:pPr>
        <w:spacing w:after="0" w:line="117"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117"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Consent of Ellen Summer, Esq. (included in Exhibit 5.1).</w:t>
      </w:r>
    </w:p>
    <w:p>
      <w:pPr>
        <w:spacing w:after="0" w:line="117" w:lineRule="exact"/>
        <w:rPr>
          <w:sz w:val="20"/>
          <w:szCs w:val="20"/>
          <w:color w:val="auto"/>
        </w:rPr>
      </w:pPr>
    </w:p>
    <w:p>
      <w:pPr>
        <w:ind w:left="460"/>
        <w:spacing w:after="0"/>
        <w:tabs>
          <w:tab w:leader="none" w:pos="14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right="8180" w:firstLine="8"/>
        <w:spacing w:after="0" w:line="346"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as indicated. ** Previously filed.</w:t>
      </w:r>
    </w:p>
    <w:p>
      <w:pPr>
        <w:spacing w:after="0" w:line="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83" w:lineRule="exact"/>
        <w:rPr>
          <w:sz w:val="20"/>
          <w:szCs w:val="20"/>
          <w:color w:val="auto"/>
        </w:rPr>
      </w:pPr>
    </w:p>
    <w:p>
      <w:pPr>
        <w:ind w:left="700" w:hanging="23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w:t>
      </w:r>
    </w:p>
    <w:p>
      <w:pPr>
        <w:spacing w:after="0" w:line="52" w:lineRule="exact"/>
        <w:rPr>
          <w:rFonts w:ascii="Arial" w:cs="Arial" w:eastAsia="Arial" w:hAnsi="Arial"/>
          <w:sz w:val="18"/>
          <w:szCs w:val="18"/>
          <w:color w:val="auto"/>
        </w:rPr>
      </w:pPr>
    </w:p>
    <w:p>
      <w:pPr>
        <w:ind w:left="920" w:right="240" w:firstLine="421"/>
        <w:spacing w:after="0" w:line="268" w:lineRule="auto"/>
        <w:tabs>
          <w:tab w:leader="none" w:pos="1647" w:val="left"/>
        </w:tabs>
        <w:numPr>
          <w:ilvl w:val="2"/>
          <w:numId w:val="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37"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provided, however, that the undertakings set forth in paragraphs (a)(1)(i) and (a)(1)(ii) 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pacing w:after="0" w:line="46" w:lineRule="exact"/>
        <w:rPr>
          <w:sz w:val="20"/>
          <w:szCs w:val="20"/>
          <w:color w:val="auto"/>
        </w:rPr>
      </w:pPr>
    </w:p>
    <w:p>
      <w:pPr>
        <w:ind w:left="460" w:right="20" w:firstLine="443"/>
        <w:spacing w:after="0" w:line="259"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right="80" w:firstLine="464"/>
        <w:spacing w:after="0" w:line="255"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160" w:firstLine="464"/>
        <w:spacing w:after="0" w:line="289"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the State of New York, on June 15, 2005.</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 and Chief Financial Officer</w:t>
      </w:r>
    </w:p>
    <w:p>
      <w:pPr>
        <w:spacing w:after="0" w:line="17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June 15, 2005 in the capacities indicated.</w:t>
      </w:r>
    </w:p>
    <w:p>
      <w:pPr>
        <w:spacing w:after="0" w:line="114" w:lineRule="exact"/>
        <w:rPr>
          <w:sz w:val="20"/>
          <w:szCs w:val="20"/>
          <w:color w:val="auto"/>
        </w:rPr>
      </w:pPr>
    </w:p>
    <w:p>
      <w:pPr>
        <w:ind w:left="264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68580</wp:posOffset>
            </wp:positionV>
            <wp:extent cx="3689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68580</wp:posOffset>
            </wp:positionV>
            <wp:extent cx="1974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w w:val="90"/>
              </w:rPr>
              <w:t>Director, Chairman and Chief Executive Officer (Principal Executive</w:t>
            </w:r>
          </w:p>
        </w:tc>
        <w:tc>
          <w:tcPr>
            <w:tcW w:w="0" w:type="dxa"/>
            <w:vAlign w:val="bottom"/>
          </w:tcPr>
          <w:p>
            <w:pPr>
              <w:spacing w:after="0"/>
              <w:rPr>
                <w:sz w:val="1"/>
                <w:szCs w:val="1"/>
                <w:color w:val="auto"/>
              </w:rPr>
            </w:pPr>
          </w:p>
        </w:tc>
      </w:tr>
      <w:tr>
        <w:trPr>
          <w:trHeight w:val="116"/>
        </w:trPr>
        <w:tc>
          <w:tcPr>
            <w:tcW w:w="5820" w:type="dxa"/>
            <w:vAlign w:val="bottom"/>
            <w:tcBorders>
              <w:bottom w:val="single" w:sz="8" w:color="auto"/>
            </w:tcBorders>
          </w:tcPr>
          <w:p>
            <w:pPr>
              <w:spacing w:after="0"/>
              <w:rPr>
                <w:sz w:val="10"/>
                <w:szCs w:val="10"/>
                <w:color w:val="auto"/>
              </w:rPr>
            </w:pPr>
          </w:p>
        </w:tc>
        <w:tc>
          <w:tcPr>
            <w:tcW w:w="5340" w:type="dxa"/>
            <w:vAlign w:val="bottom"/>
            <w:vMerge w:val="restart"/>
          </w:tcPr>
          <w:p>
            <w:pPr>
              <w:ind w:left="4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6"/>
        </w:trPr>
        <w:tc>
          <w:tcPr>
            <w:tcW w:w="5820" w:type="dxa"/>
            <w:vAlign w:val="bottom"/>
            <w:vMerge w:val="restart"/>
          </w:tcPr>
          <w:p>
            <w:pPr>
              <w:jc w:val="center"/>
              <w:spacing w:after="0"/>
              <w:rPr>
                <w:sz w:val="20"/>
                <w:szCs w:val="20"/>
                <w:color w:val="auto"/>
              </w:rPr>
            </w:pPr>
            <w:r>
              <w:rPr>
                <w:rFonts w:ascii="Arial" w:cs="Arial" w:eastAsia="Arial" w:hAnsi="Arial"/>
                <w:sz w:val="18"/>
                <w:szCs w:val="18"/>
                <w:color w:val="auto"/>
                <w:w w:val="91"/>
              </w:rPr>
              <w:t>Andrew Gould</w:t>
            </w:r>
          </w:p>
        </w:tc>
        <w:tc>
          <w:tcPr>
            <w:tcW w:w="5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820" w:type="dxa"/>
            <w:vAlign w:val="bottom"/>
          </w:tcPr>
          <w:p>
            <w:pPr>
              <w:jc w:val="center"/>
              <w:spacing w:after="0"/>
              <w:rPr>
                <w:sz w:val="20"/>
                <w:szCs w:val="20"/>
                <w:color w:val="auto"/>
              </w:rPr>
            </w:pPr>
            <w:r>
              <w:rPr>
                <w:rFonts w:ascii="Arial" w:cs="Arial" w:eastAsia="Arial" w:hAnsi="Arial"/>
                <w:sz w:val="18"/>
                <w:szCs w:val="18"/>
                <w:color w:val="auto"/>
                <w:w w:val="86"/>
              </w:rPr>
              <w:t>/s/ Jean-Marc Perraud</w:t>
            </w:r>
          </w:p>
        </w:tc>
        <w:tc>
          <w:tcPr>
            <w:tcW w:w="5340" w:type="dxa"/>
            <w:vAlign w:val="bottom"/>
          </w:tcPr>
          <w:p>
            <w:pPr>
              <w:ind w:left="460"/>
              <w:spacing w:after="0"/>
              <w:rPr>
                <w:sz w:val="20"/>
                <w:szCs w:val="20"/>
                <w:color w:val="auto"/>
              </w:rPr>
            </w:pPr>
            <w:r>
              <w:rPr>
                <w:rFonts w:ascii="Arial" w:cs="Arial" w:eastAsia="Arial" w:hAnsi="Arial"/>
                <w:sz w:val="18"/>
                <w:szCs w:val="18"/>
                <w:color w:val="auto"/>
                <w:w w:val="97"/>
              </w:rPr>
              <w:t>Executive Vice President and Chief Financial Officer (Principal</w:t>
            </w:r>
          </w:p>
        </w:tc>
        <w:tc>
          <w:tcPr>
            <w:tcW w:w="0" w:type="dxa"/>
            <w:vAlign w:val="bottom"/>
          </w:tcPr>
          <w:p>
            <w:pPr>
              <w:spacing w:after="0"/>
              <w:rPr>
                <w:sz w:val="1"/>
                <w:szCs w:val="1"/>
                <w:color w:val="auto"/>
              </w:rPr>
            </w:pPr>
          </w:p>
        </w:tc>
      </w:tr>
      <w:tr>
        <w:trPr>
          <w:trHeight w:val="116"/>
        </w:trPr>
        <w:tc>
          <w:tcPr>
            <w:tcW w:w="5820" w:type="dxa"/>
            <w:vAlign w:val="bottom"/>
            <w:tcBorders>
              <w:bottom w:val="single" w:sz="8" w:color="auto"/>
            </w:tcBorders>
          </w:tcPr>
          <w:p>
            <w:pPr>
              <w:spacing w:after="0"/>
              <w:rPr>
                <w:sz w:val="10"/>
                <w:szCs w:val="10"/>
                <w:color w:val="auto"/>
              </w:rPr>
            </w:pPr>
          </w:p>
        </w:tc>
        <w:tc>
          <w:tcPr>
            <w:tcW w:w="5340" w:type="dxa"/>
            <w:vAlign w:val="bottom"/>
            <w:vMerge w:val="restart"/>
          </w:tcPr>
          <w:p>
            <w:pPr>
              <w:ind w:left="46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86"/>
        </w:trPr>
        <w:tc>
          <w:tcPr>
            <w:tcW w:w="5820" w:type="dxa"/>
            <w:vAlign w:val="bottom"/>
            <w:vMerge w:val="restart"/>
          </w:tcPr>
          <w:p>
            <w:pPr>
              <w:jc w:val="center"/>
              <w:spacing w:after="0"/>
              <w:rPr>
                <w:sz w:val="20"/>
                <w:szCs w:val="20"/>
                <w:color w:val="auto"/>
              </w:rPr>
            </w:pPr>
            <w:r>
              <w:rPr>
                <w:rFonts w:ascii="Arial" w:cs="Arial" w:eastAsia="Arial" w:hAnsi="Arial"/>
                <w:sz w:val="18"/>
                <w:szCs w:val="18"/>
                <w:color w:val="auto"/>
                <w:w w:val="85"/>
              </w:rPr>
              <w:t>Jean-Marc Perraud</w:t>
            </w:r>
          </w:p>
        </w:tc>
        <w:tc>
          <w:tcPr>
            <w:tcW w:w="5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w w:val="88"/>
              </w:rPr>
              <w:t>/s/ Frank A. Sorgie</w:t>
            </w:r>
          </w:p>
        </w:tc>
        <w:tc>
          <w:tcPr>
            <w:tcW w:w="5340" w:type="dxa"/>
            <w:vAlign w:val="bottom"/>
          </w:tcPr>
          <w:p>
            <w:pPr>
              <w:ind w:left="460"/>
              <w:spacing w:after="0"/>
              <w:rPr>
                <w:sz w:val="20"/>
                <w:szCs w:val="20"/>
                <w:color w:val="auto"/>
              </w:rPr>
            </w:pPr>
            <w:r>
              <w:rPr>
                <w:rFonts w:ascii="Arial" w:cs="Arial" w:eastAsia="Arial" w:hAnsi="Arial"/>
                <w:sz w:val="18"/>
                <w:szCs w:val="18"/>
                <w:color w:val="auto"/>
              </w:rPr>
              <w:t>Chief Accounting Officer (Principal Accounting Officer)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9"/>
              </w:rPr>
              <w:t>Frank A. Sorgie</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7"/>
              </w:rPr>
              <w:t>John Deutch</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7"/>
              </w:rPr>
              <w:t>Jamie S. Gorelick</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6"/>
              </w:rPr>
              <w:t>Tony Isaac</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90"/>
              </w:rPr>
              <w:t>Adrian Lajous</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91"/>
              </w:rPr>
              <w:t>Andre Levy-Lang</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20" w:type="dxa"/>
            <w:vAlign w:val="bottom"/>
            <w:tcBorders>
              <w:bottom w:val="single" w:sz="8" w:color="auto"/>
            </w:tcBorders>
          </w:tcPr>
          <w:p>
            <w:pPr>
              <w:spacing w:after="0"/>
              <w:rPr>
                <w:sz w:val="24"/>
                <w:szCs w:val="24"/>
                <w:color w:val="auto"/>
              </w:rPr>
            </w:pPr>
          </w:p>
        </w:tc>
        <w:tc>
          <w:tcPr>
            <w:tcW w:w="5340" w:type="dxa"/>
            <w:vAlign w:val="bottom"/>
            <w:vMerge w:val="restart"/>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6"/>
        </w:trPr>
        <w:tc>
          <w:tcPr>
            <w:tcW w:w="5820" w:type="dxa"/>
            <w:vAlign w:val="bottom"/>
            <w:vMerge w:val="restart"/>
          </w:tcPr>
          <w:p>
            <w:pPr>
              <w:jc w:val="center"/>
              <w:spacing w:after="0"/>
              <w:rPr>
                <w:sz w:val="20"/>
                <w:szCs w:val="20"/>
                <w:color w:val="auto"/>
              </w:rPr>
            </w:pPr>
            <w:r>
              <w:rPr>
                <w:rFonts w:ascii="Arial" w:cs="Arial" w:eastAsia="Arial" w:hAnsi="Arial"/>
                <w:sz w:val="18"/>
                <w:szCs w:val="18"/>
                <w:color w:val="auto"/>
                <w:w w:val="92"/>
              </w:rPr>
              <w:t>Michael E. Marks</w:t>
            </w:r>
          </w:p>
        </w:tc>
        <w:tc>
          <w:tcPr>
            <w:tcW w:w="5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gridSpan w:val="2"/>
          </w:tcPr>
          <w:p>
            <w:pPr>
              <w:jc w:val="center"/>
              <w:ind w:left="117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Didier Primat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2"/>
          </w:tcPr>
          <w:p>
            <w:pPr>
              <w:jc w:val="center"/>
              <w:ind w:left="117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Tore I. Sandvold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2"/>
          </w:tcPr>
          <w:p>
            <w:pPr>
              <w:jc w:val="center"/>
              <w:ind w:left="117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Nicolas Seydoux</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2"/>
          </w:tcPr>
          <w:p>
            <w:pPr>
              <w:jc w:val="center"/>
              <w:ind w:left="117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Linda G. Stuntz</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60" w:type="dxa"/>
            <w:vAlign w:val="bottom"/>
            <w:vMerge w:val="restart"/>
          </w:tcPr>
          <w:p>
            <w:pPr>
              <w:ind w:left="46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54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6"/>
              </w:rPr>
              <w:t>Rana Talwar</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5820" w:type="dxa"/>
            <w:vAlign w:val="bottom"/>
            <w:gridSpan w:val="3"/>
          </w:tcPr>
          <w:p>
            <w:pPr>
              <w:spacing w:after="0"/>
              <w:rPr>
                <w:sz w:val="20"/>
                <w:szCs w:val="20"/>
                <w:color w:val="auto"/>
              </w:rPr>
            </w:pPr>
            <w:r>
              <w:rPr>
                <w:rFonts w:ascii="Arial" w:cs="Arial" w:eastAsia="Arial" w:hAnsi="Arial"/>
                <w:sz w:val="18"/>
                <w:szCs w:val="18"/>
                <w:color w:val="auto"/>
              </w:rPr>
              <w:t>*By: /s/ Ellen Summer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42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Ellen Summer, Attorney-in-Fact</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23.1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March 1, 2005 relating to the financial statements, management’s assessment of the effectiveness of internal control over financial reporting and the effectiveness of internal control over financial reporting of Schlumberger Limited, which appears in Schlumberger Limited’s Annual Report on Form 10-K for the year ended December 31, 2004. We also consent to the reference to us under the heading “Experts” in such Registration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910"/>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212"/>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
    <w:nsid w:val="4E6AFB66"/>
    <w:multiLevelType w:val="hybridMultilevel"/>
    <w:lvl w:ilvl="0">
      <w:lvlJc w:val="left"/>
      <w:lvlText w:val="%1"/>
      <w:numFmt w:val="lowerLetter"/>
      <w:start w:val="1"/>
    </w:lvl>
    <w:lvl w:ilvl="1">
      <w:lvlJc w:val="left"/>
      <w:lvlText w:val="(%2)"/>
      <w:numFmt w:val="decimal"/>
      <w:start w:val="2"/>
    </w:lvl>
  </w:abstractNum>
  <w:abstractNum w:abstractNumId="16">
    <w:nsid w:val="25E45D32"/>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2019-12-12T10:11:28Z</dcterms:created>
  <dcterms:modified xsi:type="dcterms:W3CDTF">2019-12-12T10:11:28Z</dcterms:modified>
</cp:coreProperties>
</file>