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253365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17,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272415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jc w:val="center"/>
              <w:ind w:right="776"/>
              <w:spacing w:after="0"/>
              <w:rPr>
                <w:sz w:val="20"/>
                <w:szCs w:val="20"/>
                <w:color w:val="auto"/>
              </w:rPr>
            </w:pPr>
            <w:r>
              <w:rPr>
                <w:rFonts w:ascii="Arial" w:cs="Arial" w:eastAsia="Arial" w:hAnsi="Arial"/>
                <w:sz w:val="18"/>
                <w:szCs w:val="18"/>
                <w:b w:val="1"/>
                <w:bCs w:val="1"/>
                <w:color w:val="auto"/>
                <w:w w:val="88"/>
              </w:rPr>
              <w:t>Netherlands Antilles</w:t>
            </w:r>
          </w:p>
        </w:tc>
        <w:tc>
          <w:tcPr>
            <w:tcW w:w="3440" w:type="dxa"/>
            <w:vAlign w:val="bottom"/>
          </w:tcPr>
          <w:p>
            <w:pPr>
              <w:jc w:val="right"/>
              <w:ind w:right="1862"/>
              <w:spacing w:after="0"/>
              <w:rPr>
                <w:sz w:val="20"/>
                <w:szCs w:val="20"/>
                <w:color w:val="auto"/>
              </w:rPr>
            </w:pPr>
            <w:r>
              <w:rPr>
                <w:rFonts w:ascii="Arial" w:cs="Arial" w:eastAsia="Arial" w:hAnsi="Arial"/>
                <w:sz w:val="18"/>
                <w:szCs w:val="18"/>
                <w:b w:val="1"/>
                <w:bCs w:val="1"/>
                <w:color w:val="auto"/>
              </w:rPr>
              <w:t>1-4601</w:t>
            </w:r>
          </w:p>
        </w:tc>
        <w:tc>
          <w:tcPr>
            <w:tcW w:w="3540" w:type="dxa"/>
            <w:vAlign w:val="bottom"/>
          </w:tcPr>
          <w:p>
            <w:pPr>
              <w:jc w:val="right"/>
              <w:ind w:right="1298"/>
              <w:spacing w:after="0"/>
              <w:rPr>
                <w:sz w:val="20"/>
                <w:szCs w:val="20"/>
                <w:color w:val="auto"/>
              </w:rPr>
            </w:pPr>
            <w:r>
              <w:rPr>
                <w:rFonts w:ascii="Arial" w:cs="Arial" w:eastAsia="Arial" w:hAnsi="Arial"/>
                <w:sz w:val="18"/>
                <w:szCs w:val="18"/>
                <w:b w:val="1"/>
                <w:bCs w:val="1"/>
                <w:color w:val="auto"/>
              </w:rPr>
              <w:t>52-0684746</w:t>
            </w:r>
          </w:p>
        </w:tc>
      </w:tr>
      <w:tr>
        <w:trPr>
          <w:trHeight w:val="174"/>
        </w:trPr>
        <w:tc>
          <w:tcPr>
            <w:tcW w:w="4440" w:type="dxa"/>
            <w:vAlign w:val="bottom"/>
          </w:tcPr>
          <w:p>
            <w:pPr>
              <w:jc w:val="center"/>
              <w:ind w:right="776"/>
              <w:spacing w:after="0"/>
              <w:rPr>
                <w:sz w:val="20"/>
                <w:szCs w:val="20"/>
                <w:color w:val="auto"/>
              </w:rPr>
            </w:pPr>
            <w:r>
              <w:rPr>
                <w:rFonts w:ascii="Arial" w:cs="Arial" w:eastAsia="Arial" w:hAnsi="Arial"/>
                <w:sz w:val="14"/>
                <w:szCs w:val="14"/>
                <w:b w:val="1"/>
                <w:bCs w:val="1"/>
                <w:color w:val="auto"/>
                <w:w w:val="88"/>
              </w:rPr>
              <w:t>(State or other jurisdiction of incorporation)</w:t>
            </w:r>
          </w:p>
        </w:tc>
        <w:tc>
          <w:tcPr>
            <w:tcW w:w="3440" w:type="dxa"/>
            <w:vAlign w:val="bottom"/>
          </w:tcPr>
          <w:p>
            <w:pPr>
              <w:jc w:val="center"/>
              <w:ind w:right="842"/>
              <w:spacing w:after="0"/>
              <w:rPr>
                <w:sz w:val="20"/>
                <w:szCs w:val="20"/>
                <w:color w:val="auto"/>
              </w:rPr>
            </w:pPr>
            <w:r>
              <w:rPr>
                <w:rFonts w:ascii="Arial" w:cs="Arial" w:eastAsia="Arial" w:hAnsi="Arial"/>
                <w:sz w:val="14"/>
                <w:szCs w:val="14"/>
                <w:b w:val="1"/>
                <w:bCs w:val="1"/>
                <w:color w:val="auto"/>
                <w:w w:val="87"/>
              </w:rPr>
              <w:t>(Commission File Number)</w:t>
            </w:r>
          </w:p>
        </w:tc>
        <w:tc>
          <w:tcPr>
            <w:tcW w:w="3540" w:type="dxa"/>
            <w:vAlign w:val="bottom"/>
          </w:tcPr>
          <w:p>
            <w:pPr>
              <w:jc w:val="right"/>
              <w:ind w:right="738"/>
              <w:spacing w:after="0"/>
              <w:rPr>
                <w:sz w:val="20"/>
                <w:szCs w:val="20"/>
                <w:color w:val="auto"/>
              </w:rPr>
            </w:pPr>
            <w:r>
              <w:rPr>
                <w:rFonts w:ascii="Arial" w:cs="Arial" w:eastAsia="Arial" w:hAnsi="Arial"/>
                <w:sz w:val="14"/>
                <w:szCs w:val="14"/>
                <w:b w:val="1"/>
                <w:bCs w:val="1"/>
                <w:color w:val="auto"/>
              </w:rPr>
              <w:t>(IRS Employer Identification No.)</w:t>
            </w:r>
          </w:p>
        </w:tc>
      </w:tr>
      <w:tr>
        <w:trPr>
          <w:trHeight w:val="486"/>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88"/>
              </w:rPr>
              <w:t>153 East 53rd Street, 57th Floor</w:t>
            </w:r>
          </w:p>
        </w:tc>
        <w:tc>
          <w:tcPr>
            <w:tcW w:w="34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90"/>
              </w:rPr>
              <w:t>New York, New York</w:t>
            </w:r>
          </w:p>
        </w:tc>
        <w:tc>
          <w:tcPr>
            <w:tcW w:w="3440" w:type="dxa"/>
            <w:vAlign w:val="bottom"/>
          </w:tcPr>
          <w:p>
            <w:pPr>
              <w:spacing w:after="0"/>
              <w:rPr>
                <w:sz w:val="19"/>
                <w:szCs w:val="19"/>
                <w:color w:val="auto"/>
              </w:rPr>
            </w:pPr>
          </w:p>
        </w:tc>
        <w:tc>
          <w:tcPr>
            <w:tcW w:w="3540" w:type="dxa"/>
            <w:vAlign w:val="bottom"/>
          </w:tcPr>
          <w:p>
            <w:pPr>
              <w:jc w:val="right"/>
              <w:ind w:right="2278"/>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88"/>
              </w:rPr>
              <w:t>42, rue Saint-Dominique</w:t>
            </w:r>
          </w:p>
        </w:tc>
        <w:tc>
          <w:tcPr>
            <w:tcW w:w="34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90"/>
              </w:rPr>
              <w:t>Paris, France</w:t>
            </w:r>
          </w:p>
        </w:tc>
        <w:tc>
          <w:tcPr>
            <w:tcW w:w="3440" w:type="dxa"/>
            <w:vAlign w:val="bottom"/>
          </w:tcPr>
          <w:p>
            <w:pPr>
              <w:spacing w:after="0"/>
              <w:rPr>
                <w:sz w:val="19"/>
                <w:szCs w:val="19"/>
                <w:color w:val="auto"/>
              </w:rPr>
            </w:pPr>
          </w:p>
        </w:tc>
        <w:tc>
          <w:tcPr>
            <w:tcW w:w="3540" w:type="dxa"/>
            <w:vAlign w:val="bottom"/>
          </w:tcPr>
          <w:p>
            <w:pPr>
              <w:jc w:val="center"/>
              <w:ind w:right="1938"/>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89"/>
              </w:rPr>
              <w:t>Parkstraat 83,</w:t>
            </w:r>
          </w:p>
        </w:tc>
        <w:tc>
          <w:tcPr>
            <w:tcW w:w="34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88"/>
              </w:rPr>
              <w:t>The Hague,</w:t>
            </w:r>
          </w:p>
        </w:tc>
        <w:tc>
          <w:tcPr>
            <w:tcW w:w="34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18"/>
        </w:trPr>
        <w:tc>
          <w:tcPr>
            <w:tcW w:w="4440" w:type="dxa"/>
            <w:vAlign w:val="bottom"/>
          </w:tcPr>
          <w:p>
            <w:pPr>
              <w:jc w:val="center"/>
              <w:ind w:left="1016"/>
              <w:spacing w:after="0"/>
              <w:rPr>
                <w:sz w:val="20"/>
                <w:szCs w:val="20"/>
                <w:color w:val="auto"/>
              </w:rPr>
            </w:pPr>
            <w:r>
              <w:rPr>
                <w:rFonts w:ascii="Arial" w:cs="Arial" w:eastAsia="Arial" w:hAnsi="Arial"/>
                <w:sz w:val="18"/>
                <w:szCs w:val="18"/>
                <w:b w:val="1"/>
                <w:bCs w:val="1"/>
                <w:color w:val="auto"/>
                <w:w w:val="89"/>
              </w:rPr>
              <w:t>The Netherlands</w:t>
            </w:r>
          </w:p>
        </w:tc>
        <w:tc>
          <w:tcPr>
            <w:tcW w:w="3440" w:type="dxa"/>
            <w:vAlign w:val="bottom"/>
          </w:tcPr>
          <w:p>
            <w:pPr>
              <w:spacing w:after="0"/>
              <w:rPr>
                <w:sz w:val="18"/>
                <w:szCs w:val="18"/>
                <w:color w:val="auto"/>
              </w:rPr>
            </w:pPr>
          </w:p>
        </w:tc>
        <w:tc>
          <w:tcPr>
            <w:tcW w:w="3540" w:type="dxa"/>
            <w:vAlign w:val="bottom"/>
          </w:tcPr>
          <w:p>
            <w:pPr>
              <w:jc w:val="center"/>
              <w:ind w:right="1918"/>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440" w:type="dxa"/>
            <w:vAlign w:val="bottom"/>
          </w:tcPr>
          <w:p>
            <w:pPr>
              <w:jc w:val="center"/>
              <w:ind w:left="1016"/>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440" w:type="dxa"/>
            <w:vAlign w:val="bottom"/>
          </w:tcPr>
          <w:p>
            <w:pPr>
              <w:spacing w:after="0"/>
              <w:rPr>
                <w:sz w:val="15"/>
                <w:szCs w:val="15"/>
                <w:color w:val="auto"/>
              </w:rPr>
            </w:pPr>
          </w:p>
        </w:tc>
        <w:tc>
          <w:tcPr>
            <w:tcW w:w="3540" w:type="dxa"/>
            <w:vAlign w:val="bottom"/>
          </w:tcPr>
          <w:p>
            <w:pPr>
              <w:jc w:val="center"/>
              <w:ind w:right="1918"/>
              <w:spacing w:after="0"/>
              <w:rPr>
                <w:sz w:val="20"/>
                <w:szCs w:val="20"/>
                <w:color w:val="auto"/>
              </w:rPr>
            </w:pPr>
            <w:r>
              <w:rPr>
                <w:rFonts w:ascii="Arial" w:cs="Arial" w:eastAsia="Arial" w:hAnsi="Arial"/>
                <w:sz w:val="14"/>
                <w:szCs w:val="14"/>
                <w:b w:val="1"/>
                <w:bCs w:val="1"/>
                <w:color w:val="auto"/>
                <w:w w:val="86"/>
              </w:rPr>
              <w:t>(Zip or Postal Codes)</w:t>
            </w:r>
          </w:p>
        </w:tc>
      </w:tr>
      <w:tr>
        <w:trPr>
          <w:trHeight w:val="498"/>
        </w:trPr>
        <w:tc>
          <w:tcPr>
            <w:tcW w:w="7880" w:type="dxa"/>
            <w:vAlign w:val="bottom"/>
            <w:gridSpan w:val="2"/>
          </w:tcPr>
          <w:p>
            <w:pPr>
              <w:ind w:left="2360"/>
              <w:spacing w:after="0"/>
              <w:rPr>
                <w:sz w:val="20"/>
                <w:szCs w:val="20"/>
                <w:color w:val="auto"/>
              </w:rPr>
            </w:pPr>
            <w:r>
              <w:rPr>
                <w:rFonts w:ascii="Arial" w:cs="Arial" w:eastAsia="Arial" w:hAnsi="Arial"/>
                <w:sz w:val="18"/>
                <w:szCs w:val="18"/>
                <w:b w:val="1"/>
                <w:bCs w:val="1"/>
                <w:color w:val="auto"/>
                <w:w w:val="88"/>
              </w:rPr>
              <w:t>Registrant’s telephone number in the United States, including area code:</w:t>
            </w:r>
          </w:p>
        </w:tc>
        <w:tc>
          <w:tcPr>
            <w:tcW w:w="3540" w:type="dxa"/>
            <w:vAlign w:val="bottom"/>
          </w:tcPr>
          <w:p>
            <w:pPr>
              <w:jc w:val="right"/>
              <w:ind w:right="2278"/>
              <w:spacing w:after="0"/>
              <w:rPr>
                <w:sz w:val="20"/>
                <w:szCs w:val="20"/>
                <w:color w:val="auto"/>
              </w:rPr>
            </w:pPr>
            <w:r>
              <w:rPr>
                <w:rFonts w:ascii="Arial" w:cs="Arial" w:eastAsia="Arial" w:hAnsi="Arial"/>
                <w:sz w:val="18"/>
                <w:szCs w:val="18"/>
                <w:b w:val="1"/>
                <w:bCs w:val="1"/>
                <w:color w:val="auto"/>
                <w:w w:val="94"/>
              </w:rPr>
              <w:t>(212) 350-9400</w:t>
            </w:r>
          </w:p>
        </w:tc>
      </w:tr>
      <w:tr>
        <w:trPr>
          <w:trHeight w:val="431"/>
        </w:trPr>
        <w:tc>
          <w:tcPr>
            <w:tcW w:w="44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 w:name="page2"/>
    <w:bookmarkEnd w:id="1"/>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OTHER EVENTS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of the Company has adopted a new Section 2.8 of its By-Laws establishing a procedure for handling shareholders’ requests that a legal claim be brought on behalf of the Company against one or more of its directors for breach of duty to the Company under applicable law (a “Legal Claim”). If the Board receives a written demand for a Legal Claim from a shareholder that gives notice of supporting evidence, the By-Laws provide that the Board must conduct a review and evaluation of the demand to determine whether the bringing of a legal claim as requested would be in the best interests of the Company. The bylaw contains certain procedures in connection with such a request.</w:t>
      </w:r>
    </w:p>
    <w:p>
      <w:pPr>
        <w:spacing w:after="0" w:line="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164" w:lineRule="exact"/>
        <w:rPr>
          <w:sz w:val="20"/>
          <w:szCs w:val="20"/>
          <w:color w:val="auto"/>
        </w:rPr>
      </w:pPr>
    </w:p>
    <w:p>
      <w:pPr>
        <w:ind w:left="800" w:hanging="33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1120" w:hanging="217"/>
        <w:spacing w:after="0"/>
        <w:tabs>
          <w:tab w:leader="none" w:pos="11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Schlumberger Limited By-Laws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(SCHLUMBERGER LIMITED)</w:t>
      </w:r>
    </w:p>
    <w:p>
      <w:pPr>
        <w:spacing w:after="0" w:line="200" w:lineRule="exact"/>
        <w:rPr>
          <w:sz w:val="20"/>
          <w:szCs w:val="20"/>
          <w:color w:val="auto"/>
        </w:rPr>
      </w:pPr>
    </w:p>
    <w:p>
      <w:pPr>
        <w:spacing w:after="0" w:line="23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F</w:t>
      </w:r>
      <w:r>
        <w:rPr>
          <w:rFonts w:ascii="Arial" w:cs="Arial" w:eastAsia="Arial" w:hAnsi="Arial"/>
          <w:sz w:val="14"/>
          <w:szCs w:val="14"/>
          <w:color w:val="auto"/>
        </w:rPr>
        <w:t>RANK</w:t>
      </w:r>
      <w:r>
        <w:rPr>
          <w:rFonts w:ascii="Arial" w:cs="Arial" w:eastAsia="Arial" w:hAnsi="Arial"/>
          <w:sz w:val="18"/>
          <w:szCs w:val="18"/>
          <w:color w:val="auto"/>
        </w:rPr>
        <w:t xml:space="preserve"> A. S</w:t>
      </w:r>
      <w:r>
        <w:rPr>
          <w:rFonts w:ascii="Arial" w:cs="Arial" w:eastAsia="Arial" w:hAnsi="Arial"/>
          <w:sz w:val="14"/>
          <w:szCs w:val="14"/>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80010</wp:posOffset>
            </wp:positionV>
            <wp:extent cx="1697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4"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Frank A. Sorgie</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4"/>
          <w:szCs w:val="14"/>
          <w:b w:val="1"/>
          <w:bCs w:val="1"/>
          <w:i w:val="1"/>
          <w:iCs w:val="1"/>
          <w:color w:val="auto"/>
        </w:rPr>
        <w:t>Chief Accounting Officer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2003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4/17/2003</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264160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20" w:right="120" w:firstLine="420"/>
        <w:spacing w:after="0" w:line="268" w:lineRule="auto"/>
        <w:rPr>
          <w:sz w:val="20"/>
          <w:szCs w:val="20"/>
          <w:color w:val="auto"/>
        </w:rPr>
      </w:pPr>
      <w:r>
        <w:rPr>
          <w:rFonts w:ascii="Arial" w:cs="Arial" w:eastAsia="Arial" w:hAnsi="Arial"/>
          <w:sz w:val="18"/>
          <w:szCs w:val="18"/>
          <w:color w:val="auto"/>
        </w:rPr>
        <w:t>(Certain provisions of the By-Laws correspond to provisions contained in the Deed of Incorporation as amended, and any amendment of such provisions of the By-Laws is subject to an appropriate amendment of the Deed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149225</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SHAREHOLDERS</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5"/>
          <w:szCs w:val="15"/>
          <w:b w:val="1"/>
          <w:bCs w:val="1"/>
          <w:u w:val="single" w:color="auto"/>
          <w:color w:val="auto"/>
        </w:rPr>
        <w:t>Place of Meetings: Chairmanship of Meetings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general meetings of shareholders shall be held in Curaçao, Bonaire, St. Eustatius, Saba or the Dutch part of St. Maarten. All such general meetings shall be presided over by the Chairman or, in his absence or disability, by the Vice Chairman. In the absence or disability of both the Chairman and the Vice Chairman, such meetings shall be presided over by such other person as may be designated by the Board of Directors.</w:t>
      </w:r>
    </w:p>
    <w:p>
      <w:pPr>
        <w:spacing w:after="0" w:line="87"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b w:val="1"/>
          <w:bCs w:val="1"/>
          <w:u w:val="single" w:color="auto"/>
          <w:color w:val="auto"/>
        </w:rPr>
        <w:t>Annual Meeting</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annual general meeting of shareholders shall be held within the period required by applicable law, on a date determined from year to year by the Board of Directors, for the purpose of electing directors, reporting on the course of business during the preceding fiscal year, adopting of the balance sheet and the profit and loss accounts for the preceding fiscal year and for any other purposes required by law, and for such additional purposes as may be specified in the notice of such meeting.</w:t>
      </w:r>
    </w:p>
    <w:p>
      <w:pPr>
        <w:spacing w:after="0" w:line="124"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5"/>
          <w:szCs w:val="15"/>
          <w:b w:val="1"/>
          <w:bCs w:val="1"/>
          <w:u w:val="single" w:color="auto"/>
          <w:color w:val="auto"/>
        </w:rPr>
        <w:t>Special Meetings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Special general meetings of shareholders may be called at any time upon the direction of the Chairman, the Vice Chairman, the Chief Executive Officer, the President or the Board of Directors or in the manner provided in Article 82 of the Code of Commerce of the Netherlands Antilles, or by one or more holders of shares representing in the aggregate a majority of the shares of stock then outstanding, or as provided for in Article 8.5 of the Deed of Incorporation.</w:t>
      </w:r>
    </w:p>
    <w:p>
      <w:pPr>
        <w:sectPr>
          <w:pgSz w:w="11900" w:h="16838" w:orient="portrait"/>
          <w:cols w:equalWidth="0" w:num="1">
            <w:col w:w="11420"/>
          </w:cols>
          <w:pgMar w:left="240" w:top="274" w:right="239" w:bottom="1440" w:gutter="0" w:footer="0" w:header="0"/>
        </w:sectPr>
      </w:pPr>
    </w:p>
    <w:bookmarkStart w:id="3" w:name="page4"/>
    <w:bookmarkEnd w:id="3"/>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w:t>
      </w:r>
      <w:r>
        <w:rPr>
          <w:sz w:val="20"/>
          <w:szCs w:val="20"/>
          <w:color w:val="auto"/>
        </w:rPr>
        <w:tab/>
      </w:r>
      <w:r>
        <w:rPr>
          <w:rFonts w:ascii="Arial" w:cs="Arial" w:eastAsia="Arial" w:hAnsi="Arial"/>
          <w:sz w:val="16"/>
          <w:szCs w:val="16"/>
          <w:b w:val="1"/>
          <w:bCs w:val="1"/>
          <w:u w:val="single" w:color="auto"/>
          <w:color w:val="auto"/>
        </w:rPr>
        <w:t>Notice of Meeting</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All notices of general meetings of shareholders shall state the matters to be considered at the meeting. Notice of meetings of shareholders, whether annual general meetings or special general meetings, stating the time and place of the meeting, shall be given to the shareholders not less than 20 and no more than 60 days prior to the date of the meeting in question by notice to each shareholder at the address thereof appearing in the share register.</w:t>
      </w:r>
    </w:p>
    <w:p>
      <w:pPr>
        <w:spacing w:after="0" w:line="87"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5"/>
          <w:szCs w:val="15"/>
          <w:b w:val="1"/>
          <w:bCs w:val="1"/>
          <w:u w:val="single" w:color="auto"/>
          <w:color w:val="auto"/>
        </w:rPr>
        <w:t>Closing of Transfer Books or Fixing of Record Date</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the purpose of determining shareholders entitled to notice of or to vote at any general meeting of shareholders, or entitled to receive payment of any dividend, or in order to make a determination of shareholders for any other proper purpose (but excluding determinations made as provided in Section 1.7 of these By-Laws with respect to action by shareholders without meeting), the Board of Directors of the Company may provide that the stock transfer books shall be closed for a stated period but not to exceed, in any case, 60 days. If the stock transfer books shall be closed for the purpose of determining shareholders entitled to notice of or to vote at a general meeting of shareholders, such books shall be closed for at least 10 days immediately preceding such meeting. In lieu of closing the stock transfer books, the Board of Directors may fix in advance a date as the record date for any such determination of shareholders, such date in any case to be not more than 60 days and, in case of a general meeting of shareholders, not less than 10 days prior to the date on which the particular action requiring such determination of shareholders is to be taken. If the stock transfer books are not closed and no record date is fixed for the determination of shareholders entitled to notice of or to vote at a general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general meeting of shareholders has been made as herein provided, such determination shall apply to any adjournment thereof except where the determination has been made through the closing of stock transfer books, and the stated period of closing has expired.</w:t>
      </w:r>
    </w:p>
    <w:p>
      <w:pPr>
        <w:spacing w:after="0" w:line="10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b w:val="1"/>
          <w:bCs w:val="1"/>
          <w:u w:val="single" w:color="auto"/>
          <w:color w:val="auto"/>
        </w:rPr>
        <w:t>Quorum</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Except as otherwise provided herein, no action may be taken at any general meeting of shareholders unless a quorum consisting of the holders of at least one-half of the outstanding shares is present at such meeting in person or by proxy. If a quorum is not present in person or by proxy at any general meeting of shareholders, a second general meeting shall be called in the same manner as such original meeting of shareholders, to be held within two months, at which second meeting, regardless of the number of shares represented (but subject to the provisions of Articles 18, 19 and 21 of the Deed of Incorporation), valid resolutions may be adopted with respect to any matter stated in the notice of the original meeting and also in the notice of such second meeting or which, by law, is required to be brought before the shareholders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4" w:name="page5"/>
    <w:bookmarkEnd w:id="4"/>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despite the absence of a quorum. Subject to the provisions of Articles 18, 19 and 21 of the Deed of Incorporation, a majority of the votes cast (excluding any abstentions) shall be necessary to adopt any resolution at any general meeting of shareholders.</w:t>
      </w:r>
    </w:p>
    <w:p>
      <w:pPr>
        <w:spacing w:after="0" w:line="112"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6"/>
          <w:szCs w:val="16"/>
          <w:b w:val="1"/>
          <w:bCs w:val="1"/>
          <w:u w:val="single" w:color="auto"/>
          <w:color w:val="auto"/>
        </w:rPr>
        <w:t>Action by Shareholders Without Meeting</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As provided in Article 20 of the Deed of Incorporation, any action which, by law or by the Deed of Incorporation, is required or permitted to be taken at a general meeting of shareholders may be taken without a meeting if taken by the written consent of the holder or holders of at least the majority of the shares of the Company outstanding and entitled to vote. Each shareholder may evidence such consent by separate instrument which may be executed by the shareholder or by a duly appointed proxy on behalf of the shareholder. Notice of any action proposed to be taken under said Article 20 shall be given to each shareholder at the address appearing in the share register, such notice to designate the date on or before which such written consent must be received by the Secretary of the Company in order to be counted. Any shareholder may revoke his or her consent by instrument received by the Secretary of the Company on or before the date so designated or before written consents from the holders of the absolute majority of the shares outstanding and entitled to vote have been received by the Secretary of the Company, whichever first occurs, and not thereafter. For the purpose of determining shareholders entitled to notice of and or give written consent to any action proposed to be taken under said Article 20, the Board of Directors of the Company may provide that the stock transfer books shall be closed for a stated period not to exceed 60 days. Such books shall be closed for at least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shareholders, such date to be not more than 60 days prior to the date on or before which written consents must be received by the Secretary of the Company in order to be counted. If the stock transfer books are not closed and no record date is fixed for the determination of shareholders, the date on which notice of the action proposed to be taken hereunder is given, shall be the record date for such determination of shareholders.</w:t>
      </w:r>
    </w:p>
    <w:p>
      <w:pPr>
        <w:spacing w:after="0" w:line="8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5"/>
          <w:szCs w:val="15"/>
          <w:b w:val="1"/>
          <w:bCs w:val="1"/>
          <w:u w:val="single" w:color="auto"/>
          <w:color w:val="auto"/>
        </w:rPr>
        <w:t>Notices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Without limiting the manner by which notice otherwise may be given effectively to shareholders or directors, any notice given by the Company shall be effective if given by a form of electronic transmission consented to by the person to whom the notice is given. Any such consent shall be revocable by written notice received by the Company. All notices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8" w:right="2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has been given by a form of electronic transmission shall, in the absence of fraud or bad faith, be prima facie evidence of the facts stated therein. For purposes of these By-Laws, “electronic transmission” means any form of communication, not directly involving the physical transmission of paper, that creates a record that may be retained, retrieved, and reviewed by a recipient thereof.</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30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b w:val="1"/>
          <w:bCs w:val="1"/>
          <w:u w:val="single" w:color="auto"/>
          <w:color w:val="auto"/>
        </w:rPr>
        <w:t>General Powers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management of all the affairs, property and business of the Company shall be vested in a Board of Directors who shall have and may exercise all powers except such as are exclusively conferred upon shareholders by law or by the Deed of Incorporation of the Company as from time to time amended. The Board of Directors may delegate such of its powers as it deems appropriate to committees consisting of one or more members of the Board and to the officers and other agents of the Company.</w:t>
      </w:r>
    </w:p>
    <w:p>
      <w:pPr>
        <w:spacing w:after="0" w:line="124"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b w:val="1"/>
          <w:bCs w:val="1"/>
          <w:u w:val="single" w:color="auto"/>
          <w:color w:val="auto"/>
        </w:rPr>
        <w:t>Number, Tenure and Qualifications</w:t>
      </w:r>
    </w:p>
    <w:p>
      <w:pPr>
        <w:spacing w:after="0" w:line="83" w:lineRule="exact"/>
        <w:rPr>
          <w:sz w:val="20"/>
          <w:szCs w:val="20"/>
          <w:color w:val="auto"/>
        </w:rPr>
      </w:pPr>
    </w:p>
    <w:p>
      <w:pPr>
        <w:ind w:right="20" w:firstLine="456"/>
        <w:spacing w:after="0" w:line="263" w:lineRule="auto"/>
        <w:rPr>
          <w:sz w:val="20"/>
          <w:szCs w:val="20"/>
          <w:color w:val="auto"/>
        </w:rPr>
      </w:pPr>
      <w:r>
        <w:rPr>
          <w:rFonts w:ascii="Arial" w:cs="Arial" w:eastAsia="Arial" w:hAnsi="Arial"/>
          <w:sz w:val="17"/>
          <w:szCs w:val="17"/>
          <w:color w:val="auto"/>
        </w:rPr>
        <w:t>The directors shall be elected at the annual general meeting of shareholders by a majority of the votes cast by the shareholders entitled to vote. The number of persons constituting the whole Board of Directors shall not be less than five nor more than twenty-four as fixed and elected by the general meeting of shareholders. The number of persons constituting the whole Board of Directors shall, until changed at any succeeding general meeting of shareholders</w:t>
      </w:r>
      <w:r>
        <w:rPr>
          <w:rFonts w:ascii="Arial" w:cs="Arial" w:eastAsia="Arial" w:hAnsi="Arial"/>
          <w:sz w:val="21"/>
          <w:szCs w:val="21"/>
          <w:color w:val="auto"/>
          <w:vertAlign w:val="subscript"/>
        </w:rPr>
        <w:t>,</w:t>
      </w:r>
      <w:r>
        <w:rPr>
          <w:rFonts w:ascii="Arial" w:cs="Arial" w:eastAsia="Arial" w:hAnsi="Arial"/>
          <w:sz w:val="17"/>
          <w:szCs w:val="17"/>
          <w:color w:val="auto"/>
        </w:rPr>
        <w:t xml:space="preserve"> be the number so fixed and elected. Directors may be removed at any general meeting of shareholders. At any general meeting of shareholders at which action is taken to increase the number of the whole Board of Directors or to remove a director, or at any subsequent general meeting, the shareholders may fill any vacancy or vacancies created by such action. Each director shall be elected to serve until the next annual general meeting of shareholders and until his or her successor shall be elected and qualified or until his or her death, resignation or removal. Directors need not be Netherlands citizens or residents of the Netherlands Antilles or shareholders of the Company.</w:t>
      </w:r>
    </w:p>
    <w:p>
      <w:pPr>
        <w:spacing w:after="0" w:line="12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5"/>
          <w:szCs w:val="15"/>
          <w:b w:val="1"/>
          <w:bCs w:val="1"/>
          <w:u w:val="single" w:color="auto"/>
          <w:color w:val="auto"/>
        </w:rPr>
        <w:t>Meetings of the Board</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directors may hold their meetings in or outside the Netherlands Antilles.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Chairman or, in the absence or disability of the Chairman, the Vice Chairman shall preside at their meetings. In the absence or disability of both the Chairman and the Vice Chairman, such meetings shall be presided over by such person as may be chosen by the Board of Directors. Regular meetings of the Board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28" w:right="279" w:bottom="1440" w:gutter="0" w:footer="0" w:header="0"/>
        </w:sectPr>
      </w:pPr>
    </w:p>
    <w:bookmarkStart w:id="6" w:name="page7"/>
    <w:bookmarkEnd w:id="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Directors shall be held at such times as may from time to time be fixed by the Board. Notice need not be given of regular meetings of the Board held at the time fixed by the Board. Special meetings may be held at any time upon the call of the Chairman or the Vice Chairman or of two directors by oral, electronic or written notice duly served on, sent or mailed to each director not less than three days before such meeting. The first meeting of the Board of Directors following the annual general meeting of shareholders, whether a regular or special meeting of the Board, shall be an organization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9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b w:val="1"/>
          <w:bCs w:val="1"/>
          <w:u w:val="single" w:color="auto"/>
          <w:color w:val="auto"/>
        </w:rPr>
        <w:t>Action by Directors Without Meeting</w:t>
      </w:r>
    </w:p>
    <w:p>
      <w:pPr>
        <w:spacing w:after="0" w:line="8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When action by the Board of Directors is required or permitted to be taken, action at a meeting may be dispensed with if all commercially reasonable efforts have been taken to notify all the directors and three fourths of the directors shall consent in writing, by telegram, cable, telex, telefax, electronic mail or other communication device to such action taken or being taken, and provided that all directors are promptly notified of such action taken or having been taken.</w:t>
      </w:r>
    </w:p>
    <w:p>
      <w:pPr>
        <w:spacing w:after="0" w:line="6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b w:val="1"/>
          <w:bCs w:val="1"/>
          <w:u w:val="single" w:color="auto"/>
          <w:color w:val="auto"/>
        </w:rPr>
        <w:t>Quorum</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 Directors may, by telegram, cable, telex,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9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5"/>
          <w:szCs w:val="15"/>
          <w:b w:val="1"/>
          <w:bCs w:val="1"/>
          <w:u w:val="single" w:color="auto"/>
          <w:color w:val="auto"/>
        </w:rPr>
        <w:t>Vacancies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shareholders, provided that, if at any time the number of directors then in office shall be reduced to less than a majority of the number constituting the whole Board of Directors, the remaining directors or director shall forthwith call a general meeting of shareholders for the purpose of filling the vacancies in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28" w:right="259" w:bottom="1440" w:gutter="0" w:footer="0" w:header="0"/>
        </w:sectPr>
      </w:pPr>
    </w:p>
    <w:bookmarkStart w:id="7" w:name="page8"/>
    <w:bookmarkEnd w:id="7"/>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forthwith call a general meeting of shareholders for the purpose of electing a Board of Directors. If no such general meeting of shareholders shall be called and if no such person shall have been appointed, any person or persons holding, in the aggregate, at least five percent of the outstanding shares of stock of the Company may call a general meeting of shareholders for the purpose of electing a Board of Directors.</w:t>
      </w:r>
    </w:p>
    <w:p>
      <w:pPr>
        <w:spacing w:after="0" w:line="12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b w:val="1"/>
          <w:bCs w:val="1"/>
          <w:u w:val="single" w:color="auto"/>
          <w:color w:val="auto"/>
        </w:rPr>
        <w:t>Committees</w:t>
      </w:r>
    </w:p>
    <w:p>
      <w:pPr>
        <w:spacing w:after="0" w:line="83" w:lineRule="exact"/>
        <w:rPr>
          <w:sz w:val="20"/>
          <w:szCs w:val="20"/>
          <w:color w:val="auto"/>
        </w:rPr>
      </w:pPr>
    </w:p>
    <w:p>
      <w:pPr>
        <w:ind w:left="460" w:right="40" w:hanging="452"/>
        <w:spacing w:after="0" w:line="288"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telegram, cable, telex, telefax, electronic mail or other communication device, appoint a proxy to act at any meeting of the committee, such proxy to be restricted, however, to the particular meeting specified therein. Such proxy must be a director of the Company, provided, however, that at any committee meeting a director may not act as proxy for more than one committee member.</w:t>
      </w:r>
    </w:p>
    <w:p>
      <w:pPr>
        <w:spacing w:after="0" w:line="106"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Board shall have power at any time to change the members of any committee, to fill vacancies thereon, and to discharge any committee.</w:t>
      </w:r>
    </w:p>
    <w:p>
      <w:pPr>
        <w:spacing w:after="0" w:line="180"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Board of Directors shall have a standing Audit Committee, Compensation Committee, Finance Committee and Nominating Committee.</w:t>
      </w:r>
    </w:p>
    <w:p>
      <w:pPr>
        <w:spacing w:after="0" w:line="180"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shall adopt a charter for each committee for regulating the conduct of its affairs. Such charters must be consistent with these By-Laws and the Deed of Incorporation.</w:t>
      </w:r>
    </w:p>
    <w:p>
      <w:pPr>
        <w:spacing w:after="0" w:line="17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u w:val="single" w:color="auto"/>
          <w:color w:val="auto"/>
        </w:rPr>
        <w:t>Certain Claims Involving Directors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Board of Directors receives a written demand by a shareholder requesting the Board of Directors to bring a legal claim on behalf of the Company against one or more directors of the Company for breach of a director’s duty to the Company under applicable law, and if the demand gives notice to the Board of Directors, of evidence of the facts necessary to support each of the claims made therein, the Board of Directors shall conduct a review and evaluation of the demand to determine whether the bringing of a legal claim as requested in the demand would be in the best interests of the Company. The following procedural standards shall apply to the review and evaluation of the demand and determination of best interest by the Board of Directors: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28" w:right="279" w:bottom="1440" w:gutter="0" w:footer="0" w:header="0"/>
        </w:sectPr>
      </w:pPr>
    </w:p>
    <w:bookmarkStart w:id="8" w:name="page9"/>
    <w:bookmarkEnd w:id="8"/>
    <w:p>
      <w:pPr>
        <w:ind w:left="900" w:right="1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director interested in one or more of the claims of breach of duty shall participate other than as described in clause (3) below, and if any of the directors interested in a claim is an officer of the Company, no director who is an officer of the Company shall participate other than as described in clause (3).</w:t>
      </w:r>
    </w:p>
    <w:p>
      <w:pPr>
        <w:spacing w:after="0" w:line="126"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118"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ARTICLE Ill</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b w:val="1"/>
          <w:bCs w:val="1"/>
          <w:u w:val="single" w:color="auto"/>
          <w:color w:val="auto"/>
        </w:rPr>
        <w:t>Election and Term of Office</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officers of the Company shall be elected by the Board of Directors and shall be a Chairman, a Chief Executive Officer, a Secretary and a Treasurer. The Board of Directors from time to time may also elect or appoint a Chief Financial Officer, a President, a Vice Chairman of the Board of Directors,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 Directors. Officers other than the Chairman and the Vice Chairman may but need not be directors. The Board of Directors may designate an officer or officers to be the Chief Financial Officer and the Chief Accounting Officer of the Company. Two or more offices may be held by the same person, provided, however, that no officer shall execute, acknowledge or verify any instrument in more than one capacity if such instrument is required by law or by these By-Laws to be executed, acknowledged or verified by any two or more officers. The Board of Directors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election of their successors or until the elimination of such offices or committees.</w:t>
      </w:r>
    </w:p>
    <w:p>
      <w:pPr>
        <w:spacing w:after="0" w:line="10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b w:val="1"/>
          <w:bCs w:val="1"/>
          <w:u w:val="single" w:color="auto"/>
          <w:color w:val="auto"/>
        </w:rPr>
        <w:t>Chairman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Chairman shall preside at all meetings of the Board, and shall exercise such other powers and discharge such other responsibilities as may be assigned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by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The Chairman shall have the power to sign certificates of stock of the Company.</w:t>
      </w:r>
    </w:p>
    <w:p>
      <w:pPr>
        <w:spacing w:after="0" w:line="152"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b w:val="1"/>
          <w:bCs w:val="1"/>
          <w:u w:val="single" w:color="auto"/>
          <w:color w:val="auto"/>
        </w:rPr>
        <w:t>Vice Chairman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Board of Directors may, from time to time, designate a director of the Company to be Vice Chairman. The Vice Chairman shall perform such duties as may be assigned by the Chairman or by the Board of Directors, and shall, in the absence or disability of the Chairman, act for the Chairman.</w:t>
      </w:r>
    </w:p>
    <w:p>
      <w:pPr>
        <w:spacing w:after="0" w:line="6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b w:val="1"/>
          <w:bCs w:val="1"/>
          <w:u w:val="single" w:color="auto"/>
          <w:color w:val="auto"/>
        </w:rPr>
        <w:t>Chief Executive Officer</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of Directors shall at least annually elect or appoint a Chief Executive Officer of the Company. The Chief Executive Officer shall have general executive powers and overall responsibility for the management of the business of the Company.</w:t>
      </w:r>
    </w:p>
    <w:p>
      <w:pPr>
        <w:spacing w:after="0" w:line="112"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b w:val="1"/>
          <w:bCs w:val="1"/>
          <w:u w:val="single" w:color="auto"/>
          <w:color w:val="auto"/>
        </w:rPr>
        <w:t>President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President shall exercise such powers and discharge such responsibilities as may be assigned by the Board of Directors, and shall have the power to sign certificates of stock of the Company.</w:t>
      </w:r>
    </w:p>
    <w:p>
      <w:pPr>
        <w:spacing w:after="0" w:line="112"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b w:val="1"/>
          <w:bCs w:val="1"/>
          <w:u w:val="single" w:color="auto"/>
          <w:color w:val="auto"/>
        </w:rPr>
        <w:t>Chief Operating Officer</w:t>
      </w:r>
    </w:p>
    <w:p>
      <w:pPr>
        <w:spacing w:after="0" w:line="8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The Board of Directors may, from time to time, designate an officer of the Company to be the Chief Operating Officer of the Company. The Chief Operating Officer shall have general executive powers and responsibility for the management of the operations of the Company.</w:t>
      </w:r>
    </w:p>
    <w:p>
      <w:pPr>
        <w:spacing w:after="0" w:line="6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5"/>
          <w:szCs w:val="15"/>
          <w:b w:val="1"/>
          <w:bCs w:val="1"/>
          <w:u w:val="single" w:color="auto"/>
          <w:color w:val="auto"/>
        </w:rPr>
        <w:t>Vice Presidents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of Directors, the Chairman, the Vice Chairman or the Chief Executive Officer.</w:t>
      </w:r>
    </w:p>
    <w:p>
      <w:pPr>
        <w:spacing w:after="0" w:line="112"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5"/>
          <w:szCs w:val="15"/>
          <w:b w:val="1"/>
          <w:bCs w:val="1"/>
          <w:u w:val="single" w:color="auto"/>
          <w:color w:val="auto"/>
        </w:rPr>
        <w:t>Secretary</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Secretary shall attend to the giving of notice of all meetings of shareholders and of the Board of Directors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shareholders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10" w:name="page11"/>
    <w:bookmarkEnd w:id="10"/>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3.9</w:t>
      </w:r>
      <w:r>
        <w:rPr>
          <w:sz w:val="20"/>
          <w:szCs w:val="20"/>
          <w:color w:val="auto"/>
        </w:rPr>
        <w:tab/>
      </w:r>
      <w:r>
        <w:rPr>
          <w:rFonts w:ascii="Arial" w:cs="Arial" w:eastAsia="Arial" w:hAnsi="Arial"/>
          <w:sz w:val="16"/>
          <w:szCs w:val="16"/>
          <w:b w:val="1"/>
          <w:bCs w:val="1"/>
          <w:u w:val="single" w:color="auto"/>
          <w:color w:val="auto"/>
        </w:rPr>
        <w:t>Treasurer</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Treasurer shall have the care and custody of all monies, funds and securities of the Company and shall deposit or cause to be deposited all funds of the Company in and with such depositories as the Board of Directors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 of Directors.</w:t>
      </w:r>
    </w:p>
    <w:p>
      <w:pPr>
        <w:spacing w:after="0" w:line="80" w:lineRule="exact"/>
        <w:rPr>
          <w:sz w:val="20"/>
          <w:szCs w:val="20"/>
          <w:color w:val="auto"/>
        </w:rPr>
      </w:pPr>
    </w:p>
    <w:p>
      <w:pPr>
        <w:ind w:left="460"/>
        <w:spacing w:after="0"/>
        <w:tabs>
          <w:tab w:leader="none" w:pos="17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b w:val="1"/>
          <w:bCs w:val="1"/>
          <w:u w:val="single" w:color="auto"/>
          <w:color w:val="auto"/>
        </w:rPr>
        <w:t>Controller</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Controller shall be in charge of the books of account and accounting records of the Company and of its accounting procedures. The Controller shall render an account of the funds of the Company whenever required so to do by the Board of Directors, the Chairman, the Vice Chairman, or the President, and shall generally perform all of the duties usually appertaining to the office of controller of a company. In the absence of the Controller, or if the office is vacant, an Assistant Controller shall perform the duties of the Controller, unless otherwise decided by the Board of Directors.</w:t>
      </w:r>
    </w:p>
    <w:p>
      <w:pPr>
        <w:spacing w:after="0" w:line="93"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5"/>
          <w:szCs w:val="15"/>
          <w:b w:val="1"/>
          <w:bCs w:val="1"/>
          <w:u w:val="single" w:color="auto"/>
          <w:color w:val="auto"/>
        </w:rPr>
        <w:t>Salaries</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salaries of the officers shall be fixed from time to time by the Compensation Committee of the Board of Directors or, in absence thereof, by the Board of Directors. No officer shall be prevented from receiving such salary by reason of the fact that he or she is also a director of the Company.</w:t>
      </w:r>
    </w:p>
    <w:p>
      <w:pPr>
        <w:spacing w:after="0" w:line="66" w:lineRule="exact"/>
        <w:rPr>
          <w:sz w:val="20"/>
          <w:szCs w:val="20"/>
          <w:color w:val="auto"/>
        </w:rPr>
      </w:pPr>
    </w:p>
    <w:p>
      <w:pPr>
        <w:ind w:left="460"/>
        <w:spacing w:after="0"/>
        <w:tabs>
          <w:tab w:leader="none" w:pos="176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5"/>
          <w:szCs w:val="15"/>
          <w:b w:val="1"/>
          <w:bCs w:val="1"/>
          <w:u w:val="single" w:color="auto"/>
          <w:color w:val="auto"/>
        </w:rPr>
        <w:t>Checks. Notes. etc</w:t>
      </w:r>
      <w:r>
        <w:rPr>
          <w:rFonts w:ascii="Arial" w:cs="Arial" w:eastAsia="Arial" w:hAnsi="Arial"/>
          <w:sz w:val="15"/>
          <w:szCs w:val="15"/>
          <w:b w:val="1"/>
          <w:bCs w:val="1"/>
          <w:color w:val="auto"/>
        </w:rPr>
        <w:t>.</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 of Directors.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IV</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5"/>
          <w:szCs w:val="15"/>
          <w:b w:val="1"/>
          <w:bCs w:val="1"/>
          <w:u w:val="single" w:color="auto"/>
          <w:color w:val="auto"/>
        </w:rPr>
        <w:t>Registrar and Stock Certificates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Every shareholder shall be entitled to a certificate representing the shareholder’s shares. A Register shall be kept by the Board of Directors or by a Registrar designated thereto by the Board of Directors. Each entry shall mention the name and residence of the shareholder, and the quantity and numbers of the share certificates. The Register shall not be open for inspection by third parties or shareholders with respect to shares other than those registered in their name, except with respect to shares that have not been paid in full and except further, with respect to the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22" w:right="29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Registrar, if said Registrar has been requested, or if demand of said Registrar has been made, to disclose any piece of information in the Register and failure to disclose such information would lead to liability of the Registrar. Every transfer and devolution of a share shall be entered in the Register and every such entry shall be signed or otherwise acknowledged by or on behalf of the Board of Directors or by the Registrar. Each certificate shall be signed by the Chairman or the Vice Chairman or the President or any Vice President and by the Secretary or the Treasurer, and bear the corporate seal or a facsimile thereof, certifying the number of shares owned by the shareholder in the Company; provided that,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103"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b w:val="1"/>
          <w:bCs w:val="1"/>
          <w:u w:val="single" w:color="auto"/>
          <w:color w:val="auto"/>
        </w:rPr>
        <w:t>Lost Certificates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case any certificate of stock shall be lost, stolen or destroyed, the Board of Directors, in its discretion, may authorize the issue of a substitute certificate in place of the certificate of stock so lost, stolen or destroyed, and may cause such substitute certificate to be countersigned and registered by the appropriate Registrar; provided that,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ARTICLE V</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b w:val="1"/>
          <w:bCs w:val="1"/>
          <w:u w:val="single" w:color="auto"/>
          <w:color w:val="auto"/>
        </w:rPr>
        <w:t>Indemnification in Actions by Third Party</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shall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28" w:right="319" w:bottom="1440" w:gutter="0" w:footer="0" w:header="0"/>
        </w:sectPr>
      </w:pPr>
    </w:p>
    <w:bookmarkStart w:id="12" w:name="page13"/>
    <w:bookmarkEnd w:id="1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Section 5.1 in the event of a “Change of Control”. “Change in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pacing w:after="0" w:line="109"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b w:val="1"/>
          <w:bCs w:val="1"/>
          <w:u w:val="single" w:color="auto"/>
          <w:color w:val="auto"/>
        </w:rPr>
        <w:t>Indemnification In Actions by or in the Right of the Company</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shall have the power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28" w:right="259" w:bottom="1440" w:gutter="0" w:footer="0" w:header="0"/>
        </w:sectPr>
      </w:pPr>
    </w:p>
    <w:bookmarkStart w:id="13" w:name="page14"/>
    <w:bookmarkEnd w:id="13"/>
    <w:p>
      <w:pPr>
        <w:jc w:val="both"/>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in Control, as defined in Section 5.1.</w:t>
      </w:r>
    </w:p>
    <w:p>
      <w:pPr>
        <w:spacing w:after="0" w:line="124"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b w:val="1"/>
          <w:bCs w:val="1"/>
          <w:u w:val="single" w:color="auto"/>
          <w:color w:val="auto"/>
        </w:rPr>
        <w:t>Indemnification against Expenses</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To the extent that a present or former director or officer of the Company has been successful on the merits or otherwise in defense of any action, suit or proceeding referred to in Sections 5.1 and 5.2, or in defense of any claim, issue or matter therein, such person shall be indemnified against expenses (including attorneys’ fees) actually and reasonably incurred by such person in connection therewith.</w:t>
      </w:r>
    </w:p>
    <w:p>
      <w:pPr>
        <w:spacing w:after="0" w:line="12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b w:val="1"/>
          <w:bCs w:val="1"/>
          <w:u w:val="single" w:color="auto"/>
          <w:color w:val="auto"/>
        </w:rPr>
        <w:t>Determination of Indemnification</w:t>
      </w:r>
    </w:p>
    <w:p>
      <w:pPr>
        <w:spacing w:after="0" w:line="8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Any indemnification under Sections 5.1 and 5.2 (unless ordered by a court) shall be made by the Company only as authorized by contract approved, or by-laws, resolution or other action adopted or taken, by the Board of Directors or by the shareholders or as required by the last sentences of Sections 5.1 and 5.2.</w:t>
      </w:r>
    </w:p>
    <w:p>
      <w:pPr>
        <w:spacing w:after="0" w:line="43"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5"/>
          <w:szCs w:val="15"/>
          <w:b w:val="1"/>
          <w:bCs w:val="1"/>
          <w:u w:val="single" w:color="auto"/>
          <w:color w:val="auto"/>
        </w:rPr>
        <w:t>Advance of Reimbursement of Expenses and Undertaking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96"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b w:val="1"/>
          <w:bCs w:val="1"/>
          <w:u w:val="single" w:color="auto"/>
          <w:color w:val="auto"/>
        </w:rPr>
        <w:t>Non-Exclusivity of By-Laws</w:t>
      </w:r>
    </w:p>
    <w:p>
      <w:pPr>
        <w:spacing w:after="0" w:line="83"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shareholders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28" w:right="299" w:bottom="1440" w:gutter="0" w:footer="0" w:header="0"/>
        </w:sectPr>
      </w:pPr>
    </w:p>
    <w:bookmarkStart w:id="14" w:name="page15"/>
    <w:bookmarkEnd w:id="14"/>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5.7</w:t>
      </w:r>
      <w:r>
        <w:rPr>
          <w:sz w:val="20"/>
          <w:szCs w:val="20"/>
          <w:color w:val="auto"/>
        </w:rPr>
        <w:tab/>
      </w:r>
      <w:r>
        <w:rPr>
          <w:rFonts w:ascii="Arial" w:cs="Arial" w:eastAsia="Arial" w:hAnsi="Arial"/>
          <w:sz w:val="16"/>
          <w:szCs w:val="16"/>
          <w:b w:val="1"/>
          <w:bCs w:val="1"/>
          <w:u w:val="single" w:color="auto"/>
          <w:color w:val="auto"/>
        </w:rPr>
        <w:t>Insurance for Indemnification</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93"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b w:val="1"/>
          <w:bCs w:val="1"/>
          <w:u w:val="single" w:color="auto"/>
          <w:color w:val="auto"/>
        </w:rPr>
        <w:t>Definition of the Company</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Article V,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shall stand in the same position under the provisions of this Article V with respect to the resulting or surviving corporation if its separate existence had continued.</w:t>
      </w:r>
    </w:p>
    <w:p>
      <w:pPr>
        <w:spacing w:after="0" w:line="1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b w:val="1"/>
          <w:bCs w:val="1"/>
          <w:u w:val="single" w:color="auto"/>
          <w:color w:val="auto"/>
        </w:rPr>
        <w:t>Other Definitions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5"/>
          <w:szCs w:val="15"/>
          <w:b w:val="1"/>
          <w:bCs w:val="1"/>
          <w:u w:val="single" w:color="auto"/>
          <w:color w:val="auto"/>
        </w:rPr>
        <w:t>Fiscal Year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152"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b w:val="1"/>
          <w:bCs w:val="1"/>
          <w:u w:val="single" w:color="auto"/>
          <w:color w:val="auto"/>
        </w:rPr>
        <w:t>Corporate Seal</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shall have a corporate seal which shall have inscribed thereon the name of the Company, the words, “Netherlands Antilles”, and the year of its organization.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22" w:right="279" w:bottom="1440" w:gutter="0" w:footer="0" w:header="0"/>
        </w:sectPr>
      </w:pPr>
    </w:p>
    <w:bookmarkStart w:id="15" w:name="page16"/>
    <w:bookmarkEnd w:id="15"/>
    <w:p>
      <w:pPr>
        <w:ind w:left="460"/>
        <w:spacing w:after="0"/>
        <w:tabs>
          <w:tab w:leader="none" w:pos="1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6.3</w:t>
      </w:r>
      <w:r>
        <w:rPr>
          <w:sz w:val="20"/>
          <w:szCs w:val="20"/>
          <w:color w:val="auto"/>
        </w:rPr>
        <w:tab/>
      </w:r>
      <w:r>
        <w:rPr>
          <w:rFonts w:ascii="Arial" w:cs="Arial" w:eastAsia="Arial" w:hAnsi="Arial"/>
          <w:sz w:val="15"/>
          <w:szCs w:val="15"/>
          <w:b w:val="1"/>
          <w:bCs w:val="1"/>
          <w:u w:val="single" w:color="auto"/>
          <w:color w:val="auto"/>
        </w:rPr>
        <w:t>Amendments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By-Laws may be altered, amended or repealed at any regular or special meeting of the Board of Directors, except, however, that no provision of these By-Laws which is included in, or the substance of which is expressed in, the provisions of the Deed of Incorporation shall be so altered, amended or repealed as to be inconsistent with the Deed of Incorporation. The amendment of these By-Laws to eliminate any provisions hereof the substance of which is also contained in the Deed of Incorporation shall not be deemed to render these By-Laws inconsistent with the Deed of Incorporation or to affect in any way the corresponding provisions of the Deed of Incorporation.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sectPr>
      <w:pgSz w:w="11900" w:h="16838" w:orient="portrait"/>
      <w:cols w:equalWidth="0" w:num="1">
        <w:col w:w="11360"/>
      </w:cols>
      <w:pgMar w:left="240" w:top="42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lvl w:ilvl="1">
      <w:lvlJc w:val="left"/>
      <w:lvlText w:val="%2."/>
      <w:numFmt w:val="decimal"/>
      <w:start w:val="3"/>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2019-12-11T19:28:48Z</dcterms:created>
  <dcterms:modified xsi:type="dcterms:W3CDTF">2019-12-11T19:28:48Z</dcterms:modified>
</cp:coreProperties>
</file>