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SCHLUMBERGER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5599 San Felipe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Houston, TX 77056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13,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Michael Purcell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Schlumberger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29, 2024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333-278976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Regulation C of the General Rules and Regulations promulgated under the Securities Act of 1933, as amended, Schlumberger Limited hereby respectfully requests that the effective date of the above-referenced Registration Statement be accelerated so that it will become effective at 4:00 P.M., Eastern Time, on May 15, 2024,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direct any questions regarding this correspondence to our counsel, Ryan J. Maierson of Latham &amp; Watkins LLP, at (713) 546-7420.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SCHLUMBERGER LIMITED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Dianne B. Ralston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Dianne B. Ralston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Legal Officer and Secretary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44" w:right="6880" w:hanging="444"/>
        <w:spacing w:after="0" w:line="26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Ryan J. Maierson, Latham &amp; Watkins LLP Christopher R. Drewry, Latham &amp; Watkins LLP Thomas Verity, Latham &amp; Watkins LLP</w:t>
      </w:r>
    </w:p>
    <w:sectPr>
      <w:pgSz w:w="11900" w:h="16838" w:orient="portrait"/>
      <w:cols w:equalWidth="0" w:num="1">
        <w:col w:w="10784"/>
      </w:cols>
      <w:pgMar w:left="436" w:top="225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2024-06-13T23:10:49Z</dcterms:created>
  <dcterms:modified xsi:type="dcterms:W3CDTF">2024-06-13T23:10:49Z</dcterms:modified>
</cp:coreProperties>
</file>