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1820"/>
        <w:spacing w:after="0"/>
        <w:rPr>
          <w:sz w:val="20"/>
          <w:szCs w:val="20"/>
          <w:color w:val="auto"/>
        </w:rPr>
      </w:pPr>
      <w:r>
        <w:rPr>
          <w:rFonts w:ascii="Arial" w:cs="Arial" w:eastAsia="Arial" w:hAnsi="Arial"/>
          <w:sz w:val="32"/>
          <w:szCs w:val="32"/>
          <w:b w:val="1"/>
          <w:bCs w:val="1"/>
          <w:color w:val="auto"/>
        </w:rPr>
        <w:t>Post-Effective Amendment No. 2 on Form S-8 to</w:t>
      </w:r>
    </w:p>
    <w:p>
      <w:pPr>
        <w:spacing w:after="0" w:line="44" w:lineRule="exact"/>
        <w:rPr>
          <w:sz w:val="24"/>
          <w:szCs w:val="24"/>
          <w:color w:val="auto"/>
        </w:rPr>
      </w:pPr>
    </w:p>
    <w:p>
      <w:pPr>
        <w:ind w:left="1760"/>
        <w:spacing w:after="0"/>
        <w:rPr>
          <w:sz w:val="20"/>
          <w:szCs w:val="20"/>
          <w:color w:val="auto"/>
        </w:rPr>
      </w:pPr>
      <w:r>
        <w:rPr>
          <w:rFonts w:ascii="Arial" w:cs="Arial" w:eastAsia="Arial" w:hAnsi="Arial"/>
          <w:sz w:val="32"/>
          <w:szCs w:val="32"/>
          <w:b w:val="1"/>
          <w:bCs w:val="1"/>
          <w:color w:val="auto"/>
        </w:rPr>
        <w:t>Form S-4 Registration Statement No. 333-207260</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SLB N.V. (SLB LIMITED)</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229235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1340" w:type="dxa"/>
        <w:tblCellMar>
          <w:top w:w="0" w:type="dxa"/>
          <w:left w:w="0" w:type="dxa"/>
          <w:bottom w:w="0" w:type="dxa"/>
          <w:right w:w="0" w:type="dxa"/>
        </w:tblCellMar>
      </w:tblPr>
      <w:tr>
        <w:trPr>
          <w:trHeight w:val="226"/>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w w:val="99"/>
              </w:rPr>
              <w:t>Curaçao</w:t>
            </w:r>
          </w:p>
        </w:tc>
        <w:tc>
          <w:tcPr>
            <w:tcW w:w="2960" w:type="dxa"/>
            <w:vAlign w:val="bottom"/>
          </w:tcPr>
          <w:p>
            <w:pPr>
              <w:jc w:val="center"/>
              <w:ind w:left="1677"/>
              <w:spacing w:after="0"/>
              <w:rPr>
                <w:sz w:val="20"/>
                <w:szCs w:val="20"/>
                <w:color w:val="auto"/>
              </w:rPr>
            </w:pPr>
            <w:r>
              <w:rPr>
                <w:rFonts w:ascii="Arial" w:cs="Arial" w:eastAsia="Arial" w:hAnsi="Arial"/>
                <w:sz w:val="18"/>
                <w:szCs w:val="18"/>
                <w:b w:val="1"/>
                <w:bCs w:val="1"/>
                <w:color w:val="auto"/>
                <w:w w:val="99"/>
              </w:rPr>
              <w:t>52-0684746</w:t>
            </w:r>
          </w:p>
        </w:tc>
      </w:tr>
      <w:tr>
        <w:trPr>
          <w:trHeight w:val="162"/>
        </w:trPr>
        <w:tc>
          <w:tcPr>
            <w:tcW w:w="4640" w:type="dxa"/>
            <w:vAlign w:val="bottom"/>
          </w:tcPr>
          <w:p>
            <w:pPr>
              <w:jc w:val="center"/>
              <w:ind w:right="1675"/>
              <w:spacing w:after="0"/>
              <w:rPr>
                <w:sz w:val="20"/>
                <w:szCs w:val="20"/>
                <w:color w:val="auto"/>
              </w:rPr>
            </w:pPr>
            <w:r>
              <w:rPr>
                <w:rFonts w:ascii="Arial" w:cs="Arial" w:eastAsia="Arial" w:hAnsi="Arial"/>
                <w:sz w:val="14"/>
                <w:szCs w:val="14"/>
                <w:b w:val="1"/>
                <w:bCs w:val="1"/>
                <w:color w:val="auto"/>
              </w:rPr>
              <w:t>(State or other jurisdiction of</w:t>
            </w:r>
          </w:p>
        </w:tc>
        <w:tc>
          <w:tcPr>
            <w:tcW w:w="2960" w:type="dxa"/>
            <w:vAlign w:val="bottom"/>
          </w:tcPr>
          <w:p>
            <w:pPr>
              <w:jc w:val="center"/>
              <w:ind w:left="1677"/>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640" w:type="dxa"/>
            <w:vAlign w:val="bottom"/>
          </w:tcPr>
          <w:p>
            <w:pPr>
              <w:jc w:val="center"/>
              <w:ind w:right="1675"/>
              <w:spacing w:after="0"/>
              <w:rPr>
                <w:sz w:val="20"/>
                <w:szCs w:val="20"/>
                <w:color w:val="auto"/>
              </w:rPr>
            </w:pPr>
            <w:r>
              <w:rPr>
                <w:rFonts w:ascii="Arial" w:cs="Arial" w:eastAsia="Arial" w:hAnsi="Arial"/>
                <w:sz w:val="14"/>
                <w:szCs w:val="14"/>
                <w:b w:val="1"/>
                <w:bCs w:val="1"/>
                <w:color w:val="auto"/>
              </w:rPr>
              <w:t>incorporation or organization)</w:t>
            </w:r>
          </w:p>
        </w:tc>
        <w:tc>
          <w:tcPr>
            <w:tcW w:w="2960" w:type="dxa"/>
            <w:vAlign w:val="bottom"/>
          </w:tcPr>
          <w:p>
            <w:pPr>
              <w:jc w:val="center"/>
              <w:ind w:left="1677"/>
              <w:spacing w:after="0"/>
              <w:rPr>
                <w:sz w:val="20"/>
                <w:szCs w:val="20"/>
                <w:color w:val="auto"/>
              </w:rPr>
            </w:pPr>
            <w:r>
              <w:rPr>
                <w:rFonts w:ascii="Arial" w:cs="Arial" w:eastAsia="Arial" w:hAnsi="Arial"/>
                <w:sz w:val="14"/>
                <w:szCs w:val="14"/>
                <w:b w:val="1"/>
                <w:bCs w:val="1"/>
                <w:color w:val="auto"/>
              </w:rPr>
              <w:t>Identification No.)</w:t>
            </w:r>
          </w:p>
        </w:tc>
      </w:tr>
      <w:tr>
        <w:trPr>
          <w:trHeight w:val="280"/>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w w:val="99"/>
              </w:rPr>
              <w:t>42 rue Saint-Dominique</w:t>
            </w:r>
          </w:p>
        </w:tc>
        <w:tc>
          <w:tcPr>
            <w:tcW w:w="2960" w:type="dxa"/>
            <w:vAlign w:val="bottom"/>
          </w:tcPr>
          <w:p>
            <w:pPr>
              <w:spacing w:after="0"/>
              <w:rPr>
                <w:sz w:val="24"/>
                <w:szCs w:val="24"/>
                <w:color w:val="auto"/>
              </w:rPr>
            </w:pPr>
          </w:p>
        </w:tc>
      </w:tr>
      <w:tr>
        <w:trPr>
          <w:trHeight w:val="260"/>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w w:val="99"/>
              </w:rPr>
              <w:t>Paris, France</w:t>
            </w:r>
          </w:p>
        </w:tc>
        <w:tc>
          <w:tcPr>
            <w:tcW w:w="2960" w:type="dxa"/>
            <w:vAlign w:val="bottom"/>
          </w:tcPr>
          <w:p>
            <w:pPr>
              <w:jc w:val="center"/>
              <w:ind w:left="1657"/>
              <w:spacing w:after="0"/>
              <w:rPr>
                <w:sz w:val="20"/>
                <w:szCs w:val="20"/>
                <w:color w:val="auto"/>
              </w:rPr>
            </w:pPr>
            <w:r>
              <w:rPr>
                <w:rFonts w:ascii="Arial" w:cs="Arial" w:eastAsia="Arial" w:hAnsi="Arial"/>
                <w:sz w:val="18"/>
                <w:szCs w:val="18"/>
                <w:b w:val="1"/>
                <w:bCs w:val="1"/>
                <w:color w:val="auto"/>
                <w:w w:val="99"/>
              </w:rPr>
              <w:t>75007</w:t>
            </w:r>
          </w:p>
        </w:tc>
      </w:tr>
      <w:tr>
        <w:trPr>
          <w:trHeight w:val="266"/>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rPr>
              <w:t>5599 San Felipe</w:t>
            </w:r>
          </w:p>
        </w:tc>
        <w:tc>
          <w:tcPr>
            <w:tcW w:w="2960" w:type="dxa"/>
            <w:vAlign w:val="bottom"/>
          </w:tcPr>
          <w:p>
            <w:pPr>
              <w:spacing w:after="0"/>
              <w:rPr>
                <w:sz w:val="23"/>
                <w:szCs w:val="23"/>
                <w:color w:val="auto"/>
              </w:rPr>
            </w:pPr>
          </w:p>
        </w:tc>
      </w:tr>
      <w:tr>
        <w:trPr>
          <w:trHeight w:val="260"/>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w w:val="99"/>
              </w:rPr>
              <w:t>Houston, Texas, U.S.A.</w:t>
            </w:r>
          </w:p>
        </w:tc>
        <w:tc>
          <w:tcPr>
            <w:tcW w:w="2960" w:type="dxa"/>
            <w:vAlign w:val="bottom"/>
          </w:tcPr>
          <w:p>
            <w:pPr>
              <w:jc w:val="center"/>
              <w:ind w:left="1657"/>
              <w:spacing w:after="0"/>
              <w:rPr>
                <w:sz w:val="20"/>
                <w:szCs w:val="20"/>
                <w:color w:val="auto"/>
              </w:rPr>
            </w:pPr>
            <w:r>
              <w:rPr>
                <w:rFonts w:ascii="Arial" w:cs="Arial" w:eastAsia="Arial" w:hAnsi="Arial"/>
                <w:sz w:val="18"/>
                <w:szCs w:val="18"/>
                <w:b w:val="1"/>
                <w:bCs w:val="1"/>
                <w:color w:val="auto"/>
                <w:w w:val="99"/>
              </w:rPr>
              <w:t>77056</w:t>
            </w:r>
          </w:p>
        </w:tc>
      </w:tr>
      <w:tr>
        <w:trPr>
          <w:trHeight w:val="266"/>
        </w:trPr>
        <w:tc>
          <w:tcPr>
            <w:tcW w:w="4640" w:type="dxa"/>
            <w:vAlign w:val="bottom"/>
          </w:tcPr>
          <w:p>
            <w:pPr>
              <w:jc w:val="center"/>
              <w:ind w:right="1695"/>
              <w:spacing w:after="0"/>
              <w:rPr>
                <w:sz w:val="20"/>
                <w:szCs w:val="20"/>
                <w:color w:val="auto"/>
              </w:rPr>
            </w:pPr>
            <w:r>
              <w:rPr>
                <w:rFonts w:ascii="Arial" w:cs="Arial" w:eastAsia="Arial" w:hAnsi="Arial"/>
                <w:sz w:val="18"/>
                <w:szCs w:val="18"/>
                <w:b w:val="1"/>
                <w:bCs w:val="1"/>
                <w:color w:val="auto"/>
                <w:w w:val="99"/>
              </w:rPr>
              <w:t>62 Buckingham Gate</w:t>
            </w:r>
          </w:p>
        </w:tc>
        <w:tc>
          <w:tcPr>
            <w:tcW w:w="2960" w:type="dxa"/>
            <w:vAlign w:val="bottom"/>
          </w:tcPr>
          <w:p>
            <w:pPr>
              <w:spacing w:after="0"/>
              <w:rPr>
                <w:sz w:val="23"/>
                <w:szCs w:val="23"/>
                <w:color w:val="auto"/>
              </w:rPr>
            </w:pPr>
          </w:p>
        </w:tc>
      </w:tr>
      <w:tr>
        <w:trPr>
          <w:trHeight w:val="260"/>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rPr>
              <w:t>London, United Kingdom</w:t>
            </w:r>
          </w:p>
        </w:tc>
        <w:tc>
          <w:tcPr>
            <w:tcW w:w="2960" w:type="dxa"/>
            <w:vAlign w:val="bottom"/>
          </w:tcPr>
          <w:p>
            <w:pPr>
              <w:jc w:val="center"/>
              <w:ind w:left="1677"/>
              <w:spacing w:after="0"/>
              <w:rPr>
                <w:sz w:val="20"/>
                <w:szCs w:val="20"/>
                <w:color w:val="auto"/>
              </w:rPr>
            </w:pPr>
            <w:r>
              <w:rPr>
                <w:rFonts w:ascii="Arial" w:cs="Arial" w:eastAsia="Arial" w:hAnsi="Arial"/>
                <w:sz w:val="18"/>
                <w:szCs w:val="18"/>
                <w:b w:val="1"/>
                <w:bCs w:val="1"/>
                <w:color w:val="auto"/>
                <w:w w:val="98"/>
              </w:rPr>
              <w:t>SW1E 6AJ</w:t>
            </w:r>
          </w:p>
        </w:tc>
      </w:tr>
      <w:tr>
        <w:trPr>
          <w:trHeight w:val="266"/>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w w:val="99"/>
              </w:rPr>
              <w:t>Parkstraat 83</w:t>
            </w:r>
          </w:p>
        </w:tc>
        <w:tc>
          <w:tcPr>
            <w:tcW w:w="2960" w:type="dxa"/>
            <w:vAlign w:val="bottom"/>
          </w:tcPr>
          <w:p>
            <w:pPr>
              <w:spacing w:after="0"/>
              <w:rPr>
                <w:sz w:val="23"/>
                <w:szCs w:val="23"/>
                <w:color w:val="auto"/>
              </w:rPr>
            </w:pPr>
          </w:p>
        </w:tc>
      </w:tr>
      <w:tr>
        <w:trPr>
          <w:trHeight w:val="226"/>
        </w:trPr>
        <w:tc>
          <w:tcPr>
            <w:tcW w:w="4640" w:type="dxa"/>
            <w:vAlign w:val="bottom"/>
          </w:tcPr>
          <w:p>
            <w:pPr>
              <w:jc w:val="center"/>
              <w:ind w:right="1675"/>
              <w:spacing w:after="0"/>
              <w:rPr>
                <w:sz w:val="20"/>
                <w:szCs w:val="20"/>
                <w:color w:val="auto"/>
              </w:rPr>
            </w:pPr>
            <w:r>
              <w:rPr>
                <w:rFonts w:ascii="Arial" w:cs="Arial" w:eastAsia="Arial" w:hAnsi="Arial"/>
                <w:sz w:val="18"/>
                <w:szCs w:val="18"/>
                <w:b w:val="1"/>
                <w:bCs w:val="1"/>
                <w:color w:val="auto"/>
              </w:rPr>
              <w:t>The Hague, The Netherlands</w:t>
            </w:r>
          </w:p>
        </w:tc>
        <w:tc>
          <w:tcPr>
            <w:tcW w:w="2960" w:type="dxa"/>
            <w:vAlign w:val="bottom"/>
          </w:tcPr>
          <w:p>
            <w:pPr>
              <w:jc w:val="center"/>
              <w:ind w:left="1677"/>
              <w:spacing w:after="0"/>
              <w:rPr>
                <w:sz w:val="20"/>
                <w:szCs w:val="20"/>
                <w:color w:val="auto"/>
              </w:rPr>
            </w:pPr>
            <w:r>
              <w:rPr>
                <w:rFonts w:ascii="Arial" w:cs="Arial" w:eastAsia="Arial" w:hAnsi="Arial"/>
                <w:sz w:val="18"/>
                <w:szCs w:val="18"/>
                <w:b w:val="1"/>
                <w:bCs w:val="1"/>
                <w:color w:val="auto"/>
                <w:w w:val="98"/>
              </w:rPr>
              <w:t>2514 JG</w:t>
            </w:r>
          </w:p>
        </w:tc>
      </w:tr>
      <w:tr>
        <w:trPr>
          <w:trHeight w:val="196"/>
        </w:trPr>
        <w:tc>
          <w:tcPr>
            <w:tcW w:w="4640" w:type="dxa"/>
            <w:vAlign w:val="bottom"/>
          </w:tcPr>
          <w:p>
            <w:pPr>
              <w:jc w:val="center"/>
              <w:ind w:right="1675"/>
              <w:spacing w:after="0"/>
              <w:rPr>
                <w:sz w:val="20"/>
                <w:szCs w:val="20"/>
                <w:color w:val="auto"/>
              </w:rPr>
            </w:pPr>
            <w:r>
              <w:rPr>
                <w:rFonts w:ascii="Arial" w:cs="Arial" w:eastAsia="Arial" w:hAnsi="Arial"/>
                <w:sz w:val="14"/>
                <w:szCs w:val="14"/>
                <w:b w:val="1"/>
                <w:bCs w:val="1"/>
                <w:color w:val="auto"/>
              </w:rPr>
              <w:t>(Addresses of Principal Executive Offices)</w:t>
            </w:r>
          </w:p>
        </w:tc>
        <w:tc>
          <w:tcPr>
            <w:tcW w:w="2960" w:type="dxa"/>
            <w:vAlign w:val="bottom"/>
          </w:tcPr>
          <w:p>
            <w:pPr>
              <w:jc w:val="center"/>
              <w:ind w:left="1677"/>
              <w:spacing w:after="0"/>
              <w:rPr>
                <w:sz w:val="20"/>
                <w:szCs w:val="20"/>
                <w:color w:val="auto"/>
              </w:rPr>
            </w:pPr>
            <w:r>
              <w:rPr>
                <w:rFonts w:ascii="Arial" w:cs="Arial" w:eastAsia="Arial" w:hAnsi="Arial"/>
                <w:sz w:val="14"/>
                <w:szCs w:val="14"/>
                <w:b w:val="1"/>
                <w:bCs w:val="1"/>
                <w:color w:val="auto"/>
              </w:rPr>
              <w:t>(Zip Codes)</w:t>
            </w:r>
          </w:p>
        </w:tc>
      </w:tr>
    </w:tbl>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Cameron International Corporation Equity Incentive Plan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Cameron International Corporation Nonqualified Deferred Compensation Plan</w:t>
      </w:r>
    </w:p>
    <w:p>
      <w:pPr>
        <w:jc w:val="center"/>
        <w:ind w:right="-39"/>
        <w:spacing w:after="0" w:line="234" w:lineRule="auto"/>
        <w:rPr>
          <w:sz w:val="20"/>
          <w:szCs w:val="20"/>
          <w:color w:val="auto"/>
        </w:rPr>
      </w:pPr>
      <w:r>
        <w:rPr>
          <w:rFonts w:ascii="Arial" w:cs="Arial" w:eastAsia="Arial" w:hAnsi="Arial"/>
          <w:sz w:val="18"/>
          <w:szCs w:val="18"/>
          <w:b w:val="1"/>
          <w:bCs w:val="1"/>
          <w:color w:val="auto"/>
        </w:rPr>
        <w:t>Cameron International Corporation Deferred Compensation Plan For Non-Employee Directors</w:t>
      </w:r>
    </w:p>
    <w:p>
      <w:pPr>
        <w:jc w:val="center"/>
        <w:ind w:right="-39"/>
        <w:spacing w:after="0" w:line="235" w:lineRule="auto"/>
        <w:rPr>
          <w:sz w:val="20"/>
          <w:szCs w:val="20"/>
          <w:color w:val="auto"/>
        </w:rPr>
      </w:pPr>
      <w:r>
        <w:rPr>
          <w:rFonts w:ascii="Arial" w:cs="Arial" w:eastAsia="Arial" w:hAnsi="Arial"/>
          <w:sz w:val="18"/>
          <w:szCs w:val="18"/>
          <w:b w:val="1"/>
          <w:bCs w:val="1"/>
          <w:color w:val="auto"/>
        </w:rPr>
        <w:t>OneSubsea LLC Nonqualified Deferred Compensation Plan</w:t>
      </w:r>
    </w:p>
    <w:p>
      <w:pPr>
        <w:jc w:val="center"/>
        <w:ind w:right="-39"/>
        <w:spacing w:after="0" w:line="235" w:lineRule="auto"/>
        <w:rPr>
          <w:sz w:val="20"/>
          <w:szCs w:val="20"/>
          <w:color w:val="auto"/>
        </w:rPr>
      </w:pPr>
      <w:r>
        <w:rPr>
          <w:rFonts w:ascii="Arial" w:cs="Arial" w:eastAsia="Arial" w:hAnsi="Arial"/>
          <w:sz w:val="18"/>
          <w:szCs w:val="18"/>
          <w:b w:val="1"/>
          <w:bCs w:val="1"/>
          <w:color w:val="auto"/>
        </w:rPr>
        <w:t>Natco Group Inc. 2004 Stock Incentive Plan</w:t>
      </w:r>
    </w:p>
    <w:p>
      <w:pPr>
        <w:jc w:val="center"/>
        <w:ind w:right="-39"/>
        <w:spacing w:after="0"/>
        <w:rPr>
          <w:sz w:val="20"/>
          <w:szCs w:val="20"/>
          <w:color w:val="auto"/>
        </w:rPr>
      </w:pPr>
      <w:r>
        <w:rPr>
          <w:rFonts w:ascii="Arial" w:cs="Arial" w:eastAsia="Arial" w:hAnsi="Arial"/>
          <w:sz w:val="18"/>
          <w:szCs w:val="18"/>
          <w:b w:val="1"/>
          <w:bCs w:val="1"/>
          <w:color w:val="auto"/>
        </w:rPr>
        <w:t>Natco Group Inc. 2006 Long Term Incentive Compensation Plan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pacing w:after="0" w:line="19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Dianne B. Ralston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Chief Legal Officer and Secretary</w:t>
      </w:r>
    </w:p>
    <w:p>
      <w:pPr>
        <w:jc w:val="center"/>
        <w:ind w:right="-39"/>
        <w:spacing w:after="0" w:line="234" w:lineRule="auto"/>
        <w:rPr>
          <w:sz w:val="20"/>
          <w:szCs w:val="20"/>
          <w:color w:val="auto"/>
        </w:rPr>
      </w:pPr>
      <w:r>
        <w:rPr>
          <w:rFonts w:ascii="Arial" w:cs="Arial" w:eastAsia="Arial" w:hAnsi="Arial"/>
          <w:sz w:val="18"/>
          <w:szCs w:val="18"/>
          <w:b w:val="1"/>
          <w:bCs w:val="1"/>
          <w:color w:val="auto"/>
        </w:rPr>
        <w:t>SLB Limited</w:t>
      </w:r>
    </w:p>
    <w:p>
      <w:pPr>
        <w:jc w:val="center"/>
        <w:ind w:right="-39"/>
        <w:spacing w:after="0" w:line="235" w:lineRule="auto"/>
        <w:rPr>
          <w:sz w:val="20"/>
          <w:szCs w:val="20"/>
          <w:color w:val="auto"/>
        </w:rPr>
      </w:pPr>
      <w:r>
        <w:rPr>
          <w:rFonts w:ascii="Arial" w:cs="Arial" w:eastAsia="Arial" w:hAnsi="Arial"/>
          <w:sz w:val="18"/>
          <w:szCs w:val="18"/>
          <w:b w:val="1"/>
          <w:bCs w:val="1"/>
          <w:color w:val="auto"/>
        </w:rPr>
        <w:t>5599 San Felipe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Houston, Texas, U.S.A. 77056</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 513-2000</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229235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Ryan J. Maierson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Julia A. Thompson</w:t>
      </w:r>
    </w:p>
    <w:p>
      <w:pPr>
        <w:jc w:val="center"/>
        <w:ind w:right="-39"/>
        <w:spacing w:after="0" w:line="234" w:lineRule="auto"/>
        <w:rPr>
          <w:sz w:val="20"/>
          <w:szCs w:val="20"/>
          <w:color w:val="auto"/>
        </w:rPr>
      </w:pPr>
      <w:r>
        <w:rPr>
          <w:rFonts w:ascii="Arial" w:cs="Arial" w:eastAsia="Arial" w:hAnsi="Arial"/>
          <w:sz w:val="18"/>
          <w:szCs w:val="18"/>
          <w:b w:val="1"/>
          <w:bCs w:val="1"/>
          <w:color w:val="auto"/>
        </w:rPr>
        <w:t>Latham &amp; Watkins LLP</w:t>
      </w:r>
    </w:p>
    <w:p>
      <w:pPr>
        <w:jc w:val="center"/>
        <w:ind w:right="-39"/>
        <w:spacing w:after="0" w:line="235" w:lineRule="auto"/>
        <w:rPr>
          <w:sz w:val="20"/>
          <w:szCs w:val="20"/>
          <w:color w:val="auto"/>
        </w:rPr>
      </w:pPr>
      <w:r>
        <w:rPr>
          <w:rFonts w:ascii="Arial" w:cs="Arial" w:eastAsia="Arial" w:hAnsi="Arial"/>
          <w:sz w:val="18"/>
          <w:szCs w:val="18"/>
          <w:b w:val="1"/>
          <w:bCs w:val="1"/>
          <w:color w:val="auto"/>
        </w:rPr>
        <w:t>555 11th Street, NW</w:t>
      </w:r>
    </w:p>
    <w:p>
      <w:pPr>
        <w:jc w:val="center"/>
        <w:ind w:right="-39"/>
        <w:spacing w:after="0" w:line="235" w:lineRule="auto"/>
        <w:rPr>
          <w:sz w:val="20"/>
          <w:szCs w:val="20"/>
          <w:color w:val="auto"/>
        </w:rPr>
      </w:pPr>
      <w:r>
        <w:rPr>
          <w:rFonts w:ascii="Arial" w:cs="Arial" w:eastAsia="Arial" w:hAnsi="Arial"/>
          <w:sz w:val="18"/>
          <w:szCs w:val="18"/>
          <w:b w:val="1"/>
          <w:bCs w:val="1"/>
          <w:color w:val="auto"/>
        </w:rPr>
        <w:t>Suite 1000</w:t>
      </w:r>
    </w:p>
    <w:p>
      <w:pPr>
        <w:jc w:val="center"/>
        <w:ind w:right="-39"/>
        <w:spacing w:after="0" w:line="235" w:lineRule="auto"/>
        <w:rPr>
          <w:sz w:val="20"/>
          <w:szCs w:val="20"/>
          <w:color w:val="auto"/>
        </w:rPr>
      </w:pPr>
      <w:r>
        <w:rPr>
          <w:rFonts w:ascii="Arial" w:cs="Arial" w:eastAsia="Arial" w:hAnsi="Arial"/>
          <w:sz w:val="18"/>
          <w:szCs w:val="18"/>
          <w:b w:val="1"/>
          <w:bCs w:val="1"/>
          <w:color w:val="auto"/>
        </w:rPr>
        <w:t>Washington, DC 20004-1304</w:t>
      </w:r>
    </w:p>
    <w:p>
      <w:pPr>
        <w:jc w:val="center"/>
        <w:ind w:right="-39"/>
        <w:spacing w:after="0"/>
        <w:rPr>
          <w:sz w:val="20"/>
          <w:szCs w:val="20"/>
          <w:color w:val="auto"/>
        </w:rPr>
      </w:pPr>
      <w:r>
        <w:rPr>
          <w:rFonts w:ascii="Arial" w:cs="Arial" w:eastAsia="Arial" w:hAnsi="Arial"/>
          <w:sz w:val="18"/>
          <w:szCs w:val="18"/>
          <w:b w:val="1"/>
          <w:bCs w:val="1"/>
          <w:color w:val="auto"/>
        </w:rPr>
        <w:t>(202) 637-2200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right="60"/>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2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020"/>
              <w:spacing w:after="0"/>
              <w:rPr>
                <w:sz w:val="20"/>
                <w:szCs w:val="20"/>
                <w:color w:val="auto"/>
              </w:rPr>
            </w:pPr>
            <w:r>
              <w:rPr>
                <w:rFonts w:ascii="Arial" w:cs="Arial" w:eastAsia="Arial" w:hAnsi="Arial"/>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340" w:type="dxa"/>
            <w:vAlign w:val="bottom"/>
          </w:tcPr>
          <w:p>
            <w:pPr>
              <w:ind w:left="3020"/>
              <w:spacing w:after="0"/>
              <w:rPr>
                <w:sz w:val="20"/>
                <w:szCs w:val="20"/>
                <w:color w:val="auto"/>
              </w:rPr>
            </w:pPr>
            <w:r>
              <w:rPr>
                <w:rFonts w:ascii="Arial" w:cs="Arial" w:eastAsia="Arial" w:hAnsi="Arial"/>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ind w:right="64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ectPr>
          <w:pgSz w:w="11900" w:h="16877" w:orient="portrait"/>
          <w:cols w:equalWidth="0" w:num="1">
            <w:col w:w="10960"/>
          </w:cols>
          <w:pgMar w:left="440" w:top="393" w:right="499" w:bottom="0" w:gutter="0" w:footer="0" w:header="0"/>
        </w:sectPr>
      </w:pPr>
    </w:p>
    <w:bookmarkStart w:id="1" w:name="page2"/>
    <w:bookmarkEnd w:id="1"/>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1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SLB N.V. (SLB Limited) (the “Registrant”) hereby amends the registration statement on Form S-4 (File No. 333-207260) originally filed with the Securities and Exchange Commission (the “Commission”) on October 2, 2015 and declared effective by the Commission on November 16, 2015 that was further amended by a Post-Effective Amendment No. 1 on Form S-8 filed with the Commission on April 4, 2016, by filing this Post-Effective Amendment No. 2 (as so amended, the “Registration Statement”).</w:t>
      </w:r>
    </w:p>
    <w:p>
      <w:pPr>
        <w:spacing w:after="0" w:line="17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Registrant has terminated all offerings of its securities pursuant to the Registration Statement and hereby removes and withdraws from registration all securities registered pursuant to the Registration Statement that remain unsold as of the date hereof. The Registration Statement is hereby amended, as appropriate, to reflect the deregistration of such securities.</w:t>
      </w:r>
    </w:p>
    <w:p>
      <w:pPr>
        <w:sectPr>
          <w:pgSz w:w="11900" w:h="16838" w:orient="portrait"/>
          <w:cols w:equalWidth="0" w:num="1">
            <w:col w:w="11000"/>
          </w:cols>
          <w:pgMar w:left="440" w:top="269" w:right="45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1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No. 2 to the Registration Statement to be signed on its behalf by the undersigned, thereunto duly authorized, in the City of Houston, State of Texas, on December 12, 2025.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SLB N.V.</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(SLB Limited)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By: /s/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8890</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Dianne B. Ralston</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Legal Officer and Secretary</w:t>
      </w:r>
    </w:p>
    <w:p>
      <w:pPr>
        <w:spacing w:after="0" w:line="20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Rule 478 of the Securities Act of 1933, as amended, no other person is required to sign this Post-Effective Amendment No. 2 to the Registration Statement on Form S-8.</w:t>
      </w:r>
    </w:p>
    <w:sectPr>
      <w:pgSz w:w="11900" w:h="16838" w:orient="portrait"/>
      <w:cols w:equalWidth="0" w:num="1">
        <w:col w:w="10900"/>
      </w:cols>
      <w:pgMar w:left="440" w:top="26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2025-12-12T15:25:31Z</dcterms:created>
  <dcterms:modified xsi:type="dcterms:W3CDTF">2025-12-12T15:25:31Z</dcterms:modified>
</cp:coreProperties>
</file>