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Simon Ayat</w:t>
            </w: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260" w:type="dxa"/>
            <w:vAlign w:val="bottom"/>
            <w:tcBorders>
              <w:top w:val="single" w:sz="8" w:color="auto"/>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100" w:type="dxa"/>
            <w:vAlign w:val="bottom"/>
            <w:tcBorders>
              <w:top w:val="single" w:sz="8" w:color="auto"/>
              <w:right w:val="single" w:sz="8" w:color="auto"/>
            </w:tcBorders>
          </w:tcPr>
          <w:p>
            <w:pPr>
              <w:spacing w:after="0"/>
              <w:rPr>
                <w:sz w:val="9"/>
                <w:szCs w:val="9"/>
                <w:color w:val="auto"/>
              </w:rPr>
            </w:pPr>
          </w:p>
        </w:tc>
        <w:tc>
          <w:tcPr>
            <w:tcW w:w="24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(b)</w:t>
            </w:r>
          </w:p>
        </w:tc>
        <w:tc>
          <w:tcPr>
            <w:tcW w:w="2100" w:type="dxa"/>
            <w:vAlign w:val="bottom"/>
            <w:tcBorders>
              <w:top w:val="single" w:sz="8" w:color="auto"/>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Name and Address of Each Broker</w:t>
            </w:r>
          </w:p>
        </w:tc>
        <w:tc>
          <w:tcPr>
            <w:tcW w:w="106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80" w:type="dxa"/>
            <w:vAlign w:val="bottom"/>
            <w:tcBorders>
              <w:top w:val="single" w:sz="8" w:color="auto"/>
              <w:right w:val="single" w:sz="8" w:color="auto"/>
            </w:tcBorders>
          </w:tcPr>
          <w:p>
            <w:pPr>
              <w:jc w:val="right"/>
              <w:ind w:right="1175"/>
              <w:spacing w:after="0" w:line="110" w:lineRule="exact"/>
              <w:rPr>
                <w:sz w:val="20"/>
                <w:szCs w:val="20"/>
                <w:color w:val="auto"/>
              </w:rPr>
            </w:pPr>
            <w:r>
              <w:rPr>
                <w:rFonts w:ascii="Arial" w:cs="Arial" w:eastAsia="Arial" w:hAnsi="Arial"/>
                <w:sz w:val="12"/>
                <w:szCs w:val="12"/>
                <w:i w:val="1"/>
                <w:iCs w:val="1"/>
                <w:color w:val="auto"/>
                <w:w w:val="85"/>
              </w:rPr>
              <w:t>(c)</w:t>
            </w:r>
          </w:p>
        </w:tc>
        <w:tc>
          <w:tcPr>
            <w:tcW w:w="1280" w:type="dxa"/>
            <w:vAlign w:val="bottom"/>
            <w:tcBorders>
              <w:top w:val="single" w:sz="8" w:color="auto"/>
              <w:right w:val="single" w:sz="8" w:color="auto"/>
            </w:tcBorders>
          </w:tcPr>
          <w:p>
            <w:pPr>
              <w:jc w:val="right"/>
              <w:ind w:right="1075"/>
              <w:spacing w:after="0" w:line="110" w:lineRule="exact"/>
              <w:rPr>
                <w:sz w:val="20"/>
                <w:szCs w:val="20"/>
                <w:color w:val="auto"/>
              </w:rPr>
            </w:pPr>
            <w:r>
              <w:rPr>
                <w:rFonts w:ascii="Arial" w:cs="Arial" w:eastAsia="Arial" w:hAnsi="Arial"/>
                <w:sz w:val="12"/>
                <w:szCs w:val="12"/>
                <w:i w:val="1"/>
                <w:iCs w:val="1"/>
                <w:color w:val="auto"/>
                <w:w w:val="81"/>
              </w:rPr>
              <w:t>(d)</w:t>
            </w:r>
          </w:p>
        </w:tc>
        <w:tc>
          <w:tcPr>
            <w:tcW w:w="1420" w:type="dxa"/>
            <w:vAlign w:val="bottom"/>
            <w:tcBorders>
              <w:top w:val="single" w:sz="8" w:color="auto"/>
              <w:right w:val="single" w:sz="8" w:color="auto"/>
            </w:tcBorders>
          </w:tcPr>
          <w:p>
            <w:pPr>
              <w:jc w:val="right"/>
              <w:ind w:right="1215"/>
              <w:spacing w:after="0" w:line="110" w:lineRule="exact"/>
              <w:rPr>
                <w:sz w:val="20"/>
                <w:szCs w:val="20"/>
                <w:color w:val="auto"/>
              </w:rPr>
            </w:pPr>
            <w:r>
              <w:rPr>
                <w:rFonts w:ascii="Arial" w:cs="Arial" w:eastAsia="Arial" w:hAnsi="Arial"/>
                <w:sz w:val="12"/>
                <w:szCs w:val="12"/>
                <w:i w:val="1"/>
                <w:iCs w:val="1"/>
                <w:color w:val="auto"/>
                <w:w w:val="81"/>
              </w:rPr>
              <w:t>(e)</w:t>
            </w:r>
          </w:p>
        </w:tc>
        <w:tc>
          <w:tcPr>
            <w:tcW w:w="20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(f)</w:t>
            </w:r>
          </w:p>
        </w:tc>
        <w:tc>
          <w:tcPr>
            <w:tcW w:w="1120" w:type="dxa"/>
            <w:vAlign w:val="bottom"/>
            <w:tcBorders>
              <w:top w:val="single" w:sz="8" w:color="auto"/>
              <w:right w:val="single" w:sz="8" w:color="auto"/>
            </w:tcBorders>
          </w:tcPr>
          <w:p>
            <w:pPr>
              <w:spacing w:after="0"/>
              <w:rPr>
                <w:sz w:val="9"/>
                <w:szCs w:val="9"/>
                <w:color w:val="auto"/>
              </w:rPr>
            </w:pPr>
          </w:p>
        </w:tc>
        <w:tc>
          <w:tcPr>
            <w:tcW w:w="2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c>
          <w:tcPr>
            <w:tcW w:w="100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1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Title of</w:t>
            </w:r>
          </w:p>
        </w:tc>
        <w:tc>
          <w:tcPr>
            <w:tcW w:w="240" w:type="dxa"/>
            <w:vAlign w:val="bottom"/>
          </w:tcPr>
          <w:p>
            <w:pPr>
              <w:spacing w:after="0"/>
              <w:rPr>
                <w:sz w:val="8"/>
                <w:szCs w:val="8"/>
                <w:color w:val="auto"/>
              </w:rPr>
            </w:pPr>
          </w:p>
        </w:tc>
        <w:tc>
          <w:tcPr>
            <w:tcW w:w="21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060" w:type="dxa"/>
            <w:vAlign w:val="bottom"/>
            <w:tcBorders>
              <w:bottom w:val="single" w:sz="8" w:color="auto"/>
              <w:right w:val="single" w:sz="8" w:color="auto"/>
            </w:tcBorders>
            <w:shd w:val="clear" w:color="auto" w:fill="BFBFBF"/>
          </w:tcPr>
          <w:p>
            <w:pPr>
              <w:spacing w:after="0"/>
              <w:rPr>
                <w:sz w:val="8"/>
                <w:szCs w:val="8"/>
                <w:color w:val="auto"/>
              </w:rPr>
            </w:pPr>
          </w:p>
        </w:tc>
        <w:tc>
          <w:tcPr>
            <w:tcW w:w="138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8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w w:val="99"/>
              </w:rPr>
              <w:t>Aggregate</w:t>
            </w:r>
          </w:p>
        </w:tc>
        <w:tc>
          <w:tcPr>
            <w:tcW w:w="1420" w:type="dxa"/>
            <w:vAlign w:val="bottom"/>
            <w:tcBorders>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1120" w:type="dxa"/>
            <w:vAlign w:val="bottom"/>
            <w:tcBorders>
              <w:right w:val="single" w:sz="8" w:color="auto"/>
            </w:tcBorders>
          </w:tcPr>
          <w:p>
            <w:pPr>
              <w:jc w:val="center"/>
              <w:ind w:left="34"/>
              <w:spacing w:after="0" w:line="100" w:lineRule="exact"/>
              <w:rPr>
                <w:sz w:val="20"/>
                <w:szCs w:val="20"/>
                <w:color w:val="auto"/>
              </w:rPr>
            </w:pPr>
            <w:r>
              <w:rPr>
                <w:rFonts w:ascii="Arial" w:cs="Arial" w:eastAsia="Arial" w:hAnsi="Arial"/>
                <w:sz w:val="11"/>
                <w:szCs w:val="11"/>
                <w:b w:val="1"/>
                <w:bCs w:val="1"/>
                <w:color w:val="auto"/>
              </w:rPr>
              <w:t>Approximate</w:t>
            </w:r>
          </w:p>
        </w:tc>
        <w:tc>
          <w:tcPr>
            <w:tcW w:w="260" w:type="dxa"/>
            <w:vAlign w:val="bottom"/>
          </w:tcPr>
          <w:p>
            <w:pPr>
              <w:spacing w:after="0"/>
              <w:rPr>
                <w:sz w:val="8"/>
                <w:szCs w:val="8"/>
                <w:color w:val="auto"/>
              </w:rPr>
            </w:pPr>
          </w:p>
        </w:tc>
        <w:tc>
          <w:tcPr>
            <w:tcW w:w="10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1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2"/>
              </w:rPr>
              <w:t>the Class</w:t>
            </w:r>
          </w:p>
        </w:tc>
        <w:tc>
          <w:tcPr>
            <w:tcW w:w="240" w:type="dxa"/>
            <w:vAlign w:val="bottom"/>
          </w:tcPr>
          <w:p>
            <w:pPr>
              <w:spacing w:after="0"/>
              <w:rPr>
                <w:sz w:val="12"/>
                <w:szCs w:val="12"/>
                <w:color w:val="auto"/>
              </w:rPr>
            </w:pPr>
          </w:p>
        </w:tc>
        <w:tc>
          <w:tcPr>
            <w:tcW w:w="21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88"/>
              </w:rPr>
              <w:t>Broker-Dealer</w:t>
            </w:r>
          </w:p>
        </w:tc>
        <w:tc>
          <w:tcPr>
            <w:tcW w:w="138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8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rPr>
              <w:t>Market</w:t>
            </w:r>
          </w:p>
        </w:tc>
        <w:tc>
          <w:tcPr>
            <w:tcW w:w="1420" w:type="dxa"/>
            <w:vAlign w:val="bottom"/>
            <w:tcBorders>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00" w:type="dxa"/>
            <w:vAlign w:val="bottom"/>
          </w:tcPr>
          <w:p>
            <w:pPr>
              <w:spacing w:after="0"/>
              <w:rPr>
                <w:sz w:val="12"/>
                <w:szCs w:val="12"/>
                <w:color w:val="auto"/>
              </w:rPr>
            </w:pPr>
          </w:p>
        </w:tc>
        <w:tc>
          <w:tcPr>
            <w:tcW w:w="1120" w:type="dxa"/>
            <w:vAlign w:val="bottom"/>
            <w:tcBorders>
              <w:right w:val="single" w:sz="8" w:color="auto"/>
            </w:tcBorders>
          </w:tcPr>
          <w:p>
            <w:pPr>
              <w:jc w:val="center"/>
              <w:ind w:left="34"/>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26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1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40" w:type="dxa"/>
            <w:vAlign w:val="bottom"/>
          </w:tcPr>
          <w:p>
            <w:pPr>
              <w:spacing w:after="0"/>
              <w:rPr>
                <w:sz w:val="12"/>
                <w:szCs w:val="12"/>
                <w:color w:val="auto"/>
              </w:rPr>
            </w:pPr>
          </w:p>
        </w:tc>
        <w:tc>
          <w:tcPr>
            <w:tcW w:w="21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138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8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6"/>
              </w:rPr>
              <w:t>Value</w:t>
            </w:r>
          </w:p>
        </w:tc>
        <w:tc>
          <w:tcPr>
            <w:tcW w:w="1420" w:type="dxa"/>
            <w:vAlign w:val="bottom"/>
            <w:tcBorders>
              <w:right w:val="single" w:sz="8" w:color="auto"/>
            </w:tcBorders>
          </w:tcPr>
          <w:p>
            <w:pPr>
              <w:jc w:val="center"/>
              <w:ind w:left="255"/>
              <w:spacing w:after="0" w:line="144" w:lineRule="exact"/>
              <w:rPr>
                <w:sz w:val="20"/>
                <w:szCs w:val="20"/>
                <w:color w:val="auto"/>
              </w:rPr>
            </w:pPr>
            <w:r>
              <w:rPr>
                <w:rFonts w:ascii="Arial" w:cs="Arial" w:eastAsia="Arial" w:hAnsi="Arial"/>
                <w:sz w:val="13"/>
                <w:szCs w:val="13"/>
                <w:b w:val="1"/>
                <w:bCs w:val="1"/>
                <w:color w:val="auto"/>
                <w:w w:val="86"/>
              </w:rPr>
              <w:t>Outstanding</w:t>
            </w:r>
          </w:p>
        </w:tc>
        <w:tc>
          <w:tcPr>
            <w:tcW w:w="200" w:type="dxa"/>
            <w:vAlign w:val="bottom"/>
          </w:tcPr>
          <w:p>
            <w:pPr>
              <w:spacing w:after="0"/>
              <w:rPr>
                <w:sz w:val="12"/>
                <w:szCs w:val="12"/>
                <w:color w:val="auto"/>
              </w:rPr>
            </w:pPr>
          </w:p>
        </w:tc>
        <w:tc>
          <w:tcPr>
            <w:tcW w:w="1120" w:type="dxa"/>
            <w:vAlign w:val="bottom"/>
            <w:tcBorders>
              <w:right w:val="single" w:sz="8" w:color="auto"/>
            </w:tcBorders>
          </w:tcPr>
          <w:p>
            <w:pPr>
              <w:jc w:val="center"/>
              <w:ind w:left="34"/>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26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To Be Sold</w:t>
            </w:r>
          </w:p>
        </w:tc>
        <w:tc>
          <w:tcPr>
            <w:tcW w:w="24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who is Acquiring the Securities</w:t>
            </w:r>
          </w:p>
        </w:tc>
        <w:tc>
          <w:tcPr>
            <w:tcW w:w="1060" w:type="dxa"/>
            <w:vAlign w:val="bottom"/>
            <w:tcBorders>
              <w:bottom w:val="single" w:sz="8" w:color="auto"/>
              <w:right w:val="single" w:sz="8" w:color="auto"/>
            </w:tcBorders>
            <w:shd w:val="clear" w:color="auto" w:fill="BFBFBF"/>
          </w:tcPr>
          <w:p>
            <w:pPr>
              <w:spacing w:after="0"/>
              <w:rPr>
                <w:sz w:val="13"/>
                <w:szCs w:val="13"/>
                <w:color w:val="auto"/>
              </w:rPr>
            </w:pPr>
          </w:p>
        </w:tc>
        <w:tc>
          <w:tcPr>
            <w:tcW w:w="138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8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i w:val="1"/>
                <w:iCs w:val="1"/>
                <w:color w:val="auto"/>
                <w:w w:val="90"/>
              </w:rPr>
              <w:t>(See instr. 3(d))</w:t>
            </w:r>
          </w:p>
        </w:tc>
        <w:tc>
          <w:tcPr>
            <w:tcW w:w="142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3(e))</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center"/>
              <w:ind w:left="34"/>
              <w:spacing w:after="0"/>
              <w:rPr>
                <w:sz w:val="20"/>
                <w:szCs w:val="20"/>
                <w:color w:val="auto"/>
              </w:rPr>
            </w:pPr>
            <w:r>
              <w:rPr>
                <w:rFonts w:ascii="Arial" w:cs="Arial" w:eastAsia="Arial" w:hAnsi="Arial"/>
                <w:sz w:val="13"/>
                <w:szCs w:val="13"/>
                <w:color w:val="auto"/>
                <w:w w:val="96"/>
              </w:rPr>
              <w:t>(MO. DAY YR.)</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85"/>
        </w:trPr>
        <w:tc>
          <w:tcPr>
            <w:tcW w:w="26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gridSpan w:val="2"/>
          </w:tcPr>
          <w:p>
            <w:pPr>
              <w:spacing w:after="0" w:line="186" w:lineRule="exact"/>
              <w:rPr>
                <w:sz w:val="20"/>
                <w:szCs w:val="20"/>
                <w:color w:val="auto"/>
              </w:rPr>
            </w:pPr>
            <w:r>
              <w:rPr>
                <w:rFonts w:ascii="Arial" w:cs="Arial" w:eastAsia="Arial" w:hAnsi="Arial"/>
                <w:sz w:val="18"/>
                <w:szCs w:val="18"/>
                <w:color w:val="auto"/>
              </w:rPr>
              <w:t>Credit Suisse AG</w:t>
            </w:r>
          </w:p>
        </w:tc>
        <w:tc>
          <w:tcPr>
            <w:tcW w:w="1060" w:type="dxa"/>
            <w:vAlign w:val="bottom"/>
            <w:tcBorders>
              <w:right w:val="single" w:sz="8" w:color="auto"/>
            </w:tcBorders>
            <w:shd w:val="clear" w:color="auto" w:fill="BFBFBF"/>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36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Common Stock</w:t>
            </w:r>
          </w:p>
        </w:tc>
        <w:tc>
          <w:tcPr>
            <w:tcW w:w="2340" w:type="dxa"/>
            <w:vAlign w:val="bottom"/>
            <w:tcBorders>
              <w:right w:val="single" w:sz="8" w:color="auto"/>
            </w:tcBorders>
            <w:gridSpan w:val="2"/>
          </w:tcPr>
          <w:p>
            <w:pPr>
              <w:spacing w:after="0" w:line="226" w:lineRule="exact"/>
              <w:rPr>
                <w:sz w:val="20"/>
                <w:szCs w:val="20"/>
                <w:color w:val="auto"/>
              </w:rPr>
            </w:pPr>
            <w:r>
              <w:rPr>
                <w:rFonts w:ascii="Arial" w:cs="Arial" w:eastAsia="Arial" w:hAnsi="Arial"/>
                <w:sz w:val="16"/>
                <w:szCs w:val="16"/>
                <w:color w:val="auto"/>
              </w:rPr>
              <w:t>The Gate, 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East</w:t>
            </w:r>
          </w:p>
        </w:tc>
        <w:tc>
          <w:tcPr>
            <w:tcW w:w="1060" w:type="dxa"/>
            <w:vAlign w:val="bottom"/>
            <w:tcBorders>
              <w:right w:val="single" w:sz="8" w:color="auto"/>
            </w:tcBorders>
            <w:shd w:val="clear" w:color="auto" w:fill="BFBFBF"/>
          </w:tcPr>
          <w:p>
            <w:pPr>
              <w:spacing w:after="0"/>
              <w:rPr>
                <w:sz w:val="19"/>
                <w:szCs w:val="19"/>
                <w:color w:val="auto"/>
              </w:rPr>
            </w:pPr>
          </w:p>
        </w:tc>
        <w:tc>
          <w:tcPr>
            <w:tcW w:w="1380" w:type="dxa"/>
            <w:vAlign w:val="bottom"/>
            <w:tcBorders>
              <w:right w:val="single" w:sz="8" w:color="auto"/>
            </w:tcBorders>
            <w:vMerge w:val="restart"/>
          </w:tcPr>
          <w:p>
            <w:pPr>
              <w:jc w:val="right"/>
              <w:ind w:right="395"/>
              <w:spacing w:after="0"/>
              <w:rPr>
                <w:sz w:val="20"/>
                <w:szCs w:val="20"/>
                <w:color w:val="auto"/>
              </w:rPr>
            </w:pPr>
            <w:r>
              <w:rPr>
                <w:rFonts w:ascii="Arial" w:cs="Arial" w:eastAsia="Arial" w:hAnsi="Arial"/>
                <w:sz w:val="18"/>
                <w:szCs w:val="18"/>
                <w:color w:val="auto"/>
              </w:rPr>
              <w:t>75,000</w:t>
            </w:r>
          </w:p>
        </w:tc>
        <w:tc>
          <w:tcPr>
            <w:tcW w:w="1280" w:type="dxa"/>
            <w:vAlign w:val="bottom"/>
            <w:tcBorders>
              <w:right w:val="single" w:sz="8" w:color="auto"/>
            </w:tcBorders>
            <w:vMerge w:val="restart"/>
          </w:tcPr>
          <w:p>
            <w:pPr>
              <w:jc w:val="right"/>
              <w:ind w:right="235"/>
              <w:spacing w:after="0"/>
              <w:rPr>
                <w:sz w:val="20"/>
                <w:szCs w:val="20"/>
                <w:color w:val="auto"/>
              </w:rPr>
            </w:pPr>
            <w:r>
              <w:rPr>
                <w:rFonts w:ascii="Arial" w:cs="Arial" w:eastAsia="Arial" w:hAnsi="Arial"/>
                <w:sz w:val="18"/>
                <w:szCs w:val="18"/>
                <w:color w:val="auto"/>
              </w:rPr>
              <w:t>5,914,500</w:t>
            </w:r>
          </w:p>
        </w:tc>
        <w:tc>
          <w:tcPr>
            <w:tcW w:w="1420" w:type="dxa"/>
            <w:vAlign w:val="bottom"/>
            <w:tcBorders>
              <w:right w:val="single" w:sz="8" w:color="auto"/>
            </w:tcBorders>
            <w:vMerge w:val="restart"/>
          </w:tcPr>
          <w:p>
            <w:pPr>
              <w:jc w:val="right"/>
              <w:ind w:right="135"/>
              <w:spacing w:after="0"/>
              <w:rPr>
                <w:sz w:val="20"/>
                <w:szCs w:val="20"/>
                <w:color w:val="auto"/>
              </w:rPr>
            </w:pPr>
            <w:r>
              <w:rPr>
                <w:rFonts w:ascii="Arial" w:cs="Arial" w:eastAsia="Arial" w:hAnsi="Arial"/>
                <w:sz w:val="18"/>
                <w:szCs w:val="18"/>
                <w:color w:val="auto"/>
              </w:rPr>
              <w:t>1,383,932,494</w:t>
            </w:r>
          </w:p>
        </w:tc>
        <w:tc>
          <w:tcPr>
            <w:tcW w:w="200" w:type="dxa"/>
            <w:vAlign w:val="bottom"/>
          </w:tcPr>
          <w:p>
            <w:pPr>
              <w:spacing w:after="0"/>
              <w:rPr>
                <w:sz w:val="19"/>
                <w:szCs w:val="19"/>
                <w:color w:val="auto"/>
              </w:rPr>
            </w:pPr>
          </w:p>
        </w:tc>
        <w:tc>
          <w:tcPr>
            <w:tcW w:w="112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18"/>
                <w:szCs w:val="18"/>
                <w:color w:val="auto"/>
                <w:w w:val="99"/>
              </w:rPr>
              <w:t>1/24/2018</w:t>
            </w:r>
          </w:p>
        </w:tc>
        <w:tc>
          <w:tcPr>
            <w:tcW w:w="260" w:type="dxa"/>
            <w:vAlign w:val="bottom"/>
          </w:tcPr>
          <w:p>
            <w:pPr>
              <w:spacing w:after="0"/>
              <w:rPr>
                <w:sz w:val="19"/>
                <w:szCs w:val="19"/>
                <w:color w:val="auto"/>
              </w:rPr>
            </w:pPr>
          </w:p>
        </w:tc>
        <w:tc>
          <w:tcPr>
            <w:tcW w:w="10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22"/>
        </w:trPr>
        <w:tc>
          <w:tcPr>
            <w:tcW w:w="1360" w:type="dxa"/>
            <w:vAlign w:val="bottom"/>
            <w:tcBorders>
              <w:left w:val="single" w:sz="8" w:color="auto"/>
              <w:right w:val="single" w:sz="8" w:color="auto"/>
            </w:tcBorders>
            <w:gridSpan w:val="2"/>
            <w:vMerge w:val="continue"/>
          </w:tcPr>
          <w:p>
            <w:pPr>
              <w:spacing w:after="0"/>
              <w:rPr>
                <w:sz w:val="10"/>
                <w:szCs w:val="10"/>
                <w:color w:val="auto"/>
              </w:rPr>
            </w:pPr>
          </w:p>
        </w:tc>
        <w:tc>
          <w:tcPr>
            <w:tcW w:w="23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P.O. Box 33660</w:t>
            </w:r>
          </w:p>
        </w:tc>
        <w:tc>
          <w:tcPr>
            <w:tcW w:w="1060" w:type="dxa"/>
            <w:vAlign w:val="bottom"/>
            <w:tcBorders>
              <w:right w:val="single" w:sz="8" w:color="auto"/>
            </w:tcBorders>
            <w:shd w:val="clear" w:color="auto" w:fill="BFBFBF"/>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2340" w:type="dxa"/>
            <w:vAlign w:val="bottom"/>
            <w:tcBorders>
              <w:right w:val="single" w:sz="8" w:color="auto"/>
            </w:tcBorders>
            <w:gridSpan w:val="2"/>
            <w:vMerge w:val="continue"/>
          </w:tcPr>
          <w:p>
            <w:pPr>
              <w:spacing w:after="0"/>
              <w:rPr>
                <w:sz w:val="8"/>
                <w:szCs w:val="8"/>
                <w:color w:val="auto"/>
              </w:rPr>
            </w:pPr>
          </w:p>
        </w:tc>
        <w:tc>
          <w:tcPr>
            <w:tcW w:w="1060" w:type="dxa"/>
            <w:vAlign w:val="bottom"/>
            <w:tcBorders>
              <w:right w:val="single" w:sz="8" w:color="auto"/>
            </w:tcBorders>
            <w:shd w:val="clear" w:color="auto" w:fill="BFBFBF"/>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Dubai UAE</w:t>
            </w:r>
          </w:p>
        </w:tc>
        <w:tc>
          <w:tcPr>
            <w:tcW w:w="1060" w:type="dxa"/>
            <w:vAlign w:val="bottom"/>
            <w:tcBorders>
              <w:bottom w:val="single" w:sz="8" w:color="auto"/>
              <w:right w:val="single" w:sz="8" w:color="auto"/>
            </w:tcBorders>
            <w:shd w:val="clear" w:color="auto" w:fill="BFBFBF"/>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jc w:val="right"/>
              <w:ind w:right="11"/>
              <w:spacing w:after="0" w:line="135" w:lineRule="exact"/>
              <w:rPr>
                <w:sz w:val="20"/>
                <w:szCs w:val="20"/>
                <w:color w:val="auto"/>
              </w:rPr>
            </w:pPr>
            <w:r>
              <w:rPr>
                <w:rFonts w:ascii="Arial" w:cs="Arial" w:eastAsia="Arial" w:hAnsi="Arial"/>
                <w:sz w:val="13"/>
                <w:szCs w:val="13"/>
                <w:color w:val="auto"/>
              </w:rPr>
              <w:t>1.</w:t>
            </w:r>
          </w:p>
        </w:tc>
        <w:tc>
          <w:tcPr>
            <w:tcW w:w="1100" w:type="dxa"/>
            <w:vAlign w:val="bottom"/>
          </w:tcPr>
          <w:p>
            <w:pPr>
              <w:spacing w:after="0" w:line="135" w:lineRule="exact"/>
              <w:rPr>
                <w:sz w:val="20"/>
                <w:szCs w:val="20"/>
                <w:color w:val="auto"/>
              </w:rPr>
            </w:pPr>
            <w:r>
              <w:rPr>
                <w:rFonts w:ascii="Arial" w:cs="Arial" w:eastAsia="Arial" w:hAnsi="Arial"/>
                <w:sz w:val="13"/>
                <w:szCs w:val="13"/>
                <w:color w:val="auto"/>
                <w:w w:val="99"/>
              </w:rPr>
              <w:t>(a) Name of issuer</w:t>
            </w: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72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3.  (a) Title of the class of securities to be sold</w:t>
            </w: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4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140" w:type="dxa"/>
            <w:vAlign w:val="bottom"/>
            <w:gridSpan w:val="4"/>
          </w:tcPr>
          <w:p>
            <w:pPr>
              <w:ind w:left="360"/>
              <w:spacing w:after="0" w:line="135" w:lineRule="exact"/>
              <w:rPr>
                <w:sz w:val="20"/>
                <w:szCs w:val="20"/>
                <w:color w:val="auto"/>
              </w:rPr>
            </w:pPr>
            <w:r>
              <w:rPr>
                <w:rFonts w:ascii="Arial" w:cs="Arial" w:eastAsia="Arial" w:hAnsi="Arial"/>
                <w:sz w:val="13"/>
                <w:szCs w:val="13"/>
                <w:color w:val="auto"/>
                <w:w w:val="91"/>
              </w:rPr>
              <w:t>(b) Name and address of each broker through whom the securities are intended to be sold</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4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40" w:type="dxa"/>
            <w:vAlign w:val="bottom"/>
            <w:gridSpan w:val="5"/>
          </w:tcPr>
          <w:p>
            <w:pPr>
              <w:ind w:left="360"/>
              <w:spacing w:after="0" w:line="135" w:lineRule="exact"/>
              <w:rPr>
                <w:sz w:val="20"/>
                <w:szCs w:val="20"/>
                <w:color w:val="auto"/>
              </w:rPr>
            </w:pPr>
            <w:r>
              <w:rPr>
                <w:rFonts w:ascii="Arial" w:cs="Arial" w:eastAsia="Arial" w:hAnsi="Arial"/>
                <w:sz w:val="13"/>
                <w:szCs w:val="13"/>
                <w:color w:val="auto"/>
                <w:w w:val="88"/>
              </w:rPr>
              <w:t>(c) Number of shares or other units to be sold (if debt securities, give the aggregate face amount)</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4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7"/>
          </w:tcPr>
          <w:p>
            <w:pPr>
              <w:ind w:left="360"/>
              <w:spacing w:after="0" w:line="135" w:lineRule="exact"/>
              <w:rPr>
                <w:sz w:val="20"/>
                <w:szCs w:val="20"/>
                <w:color w:val="auto"/>
              </w:rPr>
            </w:pPr>
            <w:r>
              <w:rPr>
                <w:rFonts w:ascii="Arial" w:cs="Arial" w:eastAsia="Arial" w:hAnsi="Arial"/>
                <w:sz w:val="13"/>
                <w:szCs w:val="13"/>
                <w:color w:val="auto"/>
                <w:w w:val="90"/>
              </w:rPr>
              <w:t>(d) Aggregate market value of the securities to be sold as of a specified date within 10 days prior to the filing of this notice</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40" w:type="dxa"/>
            <w:vAlign w:val="bottom"/>
            <w:gridSpan w:val="3"/>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720" w:type="dxa"/>
            <w:vAlign w:val="bottom"/>
            <w:gridSpan w:val="8"/>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720" w:type="dxa"/>
            <w:vAlign w:val="bottom"/>
            <w:gridSpan w:val="3"/>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720" w:type="dxa"/>
            <w:vAlign w:val="bottom"/>
            <w:gridSpan w:val="3"/>
          </w:tcPr>
          <w:p>
            <w:pPr>
              <w:ind w:left="360"/>
              <w:spacing w:after="0" w:line="135" w:lineRule="exact"/>
              <w:rPr>
                <w:sz w:val="20"/>
                <w:szCs w:val="20"/>
                <w:color w:val="auto"/>
              </w:rPr>
            </w:pPr>
            <w:r>
              <w:rPr>
                <w:rFonts w:ascii="Arial" w:cs="Arial" w:eastAsia="Arial" w:hAnsi="Arial"/>
                <w:sz w:val="13"/>
                <w:szCs w:val="13"/>
                <w:color w:val="auto"/>
                <w:w w:val="99"/>
              </w:rPr>
              <w:t>(f) Approximate date on which the securities are to be sold</w:t>
            </w: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jc w:val="right"/>
              <w:ind w:right="11"/>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3"/>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140" w:type="dxa"/>
            <w:vAlign w:val="bottom"/>
            <w:gridSpan w:val="4"/>
          </w:tcPr>
          <w:p>
            <w:pPr>
              <w:ind w:left="360"/>
              <w:spacing w:after="0" w:line="145" w:lineRule="exact"/>
              <w:rPr>
                <w:sz w:val="20"/>
                <w:szCs w:val="20"/>
                <w:color w:val="auto"/>
              </w:rPr>
            </w:pPr>
            <w:r>
              <w:rPr>
                <w:rFonts w:ascii="Arial" w:cs="Arial" w:eastAsia="Arial" w:hAnsi="Arial"/>
                <w:sz w:val="13"/>
                <w:szCs w:val="13"/>
                <w:color w:val="auto"/>
                <w:w w:val="89"/>
              </w:rPr>
              <w:t>(g) Name of each securities exchange, if any, on which the securities are intended to be sold</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22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4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r>
      <w:tr>
        <w:trPr>
          <w:trHeight w:val="166"/>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232"/>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1/12/2017</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Schlumberger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91,450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1/12/2017</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37"/>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60" w:type="dxa"/>
            <w:vAlign w:val="bottom"/>
            <w:tcBorders>
              <w:bottom w:val="single" w:sz="8" w:color="auto"/>
              <w:right w:val="single" w:sz="8" w:color="auto"/>
            </w:tcBorders>
          </w:tcPr>
          <w:p>
            <w:pPr>
              <w:jc w:val="right"/>
              <w:ind w:right="223"/>
              <w:spacing w:after="0"/>
              <w:rPr>
                <w:sz w:val="20"/>
                <w:szCs w:val="20"/>
                <w:color w:val="auto"/>
              </w:rPr>
            </w:pPr>
            <w:r>
              <w:rPr>
                <w:rFonts w:ascii="Arial" w:cs="Arial" w:eastAsia="Arial" w:hAnsi="Arial"/>
                <w:sz w:val="18"/>
                <w:szCs w:val="18"/>
                <w:color w:val="auto"/>
              </w:rPr>
              <w:t>1/15/2016</w:t>
            </w:r>
          </w:p>
        </w:tc>
        <w:tc>
          <w:tcPr>
            <w:tcW w:w="25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Stock Option Exercise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Schlumberger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1/15/2016</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40"/>
        </w:trPr>
        <w:tc>
          <w:tcPr>
            <w:tcW w:w="122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7"/>
        </w:trPr>
        <w:tc>
          <w:tcPr>
            <w:tcW w:w="122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263"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1140" w:type="dxa"/>
            <w:vAlign w:val="bottom"/>
          </w:tcPr>
          <w:p>
            <w:pPr>
              <w:spacing w:after="0"/>
              <w:rPr>
                <w:sz w:val="13"/>
                <w:szCs w:val="13"/>
                <w:color w:val="auto"/>
              </w:rPr>
            </w:pPr>
          </w:p>
        </w:tc>
      </w:tr>
      <w:tr>
        <w:trPr>
          <w:trHeight w:val="205"/>
        </w:trPr>
        <w:tc>
          <w:tcPr>
            <w:tcW w:w="2520" w:type="dxa"/>
            <w:vAlign w:val="bottom"/>
          </w:tcPr>
          <w:p>
            <w:pPr>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140" w:type="dxa"/>
            <w:vAlign w:val="bottom"/>
          </w:tcPr>
          <w:p>
            <w:pPr>
              <w:ind w:left="320"/>
              <w:spacing w:after="0"/>
              <w:rPr>
                <w:sz w:val="20"/>
                <w:szCs w:val="20"/>
                <w:color w:val="auto"/>
              </w:rPr>
            </w:pPr>
            <w:r>
              <w:rPr>
                <w:rFonts w:ascii="Arial" w:cs="Arial" w:eastAsia="Arial" w:hAnsi="Arial"/>
                <w:sz w:val="13"/>
                <w:szCs w:val="13"/>
                <w:b w:val="1"/>
                <w:bCs w:val="1"/>
                <w:color w:val="auto"/>
                <w:w w:val="80"/>
              </w:rPr>
              <w:t>Gross Proceeds</w:t>
            </w:r>
          </w:p>
        </w:tc>
      </w:tr>
    </w:tbl>
    <w:p>
      <w:pPr>
        <w:ind w:left="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1/24/2018</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Saul Laureles</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2019-12-21T02:26:32Z</dcterms:created>
  <dcterms:modified xsi:type="dcterms:W3CDTF">2019-12-21T02:26:32Z</dcterms:modified>
</cp:coreProperties>
</file>