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Chereque Pierre</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580" w:type="dxa"/>
            <w:vAlign w:val="bottom"/>
            <w:tcBorders>
              <w:top w:val="single" w:sz="8" w:color="0000EE"/>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0000FF"/>
        </w:rPr>
        <w:t>VP, Director of Tax</w:t>
      </w:r>
    </w:p>
    <w:p>
      <w:pPr>
        <w:spacing w:after="0" w:line="315"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2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79"/>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220" w:type="dxa"/>
            <w:vAlign w:val="bottom"/>
            <w:tcBorders>
              <w:bottom w:val="single" w:sz="8" w:color="2C2C2C"/>
            </w:tcBorders>
          </w:tcPr>
          <w:p>
            <w:pPr>
              <w:jc w:val="center"/>
              <w:ind w:left="26"/>
              <w:spacing w:after="0"/>
              <w:rPr>
                <w:sz w:val="20"/>
                <w:szCs w:val="20"/>
                <w:color w:val="auto"/>
              </w:rPr>
            </w:pPr>
            <w:r>
              <w:rPr>
                <w:rFonts w:ascii="Arial" w:cs="Arial" w:eastAsia="Arial" w:hAnsi="Arial"/>
                <w:sz w:val="18"/>
                <w:szCs w:val="18"/>
                <w:color w:val="0000FF"/>
                <w:w w:val="88"/>
              </w:rPr>
              <w:t>01/17/2020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8,249</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60,145</w:t>
            </w:r>
            <w:r>
              <w:rPr>
                <w:rFonts w:ascii="Arial" w:cs="Arial" w:eastAsia="Arial" w:hAnsi="Arial"/>
                <w:sz w:val="22"/>
                <w:szCs w:val="22"/>
                <w:color w:val="008000"/>
                <w:w w:val="84"/>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220" w:type="dxa"/>
            <w:vAlign w:val="bottom"/>
            <w:tcBorders>
              <w:bottom w:val="single" w:sz="8" w:color="2C2C2C"/>
            </w:tcBorders>
          </w:tcPr>
          <w:p>
            <w:pPr>
              <w:jc w:val="center"/>
              <w:ind w:left="26"/>
              <w:spacing w:after="0"/>
              <w:rPr>
                <w:sz w:val="20"/>
                <w:szCs w:val="20"/>
                <w:color w:val="auto"/>
              </w:rPr>
            </w:pPr>
            <w:r>
              <w:rPr>
                <w:rFonts w:ascii="Arial" w:cs="Arial" w:eastAsia="Arial" w:hAnsi="Arial"/>
                <w:sz w:val="18"/>
                <w:szCs w:val="18"/>
                <w:color w:val="0000FF"/>
                <w:w w:val="88"/>
              </w:rPr>
              <w:t>01/17/2020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13,750</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73,895</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220" w:type="dxa"/>
            <w:vAlign w:val="bottom"/>
          </w:tcPr>
          <w:p>
            <w:pPr>
              <w:jc w:val="center"/>
              <w:ind w:left="26"/>
              <w:spacing w:after="0"/>
              <w:rPr>
                <w:sz w:val="20"/>
                <w:szCs w:val="20"/>
                <w:color w:val="auto"/>
              </w:rPr>
            </w:pPr>
            <w:r>
              <w:rPr>
                <w:rFonts w:ascii="Arial" w:cs="Arial" w:eastAsia="Arial" w:hAnsi="Arial"/>
                <w:sz w:val="18"/>
                <w:szCs w:val="18"/>
                <w:color w:val="0000FF"/>
                <w:w w:val="88"/>
              </w:rPr>
              <w:t>01/19/2020</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840" w:type="dxa"/>
            <w:vAlign w:val="bottom"/>
          </w:tcPr>
          <w:p>
            <w:pPr>
              <w:jc w:val="center"/>
              <w:spacing w:after="0"/>
              <w:rPr>
                <w:sz w:val="20"/>
                <w:szCs w:val="20"/>
                <w:color w:val="auto"/>
              </w:rPr>
            </w:pPr>
            <w:r>
              <w:rPr>
                <w:rFonts w:ascii="Arial" w:cs="Arial" w:eastAsia="Arial" w:hAnsi="Arial"/>
                <w:sz w:val="18"/>
                <w:szCs w:val="18"/>
                <w:color w:val="0000FF"/>
                <w:w w:val="88"/>
              </w:rPr>
              <w:t>1,200</w:t>
            </w:r>
          </w:p>
        </w:tc>
        <w:tc>
          <w:tcPr>
            <w:tcW w:w="520" w:type="dxa"/>
            <w:vAlign w:val="bottom"/>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75,095</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4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ind w:left="60"/>
              <w:spacing w:after="0"/>
              <w:rPr>
                <w:sz w:val="20"/>
                <w:szCs w:val="20"/>
                <w:color w:val="auto"/>
              </w:rPr>
            </w:pPr>
            <w:r>
              <w:rPr>
                <w:rFonts w:ascii="Arial" w:cs="Arial" w:eastAsia="Arial" w:hAnsi="Arial"/>
                <w:sz w:val="14"/>
                <w:szCs w:val="14"/>
                <w:color w:val="0000FF"/>
              </w:rPr>
              <w:t>RSU</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$0.01</w:t>
            </w: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4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w w:val="97"/>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(5)</w:t>
            </w:r>
          </w:p>
        </w:tc>
        <w:tc>
          <w:tcPr>
            <w:tcW w:w="720" w:type="dxa"/>
            <w:vAlign w:val="bottom"/>
            <w:vMerge w:val="continue"/>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01/19/2020</w:t>
            </w:r>
          </w:p>
        </w:tc>
        <w:tc>
          <w:tcPr>
            <w:tcW w:w="11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rPr>
                <w:sz w:val="20"/>
                <w:szCs w:val="20"/>
                <w:color w:val="auto"/>
              </w:rPr>
            </w:pPr>
            <w:r>
              <w:rPr>
                <w:rFonts w:ascii="Arial" w:cs="Arial" w:eastAsia="Arial" w:hAnsi="Arial"/>
                <w:sz w:val="14"/>
                <w:szCs w:val="14"/>
                <w:color w:val="0000FF"/>
              </w:rPr>
              <w:t>1,200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2"/>
              </w:rPr>
              <w:t>Par</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400"/>
              <w:spacing w:after="0"/>
              <w:rPr>
                <w:sz w:val="20"/>
                <w:szCs w:val="20"/>
                <w:color w:val="auto"/>
              </w:rPr>
            </w:pPr>
            <w:r>
              <w:rPr>
                <w:rFonts w:ascii="Arial" w:cs="Arial" w:eastAsia="Arial" w:hAnsi="Arial"/>
                <w:sz w:val="14"/>
                <w:szCs w:val="14"/>
                <w:color w:val="0000FF"/>
              </w:rPr>
              <w:t>800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740" w:type="dxa"/>
            <w:vAlign w:val="bottom"/>
          </w:tcPr>
          <w:p>
            <w:pPr>
              <w:ind w:left="60"/>
              <w:spacing w:after="0" w:line="93" w:lineRule="exact"/>
              <w:rPr>
                <w:sz w:val="20"/>
                <w:szCs w:val="20"/>
                <w:color w:val="auto"/>
              </w:rPr>
            </w:pPr>
            <w:r>
              <w:rPr>
                <w:rFonts w:ascii="Arial" w:cs="Arial" w:eastAsia="Arial" w:hAnsi="Arial"/>
                <w:sz w:val="10"/>
                <w:szCs w:val="10"/>
                <w:color w:val="0000FF"/>
              </w:rPr>
              <w:t>Stock</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7"/>
        </w:trPr>
        <w:tc>
          <w:tcPr>
            <w:tcW w:w="3700" w:type="dxa"/>
            <w:vAlign w:val="bottom"/>
            <w:vMerge w:val="restart"/>
          </w:tcPr>
          <w:p>
            <w:pPr>
              <w:spacing w:after="0"/>
              <w:rPr>
                <w:sz w:val="20"/>
                <w:szCs w:val="20"/>
                <w:color w:val="auto"/>
              </w:rPr>
            </w:pPr>
            <w:r>
              <w:rPr>
                <w:rFonts w:ascii="Arial" w:cs="Arial" w:eastAsia="Arial" w:hAnsi="Arial"/>
                <w:sz w:val="14"/>
                <w:szCs w:val="14"/>
                <w:color w:val="0000FF"/>
              </w:rPr>
              <w:t>Unit)</w:t>
            </w:r>
          </w:p>
        </w:tc>
        <w:tc>
          <w:tcPr>
            <w:tcW w:w="3700" w:type="dxa"/>
            <w:vAlign w:val="bottom"/>
          </w:tcPr>
          <w:p>
            <w:pPr>
              <w:jc w:val="center"/>
              <w:ind w:left="3332"/>
              <w:spacing w:after="0" w:line="137" w:lineRule="exact"/>
              <w:rPr>
                <w:sz w:val="20"/>
                <w:szCs w:val="20"/>
                <w:color w:val="auto"/>
              </w:rPr>
            </w:pPr>
            <w:r>
              <w:rPr>
                <w:rFonts w:ascii="Arial" w:cs="Arial" w:eastAsia="Arial" w:hAnsi="Arial"/>
                <w:sz w:val="14"/>
                <w:szCs w:val="14"/>
                <w:color w:val="0000FF"/>
                <w:w w:val="83"/>
              </w:rPr>
              <w:t>Value</w:t>
            </w:r>
          </w:p>
        </w:tc>
        <w:tc>
          <w:tcPr>
            <w:tcW w:w="0" w:type="dxa"/>
            <w:vAlign w:val="bottom"/>
          </w:tcPr>
          <w:p>
            <w:pPr>
              <w:spacing w:after="0"/>
              <w:rPr>
                <w:sz w:val="1"/>
                <w:szCs w:val="1"/>
                <w:color w:val="auto"/>
              </w:rPr>
            </w:pPr>
          </w:p>
        </w:tc>
      </w:tr>
      <w:tr>
        <w:trPr>
          <w:trHeight w:val="91"/>
        </w:trPr>
        <w:tc>
          <w:tcPr>
            <w:tcW w:w="3700" w:type="dxa"/>
            <w:vAlign w:val="bottom"/>
            <w:vMerge w:val="continue"/>
          </w:tcPr>
          <w:p>
            <w:pPr>
              <w:spacing w:after="0"/>
              <w:rPr>
                <w:sz w:val="7"/>
                <w:szCs w:val="7"/>
                <w:color w:val="auto"/>
              </w:rPr>
            </w:pPr>
          </w:p>
        </w:tc>
        <w:tc>
          <w:tcPr>
            <w:tcW w:w="3700" w:type="dxa"/>
            <w:vAlign w:val="bottom"/>
            <w:vMerge w:val="restart"/>
          </w:tcPr>
          <w:p>
            <w:pPr>
              <w:jc w:val="center"/>
              <w:ind w:left="3332"/>
              <w:spacing w:after="0" w:line="149" w:lineRule="exact"/>
              <w:rPr>
                <w:sz w:val="20"/>
                <w:szCs w:val="20"/>
                <w:color w:val="auto"/>
              </w:rPr>
            </w:pPr>
            <w:r>
              <w:rPr>
                <w:rFonts w:ascii="Arial" w:cs="Arial" w:eastAsia="Arial" w:hAnsi="Arial"/>
                <w:sz w:val="14"/>
                <w:szCs w:val="14"/>
                <w:color w:val="0000FF"/>
                <w:w w:val="82"/>
              </w:rPr>
              <w:t>Per</w:t>
            </w:r>
          </w:p>
        </w:tc>
        <w:tc>
          <w:tcPr>
            <w:tcW w:w="0" w:type="dxa"/>
            <w:vAlign w:val="bottom"/>
          </w:tcPr>
          <w:p>
            <w:pPr>
              <w:spacing w:after="0"/>
              <w:rPr>
                <w:sz w:val="1"/>
                <w:szCs w:val="1"/>
                <w:color w:val="auto"/>
              </w:rPr>
            </w:pPr>
          </w:p>
        </w:tc>
      </w:tr>
      <w:tr>
        <w:trPr>
          <w:trHeight w:val="57"/>
        </w:trPr>
        <w:tc>
          <w:tcPr>
            <w:tcW w:w="37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3700" w:type="dxa"/>
            <w:vAlign w:val="bottom"/>
          </w:tcPr>
          <w:p>
            <w:pPr>
              <w:jc w:val="center"/>
              <w:ind w:left="3332"/>
              <w:spacing w:after="0"/>
              <w:rPr>
                <w:sz w:val="20"/>
                <w:szCs w:val="20"/>
                <w:color w:val="auto"/>
              </w:rPr>
            </w:pPr>
            <w:r>
              <w:rPr>
                <w:rFonts w:ascii="Arial" w:cs="Arial" w:eastAsia="Arial" w:hAnsi="Arial"/>
                <w:sz w:val="14"/>
                <w:szCs w:val="14"/>
                <w:color w:val="0000FF"/>
                <w:w w:val="80"/>
              </w:rPr>
              <w:t>Share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July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342 shares for the period ended June 30, 2019, and 304 shares for the period ended December 31, 2019, that were acquired under the Schlumberger discounted stock purchase plan.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award represents the right to receive, at settlement, one (1) share of common stock.</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19, 2017 and vested 60% on January 19, 2020. The remaining restricted stock unit award will vest in two equal installments beginning on January 19, 2021.</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89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2020-01-22T19:48:02Z</dcterms:created>
  <dcterms:modified xsi:type="dcterms:W3CDTF">2020-01-22T19:48:02Z</dcterms:modified>
</cp:coreProperties>
</file>