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7, 2004</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102870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88"/>
              </w:rPr>
              <w:t>Netherlands Antilles</w:t>
            </w:r>
          </w:p>
        </w:tc>
        <w:tc>
          <w:tcPr>
            <w:tcW w:w="314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480" w:type="dxa"/>
            <w:vAlign w:val="bottom"/>
          </w:tcPr>
          <w:p>
            <w:pPr>
              <w:jc w:val="center"/>
              <w:ind w:right="197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0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480" w:type="dxa"/>
            <w:vAlign w:val="bottom"/>
          </w:tcPr>
          <w:p>
            <w:pPr>
              <w:jc w:val="center"/>
              <w:ind w:right="197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01"/>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88"/>
              </w:rPr>
              <w:t>153 East 53rd Street, 57th Floor</w:t>
            </w:r>
          </w:p>
        </w:tc>
        <w:tc>
          <w:tcPr>
            <w:tcW w:w="3140" w:type="dxa"/>
            <w:vAlign w:val="bottom"/>
          </w:tcPr>
          <w:p>
            <w:pPr>
              <w:spacing w:after="0"/>
              <w:rPr>
                <w:sz w:val="24"/>
                <w:szCs w:val="24"/>
                <w:color w:val="auto"/>
              </w:rPr>
            </w:pPr>
          </w:p>
        </w:tc>
      </w:tr>
      <w:tr>
        <w:trPr>
          <w:trHeight w:val="242"/>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90"/>
              </w:rPr>
              <w:t>New York, New York</w:t>
            </w:r>
          </w:p>
        </w:tc>
        <w:tc>
          <w:tcPr>
            <w:tcW w:w="314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10022-4624</w:t>
            </w:r>
          </w:p>
        </w:tc>
      </w:tr>
      <w:tr>
        <w:trPr>
          <w:trHeight w:val="312"/>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88"/>
              </w:rPr>
              <w:t>42, rue Saint-Dominique</w:t>
            </w:r>
          </w:p>
        </w:tc>
        <w:tc>
          <w:tcPr>
            <w:tcW w:w="3140" w:type="dxa"/>
            <w:vAlign w:val="bottom"/>
          </w:tcPr>
          <w:p>
            <w:pPr>
              <w:spacing w:after="0"/>
              <w:rPr>
                <w:sz w:val="24"/>
                <w:szCs w:val="24"/>
                <w:color w:val="auto"/>
              </w:rPr>
            </w:pPr>
          </w:p>
        </w:tc>
      </w:tr>
      <w:tr>
        <w:trPr>
          <w:trHeight w:val="242"/>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90"/>
              </w:rPr>
              <w:t>Paris, France</w:t>
            </w:r>
          </w:p>
        </w:tc>
        <w:tc>
          <w:tcPr>
            <w:tcW w:w="314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90"/>
              </w:rPr>
              <w:t>Parkstraat 83, The Hague</w:t>
            </w:r>
          </w:p>
        </w:tc>
        <w:tc>
          <w:tcPr>
            <w:tcW w:w="3140" w:type="dxa"/>
            <w:vAlign w:val="bottom"/>
          </w:tcPr>
          <w:p>
            <w:pPr>
              <w:spacing w:after="0"/>
              <w:rPr>
                <w:sz w:val="24"/>
                <w:szCs w:val="24"/>
                <w:color w:val="auto"/>
              </w:rPr>
            </w:pPr>
          </w:p>
        </w:tc>
      </w:tr>
      <w:tr>
        <w:trPr>
          <w:trHeight w:val="231"/>
        </w:trPr>
        <w:tc>
          <w:tcPr>
            <w:tcW w:w="4480" w:type="dxa"/>
            <w:vAlign w:val="bottom"/>
          </w:tcPr>
          <w:p>
            <w:pPr>
              <w:jc w:val="center"/>
              <w:ind w:right="1978"/>
              <w:spacing w:after="0"/>
              <w:rPr>
                <w:sz w:val="20"/>
                <w:szCs w:val="20"/>
                <w:color w:val="auto"/>
              </w:rPr>
            </w:pPr>
            <w:r>
              <w:rPr>
                <w:rFonts w:ascii="Arial" w:cs="Arial" w:eastAsia="Arial" w:hAnsi="Arial"/>
                <w:sz w:val="18"/>
                <w:szCs w:val="18"/>
                <w:b w:val="1"/>
                <w:bCs w:val="1"/>
                <w:color w:val="auto"/>
                <w:w w:val="89"/>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480" w:type="dxa"/>
            <w:vAlign w:val="bottom"/>
          </w:tcPr>
          <w:p>
            <w:pPr>
              <w:jc w:val="center"/>
              <w:ind w:right="1978"/>
              <w:spacing w:after="0"/>
              <w:rPr>
                <w:sz w:val="20"/>
                <w:szCs w:val="20"/>
                <w:color w:val="auto"/>
              </w:rPr>
            </w:pPr>
            <w:r>
              <w:rPr>
                <w:rFonts w:ascii="Arial" w:cs="Arial" w:eastAsia="Arial" w:hAnsi="Arial"/>
                <w:sz w:val="14"/>
                <w:szCs w:val="14"/>
                <w:b w:val="1"/>
                <w:bCs w:val="1"/>
                <w:color w:val="auto"/>
                <w:w w:val="85"/>
              </w:rPr>
              <w:t>(Addresses of Principal Executive Offices)</w:t>
            </w:r>
          </w:p>
        </w:tc>
        <w:tc>
          <w:tcPr>
            <w:tcW w:w="3140" w:type="dxa"/>
            <w:vAlign w:val="bottom"/>
          </w:tcPr>
          <w:p>
            <w:pPr>
              <w:jc w:val="center"/>
              <w:ind w:left="1981"/>
              <w:spacing w:after="0"/>
              <w:rPr>
                <w:sz w:val="20"/>
                <w:szCs w:val="20"/>
                <w:color w:val="auto"/>
              </w:rPr>
            </w:pPr>
            <w:r>
              <w:rPr>
                <w:rFonts w:ascii="Arial" w:cs="Arial" w:eastAsia="Arial" w:hAnsi="Arial"/>
                <w:sz w:val="14"/>
                <w:szCs w:val="14"/>
                <w:b w:val="1"/>
                <w:bCs w:val="1"/>
                <w:color w:val="auto"/>
                <w:w w:val="88"/>
              </w:rPr>
              <w:t>(Zip Codes)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 2004 STOCK AND DEFERRAL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 Summer,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153 East 53rd Street, 57th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10022-4624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jc w:val="center"/>
        <w:spacing w:after="0"/>
        <w:rPr>
          <w:sz w:val="20"/>
          <w:szCs w:val="20"/>
          <w:color w:val="auto"/>
        </w:rPr>
      </w:pPr>
      <w:r>
        <w:rPr>
          <w:rFonts w:ascii="Arial" w:cs="Arial" w:eastAsia="Arial" w:hAnsi="Arial"/>
          <w:sz w:val="18"/>
          <w:szCs w:val="18"/>
          <w:b w:val="1"/>
          <w:bCs w:val="1"/>
          <w:color w:val="auto"/>
        </w:rPr>
        <w:t>(212) 350-9400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600" w:type="dxa"/>
            <w:vAlign w:val="bottom"/>
            <w:vMerge w:val="restart"/>
          </w:tcPr>
          <w:p>
            <w:pPr>
              <w:jc w:val="center"/>
              <w:ind w:left="527"/>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Pr>
          <w:p>
            <w:pPr>
              <w:spacing w:after="0"/>
              <w:rPr>
                <w:sz w:val="14"/>
                <w:szCs w:val="14"/>
                <w:color w:val="auto"/>
              </w:rPr>
            </w:pPr>
          </w:p>
        </w:tc>
        <w:tc>
          <w:tcPr>
            <w:tcW w:w="1080" w:type="dxa"/>
            <w:vAlign w:val="bottom"/>
          </w:tcPr>
          <w:p>
            <w:pPr>
              <w:jc w:val="center"/>
              <w:ind w:right="386"/>
              <w:spacing w:after="0"/>
              <w:rPr>
                <w:sz w:val="20"/>
                <w:szCs w:val="20"/>
                <w:color w:val="auto"/>
              </w:rPr>
            </w:pPr>
            <w:r>
              <w:rPr>
                <w:rFonts w:ascii="Arial" w:cs="Arial" w:eastAsia="Arial" w:hAnsi="Arial"/>
                <w:sz w:val="14"/>
                <w:szCs w:val="14"/>
                <w:b w:val="1"/>
                <w:bCs w:val="1"/>
                <w:color w:val="auto"/>
                <w:w w:val="83"/>
              </w:rPr>
              <w:t>Proposed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jc w:val="center"/>
              <w:ind w:right="406"/>
              <w:spacing w:after="0" w:line="135" w:lineRule="exact"/>
              <w:rPr>
                <w:sz w:val="20"/>
                <w:szCs w:val="20"/>
                <w:color w:val="auto"/>
              </w:rPr>
            </w:pPr>
            <w:r>
              <w:rPr>
                <w:rFonts w:ascii="Arial" w:cs="Arial" w:eastAsia="Arial" w:hAnsi="Arial"/>
                <w:sz w:val="14"/>
                <w:szCs w:val="14"/>
                <w:b w:val="1"/>
                <w:bCs w:val="1"/>
                <w:color w:val="auto"/>
                <w:w w:val="91"/>
              </w:rPr>
              <w:t>maximum</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maximum</w:t>
            </w:r>
          </w:p>
        </w:tc>
        <w:tc>
          <w:tcPr>
            <w:tcW w:w="1100" w:type="dxa"/>
            <w:vAlign w:val="bottom"/>
          </w:tcPr>
          <w:p>
            <w:pPr>
              <w:jc w:val="center"/>
              <w:ind w:left="287"/>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600" w:type="dxa"/>
            <w:vAlign w:val="bottom"/>
          </w:tcPr>
          <w:p>
            <w:pPr>
              <w:jc w:val="center"/>
              <w:ind w:left="527"/>
              <w:spacing w:after="0" w:line="149" w:lineRule="exact"/>
              <w:rPr>
                <w:sz w:val="20"/>
                <w:szCs w:val="20"/>
                <w:color w:val="auto"/>
              </w:rPr>
            </w:pPr>
            <w:r>
              <w:rPr>
                <w:rFonts w:ascii="Arial" w:cs="Arial" w:eastAsia="Arial" w:hAnsi="Arial"/>
                <w:sz w:val="14"/>
                <w:szCs w:val="14"/>
                <w:b w:val="1"/>
                <w:bCs w:val="1"/>
                <w:color w:val="auto"/>
                <w:w w:val="83"/>
              </w:rPr>
              <w:t>to be</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10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88"/>
        </w:trPr>
        <w:tc>
          <w:tcPr>
            <w:tcW w:w="4480" w:type="dxa"/>
            <w:vAlign w:val="bottom"/>
          </w:tcPr>
          <w:p>
            <w:pPr>
              <w:ind w:left="1400"/>
              <w:spacing w:after="0"/>
              <w:rPr>
                <w:sz w:val="20"/>
                <w:szCs w:val="20"/>
                <w:color w:val="auto"/>
              </w:rPr>
            </w:pPr>
            <w:r>
              <w:rPr>
                <w:rFonts w:ascii="Arial" w:cs="Arial" w:eastAsia="Arial" w:hAnsi="Arial"/>
                <w:sz w:val="14"/>
                <w:szCs w:val="14"/>
                <w:b w:val="1"/>
                <w:bCs w:val="1"/>
                <w:color w:val="auto"/>
              </w:rPr>
              <w:t>Title of securities to be registered</w:t>
            </w:r>
          </w:p>
        </w:tc>
        <w:tc>
          <w:tcPr>
            <w:tcW w:w="2600" w:type="dxa"/>
            <w:vAlign w:val="bottom"/>
          </w:tcPr>
          <w:p>
            <w:pPr>
              <w:jc w:val="center"/>
              <w:ind w:left="527"/>
              <w:spacing w:after="0"/>
              <w:rPr>
                <w:sz w:val="20"/>
                <w:szCs w:val="20"/>
                <w:color w:val="auto"/>
              </w:rPr>
            </w:pPr>
            <w:r>
              <w:rPr>
                <w:rFonts w:ascii="Arial" w:cs="Arial" w:eastAsia="Arial" w:hAnsi="Arial"/>
                <w:sz w:val="14"/>
                <w:szCs w:val="14"/>
                <w:b w:val="1"/>
                <w:bCs w:val="1"/>
                <w:color w:val="auto"/>
                <w:w w:val="84"/>
              </w:rPr>
              <w:t>registered(2)</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 share(1)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 price(1)</w:t>
            </w:r>
          </w:p>
        </w:tc>
        <w:tc>
          <w:tcPr>
            <w:tcW w:w="1100" w:type="dxa"/>
            <w:vAlign w:val="bottom"/>
          </w:tcPr>
          <w:p>
            <w:pPr>
              <w:jc w:val="center"/>
              <w:ind w:left="307"/>
              <w:spacing w:after="0"/>
              <w:rPr>
                <w:sz w:val="20"/>
                <w:szCs w:val="20"/>
                <w:color w:val="auto"/>
              </w:rPr>
            </w:pPr>
            <w:r>
              <w:rPr>
                <w:rFonts w:ascii="Arial" w:cs="Arial" w:eastAsia="Arial" w:hAnsi="Arial"/>
                <w:sz w:val="14"/>
                <w:szCs w:val="14"/>
                <w:b w:val="1"/>
                <w:bCs w:val="1"/>
                <w:color w:val="auto"/>
                <w:w w:val="78"/>
              </w:rPr>
              <w:t>fee</w:t>
            </w:r>
          </w:p>
        </w:tc>
        <w:tc>
          <w:tcPr>
            <w:tcW w:w="0" w:type="dxa"/>
            <w:vAlign w:val="bottom"/>
          </w:tcPr>
          <w:p>
            <w:pPr>
              <w:spacing w:after="0"/>
              <w:rPr>
                <w:sz w:val="1"/>
                <w:szCs w:val="1"/>
                <w:color w:val="auto"/>
              </w:rPr>
            </w:pPr>
          </w:p>
        </w:tc>
      </w:tr>
      <w:tr>
        <w:trPr>
          <w:trHeight w:val="95"/>
        </w:trPr>
        <w:tc>
          <w:tcPr>
            <w:tcW w:w="448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480" w:type="dxa"/>
            <w:vAlign w:val="bottom"/>
          </w:tcPr>
          <w:p>
            <w:pPr>
              <w:spacing w:after="0"/>
              <w:rPr>
                <w:sz w:val="20"/>
                <w:szCs w:val="20"/>
                <w:color w:val="auto"/>
              </w:rPr>
            </w:pPr>
            <w:r>
              <w:rPr>
                <w:rFonts w:ascii="Arial" w:cs="Arial" w:eastAsia="Arial" w:hAnsi="Arial"/>
                <w:sz w:val="18"/>
                <w:szCs w:val="18"/>
                <w:color w:val="auto"/>
              </w:rPr>
              <w:t>Common stock, par value $.01 per share (2)</w:t>
            </w:r>
          </w:p>
        </w:tc>
        <w:tc>
          <w:tcPr>
            <w:tcW w:w="2600" w:type="dxa"/>
            <w:vAlign w:val="bottom"/>
          </w:tcPr>
          <w:p>
            <w:pPr>
              <w:ind w:left="1160"/>
              <w:spacing w:after="0"/>
              <w:rPr>
                <w:sz w:val="20"/>
                <w:szCs w:val="20"/>
                <w:color w:val="auto"/>
              </w:rPr>
            </w:pPr>
            <w:r>
              <w:rPr>
                <w:rFonts w:ascii="Arial" w:cs="Arial" w:eastAsia="Arial" w:hAnsi="Arial"/>
                <w:sz w:val="18"/>
                <w:szCs w:val="18"/>
                <w:color w:val="auto"/>
              </w:rPr>
              <w:t>150,000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6"/>
              <w:spacing w:after="0"/>
              <w:rPr>
                <w:sz w:val="20"/>
                <w:szCs w:val="20"/>
                <w:color w:val="auto"/>
              </w:rPr>
            </w:pPr>
            <w:r>
              <w:rPr>
                <w:rFonts w:ascii="Arial" w:cs="Arial" w:eastAsia="Arial" w:hAnsi="Arial"/>
                <w:sz w:val="18"/>
                <w:szCs w:val="18"/>
                <w:color w:val="auto"/>
              </w:rPr>
              <w:t>57.71</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  8,656,500</w:t>
            </w:r>
          </w:p>
        </w:tc>
        <w:tc>
          <w:tcPr>
            <w:tcW w:w="1100" w:type="dxa"/>
            <w:vAlign w:val="bottom"/>
          </w:tcPr>
          <w:p>
            <w:pPr>
              <w:jc w:val="center"/>
              <w:ind w:left="307"/>
              <w:spacing w:after="0"/>
              <w:rPr>
                <w:sz w:val="20"/>
                <w:szCs w:val="20"/>
                <w:color w:val="auto"/>
              </w:rPr>
            </w:pPr>
            <w:r>
              <w:rPr>
                <w:rFonts w:ascii="Arial" w:cs="Arial" w:eastAsia="Arial" w:hAnsi="Arial"/>
                <w:sz w:val="18"/>
                <w:szCs w:val="18"/>
                <w:color w:val="auto"/>
                <w:w w:val="84"/>
              </w:rPr>
              <w:t>$ 1,096.78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4"/>
          <w:szCs w:val="24"/>
          <w:color w:val="auto"/>
        </w:rPr>
      </w:pPr>
    </w:p>
    <w:p>
      <w:pPr>
        <w:ind w:left="460" w:right="4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457(h), based on the average of the high and low prices for the common stock of Schlumberger Limited reported on the New York Stock Exchange on May 5, 2004.</w:t>
      </w:r>
    </w:p>
    <w:p>
      <w:pPr>
        <w:jc w:val="both"/>
        <w:ind w:left="460" w:right="8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this Registration Statement shall also include such additional indeterminant number of shares of common stock as may become issuable under the Schlumberger Limited 2004 Stock and Deferral Plan for Non-Employee Directors as a result of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Note: The document(s) containing the information concerning the employee benefit plan information required by Item 1 of Form S-8 and the statement of availability of Registrant information and other information required by Item 2 of Form S-8 will be sent or given to directors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also registered hereunder such additional indeterminate shares of the Registrant’s common stock as may be required as a result of stock splits, stock dividends or similar transactions.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Schlumberger Limited, a corporation organized under the laws of the Netherlands Antilles, incorporates by reference in this registration statement the following documents:</w:t>
      </w:r>
    </w:p>
    <w:p>
      <w:pPr>
        <w:spacing w:after="0" w:line="3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2003) filed on March 3, 2004;</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2004) filed on May 7, 2004;</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Current Reports on Form 8-K filed on January 30, 2004, February 4, 2004, March 24, 2004, April 13, 2004 and April 30, 2004;</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8-K/A filed on March 15, 2004; and</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20 dated January 8, 1962, filed under the Securities Exchange Act of 1934, as amended (the “Exchange Act”), including any amendment or report filed for the purpose of updating such description.</w:t>
      </w:r>
    </w:p>
    <w:p>
      <w:pPr>
        <w:spacing w:after="0" w:line="127"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document filed by the Registrant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7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registration statement.</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Issued and Treasury Shares</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Registrant is authorized to issue 1,500,000,000 shares of common stock, par value $0.01 per share. As of February 25, 2004, 667,105,988 shares were issued, of which: 588,663,848 shares were outstanding and 78,442,140 shares were held by the Registrant as treasury stock. In addition, the Registrant is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the Registrant’s board of directors. No shares of preferred stock have been issued as of the date hereof.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outstanding shares of the Registrant’s common stock (i.e., shares not held by the Registrant) are entitled to participate equally and receive dividends that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shareholders at the annual general meeting held within nine months of such fiscal year following such fiscal year, except that the Registrant’s board of directors may allocate such part of the earnings to the retained earnings reserves as it deems fit and may declare interim dividends.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holder of shares of common stock is entitled to one vote for each share registered in that holder’s name. Voting rights may be exercised in person or by proxy. No action to amend the Registrant’s Deed of Incorporation or to sell all or substantially all of the Registrant’s assets or to dissolve the Registrant can be taken except upon the authorization of the holders of at least a majority of the outstanding shares eligible to vote. In addition, holders of preferred stock (if issued and outstanding) would have additional rights to vote as a class on certain amendments to the Registrant’s Deed of Incorporation that would adversely affect the preferred stock. Any other action requiring the approval of the shareholders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Registrant’s board of directors is authorized to effect reorganizations or rearrangements of the Registrant’s corporate structure or that of the Registrant’s subsidiaries without the vote of shareholders if such reorganization or rearrangement does not result in any diminution of the beneficial interest of the shareholders in the Registrant’s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and Other Rights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shares of the Registrant’s common stock do not carry any preemptive or conversion rights, and there are no redemption provisions with respect to the common stock. The shares of preferred stock (if issued and outstanding) would not carry any preemptive rights, but the Registrant’s board of directors could specify conversion rights, redemption provisions and (within limits) liquidation preferences with respect to one or more series of preferred stock. The Registrant may for its own account purchase shares of common stock so long as at least one-fifth of the Registrant’s authorized capital stock remains outstanding with other holders. In the event of liquidation,</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share of common stock is entitled to equal rights after satisfaction of any preferred stock liquidation preference.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Transfer Agents and Registrars</w:t>
      </w:r>
    </w:p>
    <w:p>
      <w:pPr>
        <w:spacing w:after="0" w:line="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Registrant common stock is listed for trading on the New York Stock Exchange, The London Stock Exchange, Euronext Paris, Euronext Amsterdam and The SWX Swiss Exchange. The Transfer Agent and Registrar for the common stock is EquiServe Trust Company, N.A., Providence, Rhode Island.</w:t>
      </w:r>
    </w:p>
    <w:p>
      <w:pPr>
        <w:spacing w:after="0" w:line="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legality of the Common Stock is being passed upon by Ellen Summer, Esq., the Registrant’s General Counsel and Secretary.</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10 of the Registrant’s Deed of Incorporation and Article V of the Registrant’s By-Laws provide that:</w:t>
      </w:r>
    </w:p>
    <w:p>
      <w:pPr>
        <w:spacing w:after="0" w:line="158"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The Registrant has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foregoing in the event of a “Change of Control.” “Change in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shareholders was approved by a vote of at least two-thirds of the directors then still in office who were directors at the beginning of such period) cease for any reason to constitute at least a majority of the Board of Directors.</w:t>
      </w:r>
    </w:p>
    <w:p>
      <w:pPr>
        <w:spacing w:after="0" w:line="32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Registrant has the power to indemnify any person who was or is a party or is threatened to be made a party to any threatened, pending or completed action or suit by or in the right of Schlumberger to procure a judgment in the Registrant’s favor by reason of the fact that such person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w:t>
      </w:r>
    </w:p>
    <w:p>
      <w:pPr>
        <w:sectPr>
          <w:pgSz w:w="11900" w:h="16838" w:orient="portrait"/>
          <w:cols w:equalWidth="0" w:num="1">
            <w:col w:w="11360"/>
          </w:cols>
          <w:pgMar w:left="240" w:top="280" w:right="299" w:bottom="1440" w:gutter="0" w:footer="0" w:header="0"/>
        </w:sectPr>
      </w:pPr>
    </w:p>
    <w:bookmarkStart w:id="4" w:name="page5"/>
    <w:bookmarkEnd w:id="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in Control (as defined above).</w:t>
      </w:r>
    </w:p>
    <w:p>
      <w:pPr>
        <w:spacing w:after="0" w:line="10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To the extent that a present or former director or officer of the Registrant has been successful on the merits or otherwise in defense of any action, suit or proceeding referred to in the two preceding paragraphs, or in defense of any claim, issue or matter therein, the Registrant will indemnify that person against expenses (including attorneys’ fees) actually and reasonably incurred by such person in connection therewith.</w:t>
      </w:r>
    </w:p>
    <w:p>
      <w:pPr>
        <w:spacing w:after="0" w:line="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made by the Registrant only as authorized by contract approved, or by-laws, resolution or other action adopted or taken, by the board of directors or by the shareholders or as required by the last sentences of the first two paragraphs of this item.</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 as authorized by Article V of the By-Laws or Article 10 of the Deed of Incorporation.</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indemnification and advancement of expenses provided by or granted pursuant to the other sections of Article V of the By-Laws and Article 10 of the Deed of Incorporation are not exclusive of any other rights to which those seeking indemnification or advancement of expenses may be entitled under any law, by-law, agreement, vote of shareholders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0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Registrant has the power to purchase and maintain insurance on behalf of any person who is or was a director, officer, employee or agent of Schlumberger, or is or was serving at the request of the Registrant in such a capacity for another corporation, partnership, joint venture, trust or other enterprise against any liability asserted against that person and incurred by that person in any of those capacities or arising out of such person’s status as such, whether or not the Registrant would have the power to indemnify such person against such liability under the provisions of Article V of the By-Laws or Article 10 of the Deed of Incorporation.</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purposes of Article V of the By-Laws and Article 10 of the Deed of Incorporation, reference to the Registrant or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stands in the same position under the provisions of Article V of the By-Laws</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Article 10 of the Deed of Incorporation with respect to the resulting or surviving corporation if its separate existence had continued.</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Article V of the By-Laws and Article 10 of the Deed of Incorporation, 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3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Schlumberger may incur in such capacities.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Exhibit</w:t>
            </w:r>
          </w:p>
        </w:tc>
        <w:tc>
          <w:tcPr>
            <w:tcW w:w="4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74"/>
        </w:trPr>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r>
      <w:tr>
        <w:trPr>
          <w:trHeight w:val="309"/>
        </w:trPr>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180"/>
              <w:spacing w:after="0"/>
              <w:rPr>
                <w:sz w:val="20"/>
                <w:szCs w:val="20"/>
                <w:color w:val="auto"/>
              </w:rPr>
            </w:pPr>
            <w:r>
              <w:rPr>
                <w:rFonts w:ascii="Arial" w:cs="Arial" w:eastAsia="Arial" w:hAnsi="Arial"/>
                <w:sz w:val="18"/>
                <w:szCs w:val="18"/>
                <w:color w:val="auto"/>
                <w:w w:val="91"/>
              </w:rPr>
              <w:t>Deed of Incorporation of Schlumberger N.V. as last amended on May 4, 2001 (incorporated by reference to Exhibit 3(a) to Schlumberger’s</w:t>
            </w:r>
          </w:p>
        </w:tc>
      </w:tr>
      <w:tr>
        <w:trPr>
          <w:trHeight w:val="222"/>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20" w:type="dxa"/>
            <w:vAlign w:val="bottom"/>
            <w:gridSpan w:val="3"/>
          </w:tcPr>
          <w:p>
            <w:pPr>
              <w:ind w:left="180"/>
              <w:spacing w:after="0"/>
              <w:rPr>
                <w:sz w:val="20"/>
                <w:szCs w:val="20"/>
                <w:color w:val="auto"/>
              </w:rPr>
            </w:pPr>
            <w:r>
              <w:rPr>
                <w:rFonts w:ascii="Arial" w:cs="Arial" w:eastAsia="Arial" w:hAnsi="Arial"/>
                <w:sz w:val="18"/>
                <w:szCs w:val="18"/>
                <w:color w:val="auto"/>
              </w:rPr>
              <w:t>Form 10-Q for the quarter ended June 30, 2001, File No. 1-4601).</w:t>
            </w:r>
          </w:p>
        </w:tc>
      </w:tr>
      <w:tr>
        <w:trPr>
          <w:trHeight w:val="318"/>
        </w:trPr>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180"/>
              <w:spacing w:after="0"/>
              <w:rPr>
                <w:sz w:val="20"/>
                <w:szCs w:val="20"/>
                <w:color w:val="auto"/>
              </w:rPr>
            </w:pPr>
            <w:r>
              <w:rPr>
                <w:rFonts w:ascii="Arial" w:cs="Arial" w:eastAsia="Arial" w:hAnsi="Arial"/>
                <w:sz w:val="18"/>
                <w:szCs w:val="18"/>
                <w:color w:val="auto"/>
                <w:w w:val="90"/>
              </w:rPr>
              <w:t>By-laws of Schlumberger N.V., as last amended on April 17, 2003 (incorporated by reference to Exhibit 3 to Schlumberger’s Form 8-K filed</w:t>
            </w:r>
          </w:p>
        </w:tc>
      </w:tr>
      <w:tr>
        <w:trPr>
          <w:trHeight w:val="222"/>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20" w:type="dxa"/>
            <w:vAlign w:val="bottom"/>
            <w:gridSpan w:val="3"/>
          </w:tcPr>
          <w:p>
            <w:pPr>
              <w:ind w:left="180"/>
              <w:spacing w:after="0"/>
              <w:rPr>
                <w:sz w:val="20"/>
                <w:szCs w:val="20"/>
                <w:color w:val="auto"/>
              </w:rPr>
            </w:pPr>
            <w:r>
              <w:rPr>
                <w:rFonts w:ascii="Arial" w:cs="Arial" w:eastAsia="Arial" w:hAnsi="Arial"/>
                <w:sz w:val="18"/>
                <w:szCs w:val="18"/>
                <w:color w:val="auto"/>
              </w:rPr>
              <w:t>April 17, 2003, File No. 1-4601).</w:t>
            </w:r>
          </w:p>
        </w:tc>
      </w:tr>
      <w:tr>
        <w:trPr>
          <w:trHeight w:val="318"/>
        </w:trPr>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10220" w:type="dxa"/>
            <w:vAlign w:val="bottom"/>
            <w:gridSpan w:val="3"/>
          </w:tcPr>
          <w:p>
            <w:pPr>
              <w:ind w:left="180"/>
              <w:spacing w:after="0"/>
              <w:rPr>
                <w:sz w:val="20"/>
                <w:szCs w:val="20"/>
                <w:color w:val="auto"/>
              </w:rPr>
            </w:pPr>
            <w:r>
              <w:rPr>
                <w:rFonts w:ascii="Arial" w:cs="Arial" w:eastAsia="Arial" w:hAnsi="Arial"/>
                <w:sz w:val="18"/>
                <w:szCs w:val="18"/>
                <w:color w:val="auto"/>
                <w:w w:val="89"/>
              </w:rPr>
              <w:t>Schlumberger Limited 2004 Stock and Deferral Plan for Non-Employee Directors (incorporated by reference to Appendix 4 to Schlumberger’s</w:t>
            </w:r>
          </w:p>
        </w:tc>
      </w:tr>
      <w:tr>
        <w:trPr>
          <w:trHeight w:val="222"/>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20" w:type="dxa"/>
            <w:vAlign w:val="bottom"/>
            <w:gridSpan w:val="3"/>
          </w:tcPr>
          <w:p>
            <w:pPr>
              <w:ind w:left="180"/>
              <w:spacing w:after="0"/>
              <w:rPr>
                <w:sz w:val="20"/>
                <w:szCs w:val="20"/>
                <w:color w:val="auto"/>
              </w:rPr>
            </w:pPr>
            <w:r>
              <w:rPr>
                <w:rFonts w:ascii="Arial" w:cs="Arial" w:eastAsia="Arial" w:hAnsi="Arial"/>
                <w:sz w:val="18"/>
                <w:szCs w:val="18"/>
                <w:color w:val="auto"/>
              </w:rPr>
              <w:t>Definitive Proxy Statement for the 2004 Annual General Meeting of Stockholders as filed on March 10, 2004).</w:t>
            </w:r>
          </w:p>
        </w:tc>
      </w:tr>
    </w:tbl>
    <w:p>
      <w:pPr>
        <w:spacing w:after="0" w:line="102" w:lineRule="exact"/>
        <w:rPr>
          <w:sz w:val="20"/>
          <w:szCs w:val="20"/>
          <w:color w:val="auto"/>
        </w:rPr>
      </w:pPr>
    </w:p>
    <w:p>
      <w:pPr>
        <w:ind w:left="840" w:hanging="393"/>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Opinion of Ellen Summer, Esq. as to the legality of the common shares being registered (filed herewith).</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23.1</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7260" w:type="dxa"/>
            <w:vAlign w:val="bottom"/>
          </w:tcPr>
          <w:p>
            <w:pPr>
              <w:ind w:left="180"/>
              <w:spacing w:after="0"/>
              <w:rPr>
                <w:sz w:val="20"/>
                <w:szCs w:val="20"/>
                <w:color w:val="auto"/>
              </w:rPr>
            </w:pPr>
            <w:r>
              <w:rPr>
                <w:rFonts w:ascii="Arial" w:cs="Arial" w:eastAsia="Arial" w:hAnsi="Arial"/>
                <w:sz w:val="18"/>
                <w:szCs w:val="18"/>
                <w:color w:val="auto"/>
                <w:w w:val="88"/>
              </w:rPr>
              <w:t>Consent of PricewaterhouseCoopers LLP (New York, NY) independent accountants (filed herewith).</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23.2</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7260" w:type="dxa"/>
            <w:vAlign w:val="bottom"/>
          </w:tcPr>
          <w:p>
            <w:pPr>
              <w:ind w:left="180"/>
              <w:spacing w:after="0"/>
              <w:rPr>
                <w:sz w:val="20"/>
                <w:szCs w:val="20"/>
                <w:color w:val="auto"/>
              </w:rPr>
            </w:pPr>
            <w:r>
              <w:rPr>
                <w:rFonts w:ascii="Arial" w:cs="Arial" w:eastAsia="Arial" w:hAnsi="Arial"/>
                <w:sz w:val="18"/>
                <w:szCs w:val="18"/>
                <w:color w:val="auto"/>
              </w:rPr>
              <w:t>Consent of Ellen Summer, Esq. (included in Exhibit 5).</w:t>
            </w:r>
          </w:p>
        </w:tc>
      </w:tr>
    </w:tbl>
    <w:p>
      <w:pPr>
        <w:spacing w:after="0" w:line="102" w:lineRule="exact"/>
        <w:rPr>
          <w:sz w:val="20"/>
          <w:szCs w:val="20"/>
          <w:color w:val="auto"/>
        </w:rPr>
      </w:pPr>
    </w:p>
    <w:p>
      <w:pPr>
        <w:ind w:left="20" w:right="7480" w:firstLine="339"/>
        <w:spacing w:after="0" w:line="534" w:lineRule="auto"/>
        <w:tabs>
          <w:tab w:leader="none" w:pos="853" w:val="left"/>
        </w:tabs>
        <w:numPr>
          <w:ilvl w:val="1"/>
          <w:numId w:val="4"/>
        </w:numPr>
        <w:rPr>
          <w:rFonts w:ascii="Arial" w:cs="Arial" w:eastAsia="Arial" w:hAnsi="Arial"/>
          <w:sz w:val="18"/>
          <w:szCs w:val="18"/>
          <w:color w:val="auto"/>
        </w:rPr>
      </w:pPr>
      <w:r>
        <w:rPr>
          <w:rFonts w:ascii="Arial" w:cs="Arial" w:eastAsia="Arial" w:hAnsi="Arial"/>
          <w:sz w:val="18"/>
          <w:szCs w:val="18"/>
          <w:color w:val="auto"/>
        </w:rPr>
        <w:t>— Powers of Attorney (filed herewith). * 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Undertakings</w:t>
      </w:r>
    </w:p>
    <w:p>
      <w:pPr>
        <w:spacing w:after="0" w:line="83"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52"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undertakings set forth in paragraphs (a)(1)(i) and (a)(1)(ii) above do not apply if the registration statement is on Form S-3 or Form S-8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30" w:lineRule="exact"/>
        <w:rPr>
          <w:sz w:val="20"/>
          <w:szCs w:val="20"/>
          <w:color w:val="auto"/>
        </w:rPr>
      </w:pPr>
    </w:p>
    <w:p>
      <w:pPr>
        <w:ind w:left="460" w:firstLine="443"/>
        <w:spacing w:after="0" w:line="259" w:lineRule="auto"/>
        <w:tabs>
          <w:tab w:leader="none" w:pos="114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40" w:firstLine="464"/>
        <w:spacing w:after="0" w:line="289"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400"/>
          </w:cols>
          <w:pgMar w:left="240" w:top="274"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7,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Frank A. Sorgie</w:t>
      </w:r>
    </w:p>
    <w:p>
      <w:pPr>
        <w:ind w:left="7280"/>
        <w:spacing w:after="0"/>
        <w:rPr>
          <w:sz w:val="20"/>
          <w:szCs w:val="20"/>
          <w:color w:val="auto"/>
        </w:rPr>
      </w:pPr>
      <w:r>
        <w:rPr>
          <w:rFonts w:ascii="Arial" w:cs="Arial" w:eastAsia="Arial" w:hAnsi="Arial"/>
          <w:sz w:val="14"/>
          <w:szCs w:val="14"/>
          <w:color w:val="auto"/>
        </w:rPr>
        <w:t>Chief Accounting Officer</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7, 2004 in the capacities indicated.</w:t>
      </w:r>
    </w:p>
    <w:p>
      <w:pPr>
        <w:sectPr>
          <w:pgSz w:w="11900" w:h="16838" w:orient="portrait"/>
          <w:cols w:equalWidth="0" w:num="1">
            <w:col w:w="11400"/>
          </w:cols>
          <w:pgMar w:left="240" w:top="274" w:right="259" w:bottom="1440" w:gutter="0" w:footer="0" w:header="0"/>
        </w:sectPr>
      </w:pPr>
    </w:p>
    <w:p>
      <w:pPr>
        <w:spacing w:after="0" w:line="3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Andrew Gould</w:t>
      </w:r>
    </w:p>
    <w:p>
      <w:pPr>
        <w:spacing w:after="0" w:line="221" w:lineRule="auto"/>
        <w:rPr>
          <w:sz w:val="20"/>
          <w:szCs w:val="20"/>
          <w:color w:val="auto"/>
        </w:rPr>
      </w:pPr>
      <w:r>
        <w:rPr>
          <w:rFonts w:ascii="Arial" w:cs="Arial" w:eastAsia="Arial" w:hAnsi="Arial"/>
          <w:sz w:val="14"/>
          <w:szCs w:val="14"/>
          <w:color w:val="auto"/>
        </w:rPr>
        <w:t>Director, Chairman and Chief Executive Officer</w:t>
      </w:r>
    </w:p>
    <w:p>
      <w:pPr>
        <w:spacing w:after="0"/>
        <w:rPr>
          <w:sz w:val="20"/>
          <w:szCs w:val="20"/>
          <w:color w:val="auto"/>
        </w:rPr>
      </w:pPr>
      <w:r>
        <w:rPr>
          <w:rFonts w:ascii="Arial" w:cs="Arial" w:eastAsia="Arial" w:hAnsi="Arial"/>
          <w:sz w:val="14"/>
          <w:szCs w:val="14"/>
          <w:color w:val="auto"/>
        </w:rPr>
        <w:t>(Principal Executive Officer)</w:t>
      </w:r>
    </w:p>
    <w:p>
      <w:pPr>
        <w:spacing w:after="0" w:line="20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Jean-Marc Perraud</w:t>
      </w:r>
    </w:p>
    <w:p>
      <w:pPr>
        <w:spacing w:after="0"/>
        <w:rPr>
          <w:sz w:val="20"/>
          <w:szCs w:val="20"/>
          <w:color w:val="auto"/>
        </w:rPr>
      </w:pPr>
      <w:r>
        <w:rPr>
          <w:rFonts w:ascii="Arial" w:cs="Arial" w:eastAsia="Arial" w:hAnsi="Arial"/>
          <w:sz w:val="12"/>
          <w:szCs w:val="12"/>
          <w:color w:val="auto"/>
        </w:rPr>
        <w:t>Executive Vice President and 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(Principal Financial Officer)</w:t>
      </w:r>
    </w:p>
    <w:p>
      <w:pPr>
        <w:spacing w:after="0" w:line="20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Frank A. Sorgie</w:t>
      </w:r>
    </w:p>
    <w:p>
      <w:pPr>
        <w:spacing w:after="0"/>
        <w:rPr>
          <w:sz w:val="20"/>
          <w:szCs w:val="20"/>
          <w:color w:val="auto"/>
        </w:rPr>
      </w:pPr>
      <w:r>
        <w:rPr>
          <w:rFonts w:ascii="Arial" w:cs="Arial" w:eastAsia="Arial" w:hAnsi="Arial"/>
          <w:sz w:val="12"/>
          <w:szCs w:val="12"/>
          <w:color w:val="auto"/>
        </w:rPr>
        <w:t>Chief Accounting Officer (Principal Accounting Officer)</w:t>
      </w:r>
    </w:p>
    <w:p>
      <w:pPr>
        <w:spacing w:after="0" w:line="2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John Deutch</w:t>
      </w:r>
    </w:p>
    <w:p>
      <w:pPr>
        <w:spacing w:after="0"/>
        <w:rPr>
          <w:sz w:val="20"/>
          <w:szCs w:val="20"/>
          <w:color w:val="auto"/>
        </w:rPr>
      </w:pPr>
      <w:r>
        <w:rPr>
          <w:rFonts w:ascii="Arial" w:cs="Arial" w:eastAsia="Arial" w:hAnsi="Arial"/>
          <w:sz w:val="14"/>
          <w:szCs w:val="14"/>
          <w:color w:val="auto"/>
        </w:rPr>
        <w:t>Director</w:t>
      </w:r>
    </w:p>
    <w:p>
      <w:pPr>
        <w:spacing w:after="0" w:line="20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3336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Jamie S. Gorelick</w:t>
      </w:r>
    </w:p>
    <w:p>
      <w:pPr>
        <w:spacing w:after="0"/>
        <w:rPr>
          <w:sz w:val="20"/>
          <w:szCs w:val="20"/>
          <w:color w:val="auto"/>
        </w:rPr>
      </w:pPr>
      <w:r>
        <w:rPr>
          <w:rFonts w:ascii="Arial" w:cs="Arial" w:eastAsia="Arial" w:hAnsi="Arial"/>
          <w:sz w:val="14"/>
          <w:szCs w:val="14"/>
          <w:color w:val="auto"/>
        </w:rPr>
        <w:t>Director</w:t>
      </w:r>
    </w:p>
    <w:p>
      <w:pPr>
        <w:spacing w:after="0" w:line="20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Adrian Lajous</w:t>
      </w: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05" w:lineRule="exact"/>
        <w:rPr>
          <w:sz w:val="20"/>
          <w:szCs w:val="20"/>
          <w:color w:val="auto"/>
        </w:rPr>
      </w:pPr>
    </w:p>
    <w:p>
      <w:pPr>
        <w:spacing w:after="0"/>
        <w:tabs>
          <w:tab w:leader="none" w:pos="520" w:val="left"/>
          <w:tab w:leader="none" w:pos="8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Ellen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Ellen Summer</w:t>
      </w:r>
    </w:p>
    <w:p>
      <w:pPr>
        <w:ind w:left="420"/>
        <w:spacing w:after="0"/>
        <w:rPr>
          <w:sz w:val="20"/>
          <w:szCs w:val="20"/>
          <w:color w:val="auto"/>
        </w:rPr>
      </w:pPr>
      <w:r>
        <w:rPr>
          <w:rFonts w:ascii="Arial" w:cs="Arial" w:eastAsia="Arial" w:hAnsi="Arial"/>
          <w:sz w:val="12"/>
          <w:szCs w:val="12"/>
          <w:color w:val="auto"/>
        </w:rPr>
        <w:t>Attorney-in-Fact, pursuant to Powers of Attorney</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Tony Issac</w:t>
      </w:r>
    </w:p>
    <w:p>
      <w:pPr>
        <w:spacing w:after="0"/>
        <w:rPr>
          <w:sz w:val="20"/>
          <w:szCs w:val="20"/>
          <w:color w:val="auto"/>
        </w:rPr>
      </w:pPr>
      <w:r>
        <w:rPr>
          <w:rFonts w:ascii="Arial" w:cs="Arial" w:eastAsia="Arial" w:hAnsi="Arial"/>
          <w:sz w:val="14"/>
          <w:szCs w:val="14"/>
          <w:color w:val="auto"/>
        </w:rPr>
        <w:t>Director</w:t>
      </w:r>
    </w:p>
    <w:p>
      <w:pPr>
        <w:spacing w:after="0" w:line="356"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Didier Primat</w:t>
      </w:r>
    </w:p>
    <w:p>
      <w:pPr>
        <w:spacing w:after="0"/>
        <w:rPr>
          <w:sz w:val="20"/>
          <w:szCs w:val="20"/>
          <w:color w:val="auto"/>
        </w:rPr>
      </w:pPr>
      <w:r>
        <w:rPr>
          <w:rFonts w:ascii="Arial" w:cs="Arial" w:eastAsia="Arial" w:hAnsi="Arial"/>
          <w:sz w:val="14"/>
          <w:szCs w:val="14"/>
          <w:color w:val="auto"/>
        </w:rPr>
        <w:t>Director</w:t>
      </w:r>
    </w:p>
    <w:p>
      <w:pPr>
        <w:spacing w:after="0" w:line="356"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Nicolas Seydoux</w:t>
      </w:r>
    </w:p>
    <w:p>
      <w:pPr>
        <w:spacing w:after="0"/>
        <w:rPr>
          <w:sz w:val="20"/>
          <w:szCs w:val="20"/>
          <w:color w:val="auto"/>
        </w:rPr>
      </w:pPr>
      <w:r>
        <w:rPr>
          <w:rFonts w:ascii="Arial" w:cs="Arial" w:eastAsia="Arial" w:hAnsi="Arial"/>
          <w:sz w:val="14"/>
          <w:szCs w:val="14"/>
          <w:color w:val="auto"/>
        </w:rPr>
        <w:t>Director</w:t>
      </w:r>
    </w:p>
    <w:p>
      <w:pPr>
        <w:spacing w:after="0" w:line="208"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Linda G. Stuntz</w:t>
      </w:r>
    </w:p>
    <w:p>
      <w:pPr>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Tore I. Sandvold</w:t>
      </w:r>
    </w:p>
    <w:p>
      <w:pPr>
        <w:spacing w:after="0"/>
        <w:rPr>
          <w:sz w:val="20"/>
          <w:szCs w:val="20"/>
          <w:color w:val="auto"/>
        </w:rPr>
      </w:pPr>
      <w:r>
        <w:rPr>
          <w:rFonts w:ascii="Arial" w:cs="Arial" w:eastAsia="Arial" w:hAnsi="Arial"/>
          <w:sz w:val="14"/>
          <w:szCs w:val="14"/>
          <w:color w:val="auto"/>
        </w:rPr>
        <w:t>Director</w:t>
      </w:r>
    </w:p>
    <w:p>
      <w:pPr>
        <w:spacing w:after="0" w:line="208"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André Lévy-Lang</w:t>
      </w:r>
    </w:p>
    <w:p>
      <w:pPr>
        <w:spacing w:after="0"/>
        <w:rPr>
          <w:sz w:val="20"/>
          <w:szCs w:val="20"/>
          <w:color w:val="auto"/>
        </w:rPr>
      </w:pPr>
      <w:r>
        <w:rPr>
          <w:rFonts w:ascii="Arial" w:cs="Arial" w:eastAsia="Arial" w:hAnsi="Arial"/>
          <w:sz w:val="14"/>
          <w:szCs w:val="14"/>
          <w:color w:val="auto"/>
        </w:rPr>
        <w:t>Director</w:t>
      </w:r>
    </w:p>
    <w:p>
      <w:pPr>
        <w:sectPr>
          <w:pgSz w:w="11900" w:h="16838" w:orient="portrait"/>
          <w:cols w:equalWidth="0" w:num="2">
            <w:col w:w="5460" w:space="720"/>
            <w:col w:w="5220"/>
          </w:cols>
          <w:pgMar w:left="240" w:top="274" w:right="2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20" w:type="dxa"/>
            <w:vAlign w:val="bottom"/>
            <w:gridSpan w:val="3"/>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Exhibit</w:t>
            </w:r>
          </w:p>
        </w:tc>
        <w:tc>
          <w:tcPr>
            <w:tcW w:w="6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4"/>
        </w:trPr>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w:t>
            </w:r>
          </w:p>
        </w:tc>
        <w:tc>
          <w:tcPr>
            <w:tcW w:w="6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5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r>
      <w:tr>
        <w:trPr>
          <w:trHeight w:val="417"/>
        </w:trPr>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w w:val="97"/>
              </w:rPr>
              <w:t>Deed of Incorporation of Schlumberger N.V. as last amended on May 4, 2001 (incorporated by reference to Exhibit 3(a) to</w:t>
            </w:r>
          </w:p>
        </w:tc>
      </w:tr>
      <w:tr>
        <w:trPr>
          <w:trHeight w:val="222"/>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Schlumberger’s Form 10-Q for the quarter ended June 30, 2001, File No. 1-4601).</w:t>
            </w:r>
          </w:p>
        </w:tc>
      </w:tr>
      <w:tr>
        <w:trPr>
          <w:trHeight w:val="318"/>
        </w:trPr>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w w:val="89"/>
              </w:rPr>
              <w:t>By-laws of Schlumberger N.V., as last amended on April 17, 2003 (incorporated by reference to Exhibit 3 to Schlumberger’s Form 8-K</w:t>
            </w:r>
          </w:p>
        </w:tc>
      </w:tr>
      <w:tr>
        <w:trPr>
          <w:trHeight w:val="222"/>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rPr>
              <w:t>filed April 17, 2003, File No. 1-4601).</w:t>
            </w:r>
          </w:p>
        </w:tc>
      </w:tr>
      <w:tr>
        <w:trPr>
          <w:trHeight w:val="318"/>
        </w:trPr>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w w:val="95"/>
              </w:rPr>
              <w:t>Schlumberger Limited 2004 Stock and Deferral Plan for Non-Employee Directors (incorporated by reference to Appendix 4 to</w:t>
            </w:r>
          </w:p>
        </w:tc>
      </w:tr>
      <w:tr>
        <w:trPr>
          <w:trHeight w:val="222"/>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20" w:type="dxa"/>
            <w:vAlign w:val="bottom"/>
            <w:gridSpan w:val="3"/>
          </w:tcPr>
          <w:p>
            <w:pPr>
              <w:ind w:left="220"/>
              <w:spacing w:after="0"/>
              <w:rPr>
                <w:sz w:val="20"/>
                <w:szCs w:val="20"/>
                <w:color w:val="auto"/>
              </w:rPr>
            </w:pPr>
            <w:r>
              <w:rPr>
                <w:rFonts w:ascii="Arial" w:cs="Arial" w:eastAsia="Arial" w:hAnsi="Arial"/>
                <w:sz w:val="18"/>
                <w:szCs w:val="18"/>
                <w:color w:val="auto"/>
                <w:w w:val="94"/>
              </w:rPr>
              <w:t>Schlumberger’s Definitive Proxy Statement for the 2004 Annual General Meeting of Stockholders as filed on March 10, 2004).</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080" w:hanging="63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Opinion of Ellen Summer, Esq. as to the legality of the common shares being registered (filed herewith).</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23.1</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7300" w:type="dxa"/>
            <w:vAlign w:val="bottom"/>
          </w:tcPr>
          <w:p>
            <w:pPr>
              <w:ind w:left="220"/>
              <w:spacing w:after="0"/>
              <w:rPr>
                <w:sz w:val="20"/>
                <w:szCs w:val="20"/>
                <w:color w:val="auto"/>
              </w:rPr>
            </w:pPr>
            <w:r>
              <w:rPr>
                <w:rFonts w:ascii="Arial" w:cs="Arial" w:eastAsia="Arial" w:hAnsi="Arial"/>
                <w:sz w:val="18"/>
                <w:szCs w:val="18"/>
                <w:color w:val="auto"/>
                <w:w w:val="88"/>
              </w:rPr>
              <w:t>Consent of PricewaterhouseCoopers LLP (New York, NY) independent accountants (filed herewith).</w:t>
            </w:r>
          </w:p>
        </w:tc>
      </w:tr>
      <w:tr>
        <w:trPr>
          <w:trHeight w:val="324"/>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23.2</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7300" w:type="dxa"/>
            <w:vAlign w:val="bottom"/>
          </w:tcPr>
          <w:p>
            <w:pPr>
              <w:ind w:left="220"/>
              <w:spacing w:after="0"/>
              <w:rPr>
                <w:sz w:val="20"/>
                <w:szCs w:val="20"/>
                <w:color w:val="auto"/>
              </w:rPr>
            </w:pPr>
            <w:r>
              <w:rPr>
                <w:rFonts w:ascii="Arial" w:cs="Arial" w:eastAsia="Arial" w:hAnsi="Arial"/>
                <w:sz w:val="18"/>
                <w:szCs w:val="18"/>
                <w:color w:val="auto"/>
              </w:rPr>
              <w:t>Consent of Ellen Summer, Esq. (included in Exhibit 5).</w:t>
            </w:r>
          </w:p>
        </w:tc>
      </w:tr>
    </w:tbl>
    <w:p>
      <w:pPr>
        <w:spacing w:after="0" w:line="102" w:lineRule="exact"/>
        <w:rPr>
          <w:sz w:val="20"/>
          <w:szCs w:val="20"/>
          <w:color w:val="auto"/>
        </w:rPr>
      </w:pPr>
    </w:p>
    <w:p>
      <w:pPr>
        <w:ind w:left="1080" w:hanging="721"/>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Powers of Attorney (filed herewith).</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200"/>
          </w:cols>
          <w:pgMar w:left="240" w:top="274"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7,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connection with the Registration Statement on Form S-8 (the “Registration Statement”) being filed by Schlumberger Limited, a corporation organized under the laws of the Netherlands Antilles (“Schlumberger”), with the Securities and Exchange Commission under the Securities Act of 1933, as amended (the “Securities Act”), relating to 150,000 shares of common stock, par value $.01 per share, of Schlumberger (the “Shares”) that may be issued pursuant to the Schlumberger Limited 2004 Stock and Deferral Plan for Non-Employee Directors (the “Plan”), certain legal matters in connection with the Shares are being passed on for you by me. At your request, this opinion is being furnished for filing as Exhibit 5 to the Registration Statement.</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am a member of the bars of the State of New York and of the District of Columbia, and not of any other jurisdiction. I am not admitted to practice in, nor do I hold myself out as an expert on the laws of, the Netherlands Antilles. I have, however, consulted with the law firm of STvB, counsel qualified to practice in the Netherlands Antilles. Insofar as the opinions expressed below involve conclusions as to matters governed by the laws of the Netherlands Antilles, I am relying on the opinion of such counsel.</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my capacity as General Counsel and Secretary of Schlumberger, I am familiar with the Deed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10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Based on my examination as aforesaid, I am of the opinion that, in the case of Shares originally issued by Schlumberger pursuant to the provisions of the Plan following due authorization of a particular Stock Award (as defined in the Plan) as provided in and in accordance with the Plan, the Shares issuable pursuant to such Stock Award will have been duly authorized by all necessary corporate action on the part of Schlumberger. Upon issuance of such Shares from time to time pursuant to and in accordance with the terms of the Plan and the applicable Stock Award, such shares will be validly issued, fully paid and nonassessable.</w:t>
      </w:r>
    </w:p>
    <w:p>
      <w:pPr>
        <w:spacing w:after="0" w:line="8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opinion is limited to the original issuance of Shares by Schlumberger and does not cover shares of Common Stock delivered by Schlumberger out of shares reacquired by it.</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tab/>
        <w:t>Ellen Summer, Esq.</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Ellen Summer, Esq.</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hereby consent to the incorporation by reference in this Registration Statement on Form S-8 of our report dated February 25, 2004, relating to the financial statements of Schlumberger Limited, which appears in Schlumberger Limited’s Annual Report on Form 10-K for the year ended December 31, 2003.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2004</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under the Securities Exchange Act of 1933, as amended, one or more registration statements or amendments to registration statements heretofore filed (whether on Form S-8 or such other form as may be required), together with any and all necessary amendments (including post-effective amendments) or supplements thereto as may be necessary or appropriate, and any and all exhibits and other documents relating to said registration statements or amendments, with respect to the registration of 150,000 shares of common stock, par value $0.01 per share, of the Corporation to be offered and issued under the Schlumberger Limited 2004 Stock and Deferral Plan for Non-Employee Directors. Said attorneys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1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John Deutch</w:t>
      </w:r>
    </w:p>
    <w:p>
      <w:pPr>
        <w:spacing w:after="0" w:line="228" w:lineRule="auto"/>
        <w:rPr>
          <w:sz w:val="20"/>
          <w:szCs w:val="20"/>
          <w:color w:val="auto"/>
        </w:rPr>
      </w:pPr>
      <w:r>
        <w:rPr>
          <w:rFonts w:ascii="Arial" w:cs="Arial" w:eastAsia="Arial" w:hAnsi="Arial"/>
          <w:sz w:val="14"/>
          <w:szCs w:val="14"/>
          <w:color w:val="auto"/>
        </w:rPr>
        <w:t>Director</w:t>
      </w:r>
    </w:p>
    <w:p>
      <w:pPr>
        <w:spacing w:after="0"/>
        <w:rPr>
          <w:sz w:val="20"/>
          <w:szCs w:val="20"/>
          <w:color w:val="auto"/>
        </w:rPr>
      </w:pPr>
      <w:r>
        <w:rPr>
          <w:rFonts w:ascii="Arial" w:cs="Arial" w:eastAsia="Arial" w:hAnsi="Arial"/>
          <w:sz w:val="18"/>
          <w:szCs w:val="18"/>
          <w:color w:val="auto"/>
        </w:rPr>
        <w:t>Dated: April 30, 2004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Jamie S. Gorelick</w:t>
      </w:r>
    </w:p>
    <w:p>
      <w:pPr>
        <w:spacing w:after="0" w:line="228" w:lineRule="auto"/>
        <w:rPr>
          <w:sz w:val="20"/>
          <w:szCs w:val="20"/>
          <w:color w:val="auto"/>
        </w:rPr>
      </w:pPr>
      <w:r>
        <w:rPr>
          <w:rFonts w:ascii="Arial" w:cs="Arial" w:eastAsia="Arial" w:hAnsi="Arial"/>
          <w:sz w:val="14"/>
          <w:szCs w:val="14"/>
          <w:color w:val="auto"/>
        </w:rPr>
        <w:t>Director</w:t>
      </w:r>
    </w:p>
    <w:p>
      <w:pPr>
        <w:spacing w:after="0"/>
        <w:rPr>
          <w:sz w:val="20"/>
          <w:szCs w:val="20"/>
          <w:color w:val="auto"/>
        </w:rPr>
      </w:pPr>
      <w:r>
        <w:rPr>
          <w:rFonts w:ascii="Arial" w:cs="Arial" w:eastAsia="Arial" w:hAnsi="Arial"/>
          <w:sz w:val="18"/>
          <w:szCs w:val="18"/>
          <w:color w:val="auto"/>
        </w:rPr>
        <w:t>Dated: May 5, 2004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Andrew Gould</w:t>
      </w:r>
    </w:p>
    <w:p>
      <w:pPr>
        <w:spacing w:after="0" w:line="221" w:lineRule="auto"/>
        <w:rPr>
          <w:sz w:val="20"/>
          <w:szCs w:val="20"/>
          <w:color w:val="auto"/>
        </w:rPr>
      </w:pPr>
      <w:r>
        <w:rPr>
          <w:rFonts w:ascii="Arial" w:cs="Arial" w:eastAsia="Arial" w:hAnsi="Arial"/>
          <w:sz w:val="14"/>
          <w:szCs w:val="14"/>
          <w:color w:val="auto"/>
        </w:rPr>
        <w:t>Director</w:t>
      </w:r>
    </w:p>
    <w:p>
      <w:pPr>
        <w:spacing w:after="0"/>
        <w:rPr>
          <w:sz w:val="20"/>
          <w:szCs w:val="20"/>
          <w:color w:val="auto"/>
        </w:rPr>
      </w:pPr>
      <w:r>
        <w:rPr>
          <w:rFonts w:ascii="Arial" w:cs="Arial" w:eastAsia="Arial" w:hAnsi="Arial"/>
          <w:sz w:val="12"/>
          <w:szCs w:val="12"/>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2004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Tony Isaac</w:t>
      </w:r>
    </w:p>
    <w:p>
      <w:pPr>
        <w:spacing w:after="0" w:line="228" w:lineRule="auto"/>
        <w:rPr>
          <w:sz w:val="20"/>
          <w:szCs w:val="20"/>
          <w:color w:val="auto"/>
        </w:rPr>
      </w:pPr>
      <w:r>
        <w:rPr>
          <w:rFonts w:ascii="Arial" w:cs="Arial" w:eastAsia="Arial" w:hAnsi="Arial"/>
          <w:sz w:val="14"/>
          <w:szCs w:val="14"/>
          <w:color w:val="auto"/>
        </w:rPr>
        <w:t>Director</w:t>
      </w:r>
    </w:p>
    <w:p>
      <w:pPr>
        <w:spacing w:after="0"/>
        <w:rPr>
          <w:sz w:val="20"/>
          <w:szCs w:val="20"/>
          <w:color w:val="auto"/>
        </w:rPr>
      </w:pPr>
      <w:r>
        <w:rPr>
          <w:rFonts w:ascii="Arial" w:cs="Arial" w:eastAsia="Arial" w:hAnsi="Arial"/>
          <w:sz w:val="18"/>
          <w:szCs w:val="18"/>
          <w:color w:val="auto"/>
        </w:rPr>
        <w:t>Dated: April 30, 2004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36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Jean-Marc Perraud</w:t>
      </w:r>
    </w:p>
    <w:p>
      <w:pPr>
        <w:spacing w:after="0"/>
        <w:rPr>
          <w:sz w:val="20"/>
          <w:szCs w:val="20"/>
          <w:color w:val="auto"/>
        </w:rPr>
      </w:pPr>
      <w:r>
        <w:rPr>
          <w:rFonts w:ascii="Arial" w:cs="Arial" w:eastAsia="Arial" w:hAnsi="Arial"/>
          <w:sz w:val="12"/>
          <w:szCs w:val="12"/>
          <w:color w:val="auto"/>
        </w:rPr>
        <w:t>Executive Vice President and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2004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Didier Primat</w:t>
      </w:r>
    </w:p>
    <w:p>
      <w:pPr>
        <w:spacing w:after="0" w:line="228" w:lineRule="auto"/>
        <w:rPr>
          <w:sz w:val="20"/>
          <w:szCs w:val="20"/>
          <w:color w:val="auto"/>
        </w:rPr>
      </w:pPr>
      <w:r>
        <w:rPr>
          <w:rFonts w:ascii="Arial" w:cs="Arial" w:eastAsia="Arial" w:hAnsi="Arial"/>
          <w:sz w:val="14"/>
          <w:szCs w:val="14"/>
          <w:color w:val="auto"/>
        </w:rPr>
        <w:t>Director</w:t>
      </w:r>
    </w:p>
    <w:p>
      <w:pPr>
        <w:spacing w:after="0"/>
        <w:rPr>
          <w:sz w:val="20"/>
          <w:szCs w:val="20"/>
          <w:color w:val="auto"/>
        </w:rPr>
      </w:pPr>
      <w:r>
        <w:rPr>
          <w:rFonts w:ascii="Arial" w:cs="Arial" w:eastAsia="Arial" w:hAnsi="Arial"/>
          <w:sz w:val="18"/>
          <w:szCs w:val="18"/>
          <w:color w:val="auto"/>
        </w:rPr>
        <w:t>Dated: April 30, 2004</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Nicolas Seydoux</w:t>
      </w:r>
    </w:p>
    <w:p>
      <w:pPr>
        <w:spacing w:after="0" w:line="228" w:lineRule="auto"/>
        <w:rPr>
          <w:sz w:val="20"/>
          <w:szCs w:val="20"/>
          <w:color w:val="auto"/>
        </w:rPr>
      </w:pPr>
      <w:r>
        <w:rPr>
          <w:rFonts w:ascii="Arial" w:cs="Arial" w:eastAsia="Arial" w:hAnsi="Arial"/>
          <w:sz w:val="14"/>
          <w:szCs w:val="14"/>
          <w:color w:val="auto"/>
        </w:rPr>
        <w:t>Director</w:t>
      </w:r>
    </w:p>
    <w:p>
      <w:pPr>
        <w:jc w:val="center"/>
        <w:ind w:right="3700"/>
        <w:spacing w:after="0"/>
        <w:rPr>
          <w:sz w:val="20"/>
          <w:szCs w:val="20"/>
          <w:color w:val="auto"/>
        </w:rPr>
      </w:pPr>
      <w:r>
        <w:rPr>
          <w:rFonts w:ascii="Arial" w:cs="Arial" w:eastAsia="Arial" w:hAnsi="Arial"/>
          <w:sz w:val="16"/>
          <w:szCs w:val="16"/>
          <w:color w:val="auto"/>
        </w:rPr>
        <w:t>Dated: April 30, 2004</w:t>
      </w:r>
    </w:p>
    <w:p>
      <w:pPr>
        <w:spacing w:after="0" w:line="396" w:lineRule="exact"/>
        <w:rPr>
          <w:sz w:val="20"/>
          <w:szCs w:val="20"/>
          <w:color w:val="auto"/>
        </w:rPr>
      </w:pPr>
    </w:p>
    <w:p>
      <w:pPr>
        <w:jc w:val="center"/>
        <w:ind w:right="3780"/>
        <w:spacing w:after="0"/>
        <w:tabs>
          <w:tab w:leader="none" w:pos="160" w:val="left"/>
        </w:tabs>
        <w:rPr>
          <w:sz w:val="20"/>
          <w:szCs w:val="20"/>
          <w:color w:val="auto"/>
        </w:rPr>
      </w:pPr>
      <w:r>
        <w:rPr>
          <w:rFonts w:ascii="Arial" w:cs="Arial" w:eastAsia="Arial" w:hAnsi="Arial"/>
          <w:sz w:val="18"/>
          <w:szCs w:val="18"/>
          <w:color w:val="auto"/>
        </w:rPr>
        <w:t>/s/</w:t>
        <w:tab/>
        <w:t>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3327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Linda G. Stuntz</w:t>
      </w:r>
    </w:p>
    <w:p>
      <w:pPr>
        <w:spacing w:after="0" w:line="228" w:lineRule="auto"/>
        <w:rPr>
          <w:sz w:val="20"/>
          <w:szCs w:val="20"/>
          <w:color w:val="auto"/>
        </w:rPr>
      </w:pPr>
      <w:r>
        <w:rPr>
          <w:rFonts w:ascii="Arial" w:cs="Arial" w:eastAsia="Arial" w:hAnsi="Arial"/>
          <w:sz w:val="14"/>
          <w:szCs w:val="14"/>
          <w:color w:val="auto"/>
        </w:rPr>
        <w:t>Director</w:t>
      </w:r>
    </w:p>
    <w:p>
      <w:pPr>
        <w:jc w:val="center"/>
        <w:ind w:right="3700"/>
        <w:spacing w:after="0"/>
        <w:rPr>
          <w:sz w:val="20"/>
          <w:szCs w:val="20"/>
          <w:color w:val="auto"/>
        </w:rPr>
      </w:pPr>
      <w:r>
        <w:rPr>
          <w:rFonts w:ascii="Arial" w:cs="Arial" w:eastAsia="Arial" w:hAnsi="Arial"/>
          <w:sz w:val="16"/>
          <w:szCs w:val="16"/>
          <w:color w:val="auto"/>
        </w:rPr>
        <w:t>Dated: April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5460" w:space="720"/>
            <w:col w:w="5240"/>
          </w:cols>
          <w:pgMar w:left="240" w:top="125" w:right="2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20"/>
                <w:szCs w:val="20"/>
                <w:color w:val="auto"/>
              </w:rPr>
            </w:pPr>
            <w:r>
              <w:rPr>
                <w:rFonts w:ascii="Arial" w:cs="Arial" w:eastAsia="Arial" w:hAnsi="Arial"/>
                <w:sz w:val="14"/>
                <w:szCs w:val="14"/>
                <w:color w:val="auto"/>
              </w:rPr>
              <w:t>Adrian Lajous</w:t>
            </w:r>
          </w:p>
        </w:tc>
        <w:tc>
          <w:tcPr>
            <w:tcW w:w="2840" w:type="dxa"/>
            <w:vAlign w:val="bottom"/>
            <w:gridSpan w:val="2"/>
          </w:tcPr>
          <w:p>
            <w:pPr>
              <w:ind w:left="920"/>
              <w:spacing w:after="0"/>
              <w:rPr>
                <w:sz w:val="20"/>
                <w:szCs w:val="20"/>
                <w:color w:val="auto"/>
              </w:rPr>
            </w:pPr>
            <w:r>
              <w:rPr>
                <w:rFonts w:ascii="Arial" w:cs="Arial" w:eastAsia="Arial" w:hAnsi="Arial"/>
                <w:sz w:val="14"/>
                <w:szCs w:val="14"/>
                <w:color w:val="auto"/>
              </w:rPr>
              <w:t>Tore I. Sandvold</w:t>
            </w:r>
          </w:p>
        </w:tc>
      </w:tr>
      <w:tr>
        <w:trPr>
          <w:trHeight w:val="151"/>
        </w:trPr>
        <w:tc>
          <w:tcPr>
            <w:tcW w:w="5260" w:type="dxa"/>
            <w:vAlign w:val="bottom"/>
          </w:tcPr>
          <w:p>
            <w:pPr>
              <w:spacing w:after="0" w:line="151" w:lineRule="exact"/>
              <w:rPr>
                <w:sz w:val="20"/>
                <w:szCs w:val="20"/>
                <w:color w:val="auto"/>
              </w:rPr>
            </w:pPr>
            <w:r>
              <w:rPr>
                <w:rFonts w:ascii="Arial" w:cs="Arial" w:eastAsia="Arial" w:hAnsi="Arial"/>
                <w:sz w:val="14"/>
                <w:szCs w:val="14"/>
                <w:color w:val="auto"/>
              </w:rPr>
              <w:t>Director</w:t>
            </w:r>
          </w:p>
        </w:tc>
        <w:tc>
          <w:tcPr>
            <w:tcW w:w="2840" w:type="dxa"/>
            <w:vAlign w:val="bottom"/>
            <w:gridSpan w:val="2"/>
          </w:tcPr>
          <w:p>
            <w:pPr>
              <w:ind w:left="920"/>
              <w:spacing w:after="0" w:line="151" w:lineRule="exact"/>
              <w:rPr>
                <w:sz w:val="20"/>
                <w:szCs w:val="20"/>
                <w:color w:val="auto"/>
              </w:rPr>
            </w:pPr>
            <w:r>
              <w:rPr>
                <w:rFonts w:ascii="Arial" w:cs="Arial" w:eastAsia="Arial" w:hAnsi="Arial"/>
                <w:sz w:val="14"/>
                <w:szCs w:val="14"/>
                <w:color w:val="auto"/>
              </w:rPr>
              <w:t>Director</w:t>
            </w:r>
          </w:p>
        </w:tc>
      </w:tr>
      <w:tr>
        <w:trPr>
          <w:trHeight w:val="184"/>
        </w:trPr>
        <w:tc>
          <w:tcPr>
            <w:tcW w:w="5260" w:type="dxa"/>
            <w:vAlign w:val="bottom"/>
          </w:tcPr>
          <w:p>
            <w:pPr>
              <w:spacing w:after="0" w:line="184" w:lineRule="exact"/>
              <w:rPr>
                <w:sz w:val="20"/>
                <w:szCs w:val="20"/>
                <w:color w:val="auto"/>
              </w:rPr>
            </w:pPr>
            <w:r>
              <w:rPr>
                <w:rFonts w:ascii="Arial" w:cs="Arial" w:eastAsia="Arial" w:hAnsi="Arial"/>
                <w:sz w:val="18"/>
                <w:szCs w:val="18"/>
                <w:color w:val="auto"/>
              </w:rPr>
              <w:t>Dated: April 30, 2004</w:t>
            </w:r>
          </w:p>
        </w:tc>
        <w:tc>
          <w:tcPr>
            <w:tcW w:w="2840" w:type="dxa"/>
            <w:vAlign w:val="bottom"/>
            <w:gridSpan w:val="2"/>
          </w:tcPr>
          <w:p>
            <w:pPr>
              <w:ind w:left="920"/>
              <w:spacing w:after="0" w:line="184" w:lineRule="exact"/>
              <w:rPr>
                <w:sz w:val="20"/>
                <w:szCs w:val="20"/>
                <w:color w:val="auto"/>
              </w:rPr>
            </w:pPr>
            <w:r>
              <w:rPr>
                <w:rFonts w:ascii="Arial" w:cs="Arial" w:eastAsia="Arial" w:hAnsi="Arial"/>
                <w:sz w:val="18"/>
                <w:szCs w:val="18"/>
                <w:color w:val="auto"/>
              </w:rPr>
              <w:t>Dated:</w:t>
            </w:r>
          </w:p>
        </w:tc>
      </w:tr>
      <w:tr>
        <w:trPr>
          <w:trHeight w:val="464"/>
        </w:trPr>
        <w:tc>
          <w:tcPr>
            <w:tcW w:w="5260" w:type="dxa"/>
            <w:vAlign w:val="bottom"/>
          </w:tcPr>
          <w:p>
            <w:pPr>
              <w:spacing w:after="0"/>
              <w:rPr>
                <w:sz w:val="20"/>
                <w:szCs w:val="20"/>
                <w:color w:val="auto"/>
              </w:rPr>
            </w:pPr>
            <w:r>
              <w:rPr>
                <w:rFonts w:ascii="Arial" w:cs="Arial" w:eastAsia="Arial" w:hAnsi="Arial"/>
                <w:sz w:val="18"/>
                <w:szCs w:val="18"/>
                <w:color w:val="auto"/>
              </w:rPr>
              <w:t>/s/  André Lévy-Lang</w:t>
            </w:r>
          </w:p>
        </w:tc>
        <w:tc>
          <w:tcPr>
            <w:tcW w:w="14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39"/>
        </w:trPr>
        <w:tc>
          <w:tcPr>
            <w:tcW w:w="5260" w:type="dxa"/>
            <w:vAlign w:val="bottom"/>
          </w:tcPr>
          <w:p>
            <w:pPr>
              <w:spacing w:after="0"/>
              <w:rPr>
                <w:sz w:val="20"/>
                <w:szCs w:val="20"/>
                <w:color w:val="auto"/>
              </w:rPr>
            </w:pPr>
            <w:r>
              <w:rPr>
                <w:rFonts w:ascii="Arial" w:cs="Arial" w:eastAsia="Arial" w:hAnsi="Arial"/>
                <w:sz w:val="14"/>
                <w:szCs w:val="14"/>
                <w:color w:val="auto"/>
              </w:rPr>
              <w:t>André Lévy-Lang</w:t>
            </w: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51"/>
        </w:trPr>
        <w:tc>
          <w:tcPr>
            <w:tcW w:w="5260" w:type="dxa"/>
            <w:vAlign w:val="bottom"/>
          </w:tcPr>
          <w:p>
            <w:pPr>
              <w:spacing w:after="0" w:line="151" w:lineRule="exact"/>
              <w:rPr>
                <w:sz w:val="20"/>
                <w:szCs w:val="20"/>
                <w:color w:val="auto"/>
              </w:rPr>
            </w:pPr>
            <w:r>
              <w:rPr>
                <w:rFonts w:ascii="Arial" w:cs="Arial" w:eastAsia="Arial" w:hAnsi="Arial"/>
                <w:sz w:val="14"/>
                <w:szCs w:val="14"/>
                <w:color w:val="auto"/>
              </w:rPr>
              <w:t>Director</w:t>
            </w:r>
          </w:p>
        </w:tc>
        <w:tc>
          <w:tcPr>
            <w:tcW w:w="14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Dated: April 30, 2004</w:t>
            </w: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24"/>
    </w:lvl>
  </w:abstractNum>
  <w:abstractNum w:abstractNumId="4">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lowerLetter"/>
      <w:start w:val="1"/>
    </w:lvl>
    <w:lvl w:ilvl="1">
      <w:lvlJc w:val="left"/>
      <w:lvlText w:val="(%2)"/>
      <w:numFmt w:val="decimal"/>
      <w:start w:val="2"/>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5"/>
      <w:numFmt w:val="bullet"/>
      <w:start w:val="1"/>
    </w:lvl>
  </w:abstractNum>
  <w:abstractNum w:abstractNumId="8">
    <w:nsid w:val="5BD062C2"/>
    <w:multiLevelType w:val="hybridMultilevel"/>
    <w:lvl w:ilvl="0">
      <w:lvlJc w:val="left"/>
      <w:lvlText w:val="*"/>
      <w:numFmt w:val="bullet"/>
      <w:start w:val="1"/>
    </w:lvl>
    <w:lvl w:ilvl="1">
      <w:lvlJc w:val="left"/>
      <w:lvlText w:val="%2"/>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2019-12-13T06:30:01Z</dcterms:created>
  <dcterms:modified xsi:type="dcterms:W3CDTF">2019-12-13T06:30:01Z</dcterms:modified>
</cp:coreProperties>
</file>