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0"/>
          <w:szCs w:val="20"/>
          <w:color w:val="auto"/>
        </w:rPr>
        <w:t>Filed by Schlumberger N.V.</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9"/>
          <w:szCs w:val="19"/>
          <w:color w:val="auto"/>
        </w:rPr>
        <w:t>pursuant to Rule 425 under the Securities Act of 1933</w:t>
      </w:r>
    </w:p>
    <w:p>
      <w:pPr>
        <w:spacing w:after="0" w:line="38" w:lineRule="exact"/>
        <w:rPr>
          <w:sz w:val="24"/>
          <w:szCs w:val="24"/>
          <w:color w:val="auto"/>
        </w:rPr>
      </w:pPr>
    </w:p>
    <w:p>
      <w:pPr>
        <w:jc w:val="right"/>
        <w:spacing w:after="0"/>
        <w:rPr>
          <w:sz w:val="20"/>
          <w:szCs w:val="20"/>
          <w:color w:val="auto"/>
        </w:rPr>
      </w:pPr>
      <w:r>
        <w:rPr>
          <w:rFonts w:ascii="Arial" w:cs="Arial" w:eastAsia="Arial" w:hAnsi="Arial"/>
          <w:sz w:val="20"/>
          <w:szCs w:val="20"/>
          <w:color w:val="auto"/>
        </w:rPr>
        <w:t>and deemed filed pursuant to Rule 14a-12</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20"/>
          <w:szCs w:val="20"/>
          <w:color w:val="auto"/>
        </w:rPr>
        <w:t>under the Securities Exchange Act of 1934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20"/>
          <w:szCs w:val="20"/>
          <w:color w:val="auto"/>
        </w:rPr>
        <w:t>Subject Company: ChampionX Corporation</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20"/>
          <w:szCs w:val="20"/>
          <w:color w:val="auto"/>
        </w:rPr>
        <w:t>Filer’s SEC File No.: 001-38441</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20"/>
          <w:szCs w:val="20"/>
          <w:color w:val="auto"/>
        </w:rPr>
        <w:t>Date: April 15, 2024</w:t>
      </w:r>
    </w:p>
    <w:p>
      <w:pPr>
        <w:sectPr>
          <w:pgSz w:w="11900" w:h="16838" w:orient="portrait"/>
          <w:cols w:equalWidth="0" w:num="1">
            <w:col w:w="10020"/>
          </w:cols>
          <w:pgMar w:left="1440" w:top="226"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65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rPr>
          <w:sz w:val="20"/>
          <w:szCs w:val="20"/>
          <w:color w:val="auto"/>
        </w:rPr>
      </w:pPr>
      <w:r>
        <w:rPr>
          <w:rFonts w:ascii="Arial" w:cs="Arial" w:eastAsia="Arial" w:hAnsi="Arial"/>
          <w:sz w:val="22"/>
          <w:szCs w:val="22"/>
          <w:color w:val="auto"/>
        </w:rPr>
        <w:t xml:space="preserve">I am happy to announce that </w:t>
      </w:r>
      <w:r>
        <w:rPr>
          <w:rFonts w:ascii="Arial" w:cs="Arial" w:eastAsia="Arial" w:hAnsi="Arial"/>
          <w:sz w:val="22"/>
          <w:szCs w:val="22"/>
          <w:b w:val="1"/>
          <w:bCs w:val="1"/>
          <w:color w:val="auto"/>
        </w:rPr>
        <w:t>Amy Chua</w:t>
      </w:r>
      <w:r>
        <w:rPr>
          <w:rFonts w:ascii="Arial" w:cs="Arial" w:eastAsia="Arial" w:hAnsi="Arial"/>
          <w:sz w:val="22"/>
          <w:szCs w:val="22"/>
          <w:color w:val="auto"/>
        </w:rPr>
        <w:t xml:space="preserve"> has been named the </w:t>
      </w:r>
      <w:r>
        <w:rPr>
          <w:rFonts w:ascii="Arial" w:cs="Arial" w:eastAsia="Arial" w:hAnsi="Arial"/>
          <w:sz w:val="22"/>
          <w:szCs w:val="22"/>
          <w:b w:val="1"/>
          <w:bCs w:val="1"/>
          <w:color w:val="auto"/>
        </w:rPr>
        <w:t>Integration Director, ChampionX</w:t>
      </w:r>
      <w:r>
        <w:rPr>
          <w:rFonts w:ascii="Arial" w:cs="Arial" w:eastAsia="Arial" w:hAnsi="Arial"/>
          <w:sz w:val="22"/>
          <w:szCs w:val="22"/>
          <w:color w:val="auto"/>
        </w:rPr>
        <w:t>. In this critical role, Amy will lead the cross-functional teams who will focus on leveraging both companies’ complementary strengths to build world-class offerings in the production and recovery space. She will report to Abdellah Merad, EVP of Core Services and Equipment, and will be based in Houston.</w:t>
      </w:r>
    </w:p>
    <w:p>
      <w:pPr>
        <w:spacing w:after="0" w:line="176" w:lineRule="exact"/>
        <w:rPr>
          <w:sz w:val="20"/>
          <w:szCs w:val="20"/>
          <w:color w:val="auto"/>
        </w:rPr>
      </w:pPr>
    </w:p>
    <w:p>
      <w:pPr>
        <w:spacing w:after="0" w:line="245" w:lineRule="auto"/>
        <w:rPr>
          <w:sz w:val="20"/>
          <w:szCs w:val="20"/>
          <w:color w:val="auto"/>
        </w:rPr>
      </w:pPr>
      <w:r>
        <w:rPr>
          <w:rFonts w:ascii="Arial" w:cs="Arial" w:eastAsia="Arial" w:hAnsi="Arial"/>
          <w:sz w:val="22"/>
          <w:szCs w:val="22"/>
          <w:b w:val="1"/>
          <w:bCs w:val="1"/>
          <w:color w:val="auto"/>
        </w:rPr>
        <w:t xml:space="preserve">Sherif Shohdy </w:t>
      </w:r>
      <w:r>
        <w:rPr>
          <w:rFonts w:ascii="Arial" w:cs="Arial" w:eastAsia="Arial" w:hAnsi="Arial"/>
          <w:sz w:val="22"/>
          <w:szCs w:val="22"/>
          <w:color w:val="auto"/>
        </w:rPr>
        <w:t>will succeed Amy as SLB’s</w:t>
      </w:r>
      <w:r>
        <w:rPr>
          <w:rFonts w:ascii="Arial" w:cs="Arial" w:eastAsia="Arial" w:hAnsi="Arial"/>
          <w:sz w:val="22"/>
          <w:szCs w:val="22"/>
          <w:b w:val="1"/>
          <w:bCs w:val="1"/>
          <w:color w:val="auto"/>
        </w:rPr>
        <w:t xml:space="preserve"> Asia Basin President</w:t>
      </w:r>
      <w:r>
        <w:rPr>
          <w:rFonts w:ascii="Arial" w:cs="Arial" w:eastAsia="Arial" w:hAnsi="Arial"/>
          <w:sz w:val="22"/>
          <w:szCs w:val="22"/>
          <w:color w:val="auto"/>
        </w:rPr>
        <w:t>. I am confident that Sherif’s leadership and</w:t>
      </w:r>
      <w:r>
        <w:rPr>
          <w:rFonts w:ascii="Arial" w:cs="Arial" w:eastAsia="Arial" w:hAnsi="Arial"/>
          <w:sz w:val="22"/>
          <w:szCs w:val="22"/>
          <w:b w:val="1"/>
          <w:bCs w:val="1"/>
          <w:color w:val="auto"/>
        </w:rPr>
        <w:t xml:space="preserve"> </w:t>
      </w:r>
      <w:r>
        <w:rPr>
          <w:rFonts w:ascii="Arial" w:cs="Arial" w:eastAsia="Arial" w:hAnsi="Arial"/>
          <w:sz w:val="22"/>
          <w:szCs w:val="22"/>
          <w:color w:val="auto"/>
        </w:rPr>
        <w:t>experience will help us drive more growth, success and customer value in this important region. He will report to Khaled Al Mogharbel, EVP of Geographies, and will be based in Kuala Lumpur.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Please join me in congratulating both Amy and Sherif on their new roles and wishing them success.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Olivier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Related:</w:t>
      </w:r>
    </w:p>
    <w:p>
      <w:pPr>
        <w:spacing w:after="0"/>
        <w:rPr>
          <w:sz w:val="20"/>
          <w:szCs w:val="20"/>
          <w:color w:val="auto"/>
        </w:rPr>
      </w:pPr>
      <w:r>
        <w:rPr>
          <w:rFonts w:ascii="Arial" w:cs="Arial" w:eastAsia="Arial" w:hAnsi="Arial"/>
          <w:sz w:val="22"/>
          <w:szCs w:val="22"/>
          <w:u w:val="single" w:color="auto"/>
          <w:color w:val="0014DC"/>
        </w:rPr>
        <w:t>Read the ChampionX announcement</w:t>
      </w:r>
    </w:p>
    <w:p>
      <w:pPr>
        <w:spacing w:after="0"/>
        <w:rPr>
          <w:sz w:val="20"/>
          <w:szCs w:val="20"/>
          <w:color w:val="auto"/>
        </w:rPr>
      </w:pPr>
      <w:r>
        <w:rPr>
          <w:rFonts w:ascii="Arial" w:cs="Arial" w:eastAsia="Arial" w:hAnsi="Arial"/>
          <w:sz w:val="22"/>
          <w:szCs w:val="22"/>
          <w:u w:val="single" w:color="auto"/>
          <w:color w:val="0014DC"/>
        </w:rPr>
        <w:t>Read the ChampionX acquisition FAQs</w:t>
      </w:r>
    </w:p>
    <w:p>
      <w:pPr>
        <w:sectPr>
          <w:pgSz w:w="11900" w:h="16838" w:orient="portrait"/>
          <w:cols w:equalWidth="0" w:num="1">
            <w:col w:w="10680"/>
          </w:cols>
          <w:pgMar w:left="540" w:top="1440" w:right="6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249"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This communication contains forward-looking statements within the meaning of the Private Securities Litigation Reform Act of 1995, Section 27A of the Securities Act of 1933, as amended, and Section 21E of the Exchange Act of 1934, as amended.</w:t>
      </w:r>
    </w:p>
    <w:p>
      <w:pPr>
        <w:spacing w:after="0" w:line="197"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223" w:lineRule="exact"/>
        <w:rPr>
          <w:sz w:val="20"/>
          <w:szCs w:val="20"/>
          <w:color w:val="auto"/>
        </w:rPr>
      </w:pPr>
    </w:p>
    <w:p>
      <w:pPr>
        <w:jc w:val="both"/>
        <w:ind w:right="160"/>
        <w:spacing w:after="0" w:line="245" w:lineRule="auto"/>
        <w:rPr>
          <w:sz w:val="20"/>
          <w:szCs w:val="20"/>
          <w:color w:val="auto"/>
        </w:rPr>
      </w:pPr>
      <w:r>
        <w:rPr>
          <w:rFonts w:ascii="Arial" w:cs="Arial" w:eastAsia="Arial" w:hAnsi="Arial"/>
          <w:sz w:val="22"/>
          <w:szCs w:val="22"/>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w:t>
      </w:r>
    </w:p>
    <w:p>
      <w:pPr>
        <w:sectPr>
          <w:pgSz w:w="11900" w:h="16838" w:orient="portrait"/>
          <w:cols w:equalWidth="0" w:num="1">
            <w:col w:w="10980"/>
          </w:cols>
          <w:pgMar w:left="440" w:top="260" w:right="479" w:bottom="1440" w:gutter="0" w:footer="0" w:header="0"/>
        </w:sectPr>
      </w:pPr>
    </w:p>
    <w:bookmarkStart w:id="3" w:name="page4"/>
    <w:bookmarkEnd w:id="3"/>
    <w:p>
      <w:pPr>
        <w:spacing w:after="0" w:line="243"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216" w:lineRule="exact"/>
        <w:rPr>
          <w:sz w:val="20"/>
          <w:szCs w:val="20"/>
          <w:color w:val="auto"/>
        </w:rPr>
      </w:pPr>
    </w:p>
    <w:p>
      <w:pPr>
        <w:jc w:val="both"/>
        <w:ind w:right="240"/>
        <w:spacing w:after="0" w:line="245" w:lineRule="auto"/>
        <w:rPr>
          <w:sz w:val="20"/>
          <w:szCs w:val="20"/>
          <w:color w:val="auto"/>
        </w:rPr>
      </w:pPr>
      <w:r>
        <w:rPr>
          <w:rFonts w:ascii="Arial" w:cs="Arial" w:eastAsia="Arial" w:hAnsi="Arial"/>
          <w:sz w:val="22"/>
          <w:szCs w:val="22"/>
          <w:color w:val="auto"/>
        </w:rPr>
        <w:t>These risks, as well as other risks related to the proposed transaction, will be included in the Form S-4 and proxy statement/prospectus that will be filed with the SEC in connection with the proposed transaction. While the list of factors</w:t>
      </w:r>
    </w:p>
    <w:p>
      <w:pPr>
        <w:sectPr>
          <w:pgSz w:w="11900" w:h="16838" w:orient="portrait"/>
          <w:cols w:equalWidth="0" w:num="1">
            <w:col w:w="11000"/>
          </w:cols>
          <w:pgMar w:left="440" w:top="262" w:right="459" w:bottom="1440" w:gutter="0" w:footer="0" w:header="0"/>
        </w:sectPr>
      </w:pPr>
    </w:p>
    <w:bookmarkStart w:id="4" w:name="page5"/>
    <w:bookmarkEnd w:id="4"/>
    <w:p>
      <w:pPr>
        <w:spacing w:after="0" w:line="234"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about the Transaction and Where to Find It</w:t>
      </w:r>
    </w:p>
    <w:p>
      <w:pPr>
        <w:spacing w:after="0" w:line="235"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 xml:space="preserve">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w:t>
      </w:r>
      <w:r>
        <w:rPr>
          <w:rFonts w:ascii="Arial" w:cs="Arial" w:eastAsia="Arial" w:hAnsi="Arial"/>
          <w:sz w:val="21"/>
          <w:szCs w:val="21"/>
          <w:u w:val="single" w:color="auto"/>
          <w:color w:val="0014DC"/>
        </w:rPr>
        <w:t>http://www.sec.gov</w:t>
      </w:r>
      <w:r>
        <w:rPr>
          <w:rFonts w:ascii="Arial" w:cs="Arial" w:eastAsia="Arial" w:hAnsi="Arial"/>
          <w:sz w:val="21"/>
          <w:szCs w:val="21"/>
          <w:color w:val="auto"/>
        </w:rPr>
        <w:t>. Copies of the documents filed with, or furnished to, the SEC by SLB will be available free of charge on SLB’s website</w:t>
      </w:r>
    </w:p>
    <w:p>
      <w:pPr>
        <w:spacing w:after="0" w:line="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at </w:t>
      </w:r>
      <w:r>
        <w:rPr>
          <w:rFonts w:ascii="Arial" w:cs="Arial" w:eastAsia="Arial" w:hAnsi="Arial"/>
          <w:sz w:val="21"/>
          <w:szCs w:val="21"/>
          <w:u w:val="single" w:color="auto"/>
          <w:color w:val="0014DC"/>
        </w:rPr>
        <w:t>https://investorcenter.slb.com</w:t>
      </w:r>
      <w:r>
        <w:rPr>
          <w:rFonts w:ascii="Arial" w:cs="Arial" w:eastAsia="Arial" w:hAnsi="Arial"/>
          <w:sz w:val="21"/>
          <w:szCs w:val="21"/>
          <w:color w:val="auto"/>
        </w:rPr>
        <w:t xml:space="preserve">. Copies of the documents filed with, or furnished to, the SEC by ChampionX will be available free of charge on ChampionX’s website at </w:t>
      </w:r>
      <w:r>
        <w:rPr>
          <w:rFonts w:ascii="Arial" w:cs="Arial" w:eastAsia="Arial" w:hAnsi="Arial"/>
          <w:sz w:val="21"/>
          <w:szCs w:val="21"/>
          <w:u w:val="single" w:color="auto"/>
          <w:color w:val="0014DC"/>
        </w:rPr>
        <w:t>https://investors.championx.com</w:t>
      </w:r>
      <w:r>
        <w:rPr>
          <w:rFonts w:ascii="Arial" w:cs="Arial" w:eastAsia="Arial" w:hAnsi="Arial"/>
          <w:sz w:val="21"/>
          <w:szCs w:val="21"/>
          <w:color w:val="auto"/>
        </w:rPr>
        <w:t>. The information included on, or accessible through, SLB’s or ChampionX’s website is not incorporated by reference into this communication.</w:t>
      </w:r>
    </w:p>
    <w:p>
      <w:pPr>
        <w:sectPr>
          <w:pgSz w:w="11900" w:h="16838" w:orient="portrait"/>
          <w:cols w:equalWidth="0" w:num="1">
            <w:col w:w="11000"/>
          </w:cols>
          <w:pgMar w:left="440" w:top="262" w:right="4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249"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 xml:space="preserve">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w:t>
      </w:r>
      <w:r>
        <w:rPr>
          <w:rFonts w:ascii="Arial" w:cs="Arial" w:eastAsia="Arial" w:hAnsi="Arial"/>
          <w:sz w:val="21"/>
          <w:szCs w:val="21"/>
          <w:u w:val="single" w:color="auto"/>
          <w:color w:val="0014DC"/>
        </w:rPr>
        <w:t>2024 Annual General Meeting of Stockholders</w:t>
      </w:r>
      <w:r>
        <w:rPr>
          <w:rFonts w:ascii="Arial" w:cs="Arial" w:eastAsia="Arial" w:hAnsi="Arial"/>
          <w:sz w:val="21"/>
          <w:szCs w:val="21"/>
          <w:color w:val="auto"/>
        </w:rPr>
        <w:t xml:space="preserve">,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w:t>
      </w:r>
      <w:r>
        <w:rPr>
          <w:rFonts w:ascii="Arial" w:cs="Arial" w:eastAsia="Arial" w:hAnsi="Arial"/>
          <w:sz w:val="21"/>
          <w:szCs w:val="21"/>
          <w:u w:val="single" w:color="auto"/>
          <w:color w:val="0014DC"/>
        </w:rPr>
        <w:t>SLB’s Annual</w:t>
      </w:r>
      <w:r>
        <w:rPr>
          <w:rFonts w:ascii="Arial" w:cs="Arial" w:eastAsia="Arial" w:hAnsi="Arial"/>
          <w:sz w:val="21"/>
          <w:szCs w:val="21"/>
          <w:color w:val="auto"/>
        </w:rPr>
        <w:t xml:space="preserve"> </w:t>
      </w:r>
      <w:r>
        <w:rPr>
          <w:rFonts w:ascii="Arial" w:cs="Arial" w:eastAsia="Arial" w:hAnsi="Arial"/>
          <w:sz w:val="21"/>
          <w:szCs w:val="21"/>
          <w:u w:val="single" w:color="auto"/>
          <w:color w:val="0014DC"/>
        </w:rPr>
        <w:t>Report on Form 10-K</w:t>
      </w:r>
      <w:r>
        <w:rPr>
          <w:rFonts w:ascii="Arial" w:cs="Arial" w:eastAsia="Arial" w:hAnsi="Arial"/>
          <w:sz w:val="21"/>
          <w:szCs w:val="21"/>
          <w:color w:val="0014DC"/>
        </w:rPr>
        <w:t xml:space="preserve"> </w:t>
      </w:r>
      <w:r>
        <w:rPr>
          <w:rFonts w:ascii="Arial" w:cs="Arial" w:eastAsia="Arial" w:hAnsi="Arial"/>
          <w:sz w:val="21"/>
          <w:szCs w:val="21"/>
          <w:color w:val="000000"/>
        </w:rPr>
        <w:t>for the fiscal year ended December 31,2023, which was filed with the SEC on January 24,</w:t>
      </w:r>
      <w:r>
        <w:rPr>
          <w:rFonts w:ascii="Arial" w:cs="Arial" w:eastAsia="Arial" w:hAnsi="Arial"/>
          <w:sz w:val="21"/>
          <w:szCs w:val="21"/>
          <w:color w:val="0014DC"/>
        </w:rPr>
        <w:t xml:space="preserve"> </w:t>
      </w:r>
      <w:r>
        <w:rPr>
          <w:rFonts w:ascii="Arial" w:cs="Arial" w:eastAsia="Arial" w:hAnsi="Arial"/>
          <w:sz w:val="21"/>
          <w:szCs w:val="21"/>
          <w:color w:val="000000"/>
        </w:rPr>
        <w:t xml:space="preserve">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w:t>
      </w:r>
      <w:r>
        <w:rPr>
          <w:rFonts w:ascii="Arial" w:cs="Arial" w:eastAsia="Arial" w:hAnsi="Arial"/>
          <w:sz w:val="21"/>
          <w:szCs w:val="21"/>
          <w:u w:val="single" w:color="auto"/>
          <w:color w:val="0014DC"/>
        </w:rPr>
        <w:t>2024 Annual Meeting of Shareholders</w:t>
      </w:r>
      <w:r>
        <w:rPr>
          <w:rFonts w:ascii="Arial" w:cs="Arial" w:eastAsia="Arial" w:hAnsi="Arial"/>
          <w:sz w:val="21"/>
          <w:szCs w:val="21"/>
          <w:color w:val="000000"/>
        </w:rPr>
        <w:t xml:space="preserve">, which was filed with the SEC on April 3, 2024, including under the sections entitled “Executive Compensation Highlights”, “Director Compensation”, “2023 Director Compensation Table”, “Security Ownership of Certain Beneficial Owners and Management”, “Compensation Discussion and Analysis”, “Key Compensation Overview for 2023”, “Elements of Our Executive Compensation Program”, “Long-Term Equity Incentive Compensation”, “Additional Executive Compensation Governance Considerations”, “Executive Compensation Tables”, “Potential Payments upon Termination or Change-in-Control”, “Pay-versus-Performance” and </w:t>
      </w:r>
      <w:r>
        <w:rPr>
          <w:rFonts w:ascii="Arial" w:cs="Arial" w:eastAsia="Arial" w:hAnsi="Arial"/>
          <w:sz w:val="21"/>
          <w:szCs w:val="21"/>
          <w:u w:val="single" w:color="auto"/>
          <w:color w:val="0014DC"/>
        </w:rPr>
        <w:t>ChampionX’s Annual Report on Form 10-K</w:t>
      </w:r>
      <w:r>
        <w:rPr>
          <w:rFonts w:ascii="Arial" w:cs="Arial" w:eastAsia="Arial" w:hAnsi="Arial"/>
          <w:sz w:val="21"/>
          <w:szCs w:val="21"/>
          <w:color w:val="000000"/>
        </w:rPr>
        <w:t xml:space="preserve"> for the fiscal year ended December 31, 2023,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w:t>
      </w:r>
    </w:p>
    <w:p>
      <w:pPr>
        <w:sectPr>
          <w:pgSz w:w="11900" w:h="16838" w:orient="portrait"/>
          <w:cols w:equalWidth="0" w:num="1">
            <w:col w:w="10940"/>
          </w:cols>
          <w:pgMar w:left="440" w:top="260" w:right="519" w:bottom="1440" w:gutter="0" w:footer="0" w:header="0"/>
        </w:sectPr>
      </w:pPr>
    </w:p>
    <w:bookmarkStart w:id="6" w:name="page7"/>
    <w:bookmarkEnd w:id="6"/>
    <w:p>
      <w:pPr>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sectPr>
      <w:pgSz w:w="11900" w:h="16838" w:orient="portrait"/>
      <w:cols w:equalWidth="0" w:num="1">
        <w:col w:w="10800"/>
      </w:cols>
      <w:pgMar w:left="440" w:top="26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2024-04-15T14:44:27Z</dcterms:created>
  <dcterms:modified xsi:type="dcterms:W3CDTF">2024-04-15T14:44:27Z</dcterms:modified>
</cp:coreProperties>
</file>