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CUSIP No. G1466R207</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321945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Borr Drilling Limited</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$0.05 per share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G1466R207</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right="8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w:t>
      </w:r>
    </w:p>
    <w:p>
      <w:pPr>
        <w:spacing w:after="0" w:line="27" w:lineRule="exact"/>
        <w:rPr>
          <w:sz w:val="24"/>
          <w:szCs w:val="24"/>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G1466R207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6</w:t>
      </w:r>
    </w:p>
    <w:p>
      <w:pPr>
        <w:spacing w:after="0" w:line="153" w:lineRule="exact"/>
        <w:rPr>
          <w:sz w:val="20"/>
          <w:szCs w:val="20"/>
          <w:color w:val="auto"/>
        </w:rPr>
      </w:pPr>
    </w:p>
    <w:p>
      <w:pPr>
        <w:ind w:left="620" w:hanging="377"/>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Schlumberger N.V. (Schlumberger Limited)</w:t>
      </w:r>
    </w:p>
    <w:p>
      <w:pPr>
        <w:spacing w:after="0" w:line="36" w:lineRule="exact"/>
        <w:rPr>
          <w:sz w:val="20"/>
          <w:szCs w:val="20"/>
          <w:color w:val="auto"/>
        </w:rPr>
      </w:pPr>
    </w:p>
    <w:p>
      <w:pPr>
        <w:ind w:left="620" w:hanging="377"/>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Curaçao</w:t>
      </w:r>
    </w:p>
    <w:p>
      <w:pPr>
        <w:spacing w:after="0" w:line="3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15,131,700 Common Shares</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15,131,700 Common Shares</w:t>
      </w:r>
    </w:p>
    <w:p>
      <w:pPr>
        <w:spacing w:after="0" w:line="36" w:lineRule="exact"/>
        <w:rPr>
          <w:sz w:val="20"/>
          <w:szCs w:val="20"/>
          <w:color w:val="auto"/>
        </w:rPr>
      </w:pPr>
    </w:p>
    <w:p>
      <w:pPr>
        <w:ind w:left="600" w:hanging="357"/>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15,131,700 Common Shares</w:t>
      </w:r>
    </w:p>
    <w:p>
      <w:pPr>
        <w:spacing w:after="0" w:line="36" w:lineRule="exact"/>
        <w:rPr>
          <w:sz w:val="20"/>
          <w:szCs w:val="20"/>
          <w:color w:val="auto"/>
        </w:rPr>
      </w:pPr>
    </w:p>
    <w:p>
      <w:pPr>
        <w:ind w:left="620" w:hanging="467"/>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6.87%*</w:t>
      </w:r>
    </w:p>
    <w:p>
      <w:pPr>
        <w:spacing w:after="0" w:line="36" w:lineRule="exact"/>
        <w:rPr>
          <w:rFonts w:ascii="Times New Roman" w:cs="Times New Roman" w:eastAsia="Times New Roman" w:hAnsi="Times New Roman"/>
          <w:sz w:val="18"/>
          <w:szCs w:val="18"/>
          <w:color w:val="auto"/>
        </w:rPr>
      </w:pPr>
    </w:p>
    <w:p>
      <w:pPr>
        <w:ind w:left="620" w:right="7900" w:hanging="467"/>
        <w:spacing w:after="0" w:line="547" w:lineRule="auto"/>
        <w:tabs>
          <w:tab w:leader="none" w:pos="61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HC</w:t>
      </w:r>
    </w:p>
    <w:p>
      <w:pPr>
        <w:spacing w:after="0" w:line="1" w:lineRule="exact"/>
        <w:rPr>
          <w:rFonts w:ascii="Times New Roman" w:cs="Times New Roman" w:eastAsia="Times New Roman" w:hAnsi="Times New Roman"/>
          <w:sz w:val="18"/>
          <w:szCs w:val="18"/>
          <w:color w:val="auto"/>
        </w:rPr>
      </w:pPr>
    </w:p>
    <w:p>
      <w:pPr>
        <w:ind w:left="220" w:right="140" w:hanging="216"/>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Based on 220,318,704 Common Shares outstanding as of November 27, 2020, as reported on the Form 6-K submitted by the Issuer to the Securities and Exchange Commission (the “SEC”) on November 30, 2020.</w:t>
      </w:r>
    </w:p>
    <w:p>
      <w:pPr>
        <w:sectPr>
          <w:pgSz w:w="11900" w:h="16838" w:orient="portrait"/>
          <w:cols w:equalWidth="0" w:num="1">
            <w:col w:w="11020"/>
          </w:cols>
          <w:pgMar w:left="440" w:top="270" w:right="4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G1466R207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6</w:t>
      </w:r>
    </w:p>
    <w:p>
      <w:pPr>
        <w:spacing w:after="0" w:line="153" w:lineRule="exact"/>
        <w:rPr>
          <w:sz w:val="20"/>
          <w:szCs w:val="20"/>
          <w:color w:val="auto"/>
        </w:rPr>
      </w:pPr>
    </w:p>
    <w:p>
      <w:pPr>
        <w:ind w:left="467" w:hanging="377"/>
        <w:spacing w:after="0"/>
        <w:tabs>
          <w:tab w:leader="none" w:pos="4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7003415" cy="5220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220970"/>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Schlumberger Oilfield Holdings Limited</w:t>
      </w:r>
    </w:p>
    <w:p>
      <w:pPr>
        <w:spacing w:after="0" w:line="36" w:lineRule="exact"/>
        <w:rPr>
          <w:sz w:val="20"/>
          <w:szCs w:val="20"/>
          <w:color w:val="auto"/>
        </w:rPr>
      </w:pPr>
    </w:p>
    <w:p>
      <w:pPr>
        <w:ind w:left="467" w:hanging="377"/>
        <w:spacing w:after="0"/>
        <w:tabs>
          <w:tab w:leader="none" w:pos="4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467"/>
        <w:spacing w:after="0" w:line="207" w:lineRule="exact"/>
        <w:tabs>
          <w:tab w:leader="none" w:pos="1246"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467" w:hanging="377"/>
        <w:spacing w:after="0"/>
        <w:tabs>
          <w:tab w:leader="none" w:pos="4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467" w:right="6740" w:hanging="377"/>
        <w:spacing w:after="0" w:line="406" w:lineRule="auto"/>
        <w:tabs>
          <w:tab w:leader="none" w:pos="4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British Virgin Islands</w:t>
      </w:r>
    </w:p>
    <w:p>
      <w:pPr>
        <w:sectPr>
          <w:pgSz w:w="11900" w:h="16838" w:orient="portrait"/>
          <w:cols w:equalWidth="0" w:num="1">
            <w:col w:w="10867"/>
          </w:cols>
          <w:pgMar w:left="593" w:top="270" w:right="4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left="47"/>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ind w:left="47"/>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jc w:val="center"/>
        <w:ind w:left="47"/>
        <w:spacing w:after="0"/>
        <w:rPr>
          <w:sz w:val="20"/>
          <w:szCs w:val="20"/>
          <w:color w:val="auto"/>
        </w:rPr>
      </w:pPr>
      <w:r>
        <w:rPr>
          <w:rFonts w:ascii="Times New Roman" w:cs="Times New Roman" w:eastAsia="Times New Roman" w:hAnsi="Times New Roman"/>
          <w:sz w:val="17"/>
          <w:szCs w:val="17"/>
          <w:color w:val="auto"/>
        </w:rPr>
        <w:t>BENEFICIALLY</w:t>
      </w:r>
    </w:p>
    <w:p>
      <w:pPr>
        <w:spacing w:after="0" w:line="21" w:lineRule="exact"/>
        <w:rPr>
          <w:sz w:val="20"/>
          <w:szCs w:val="20"/>
          <w:color w:val="auto"/>
        </w:rPr>
      </w:pPr>
    </w:p>
    <w:p>
      <w:pPr>
        <w:jc w:val="center"/>
        <w:ind w:left="47"/>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47"/>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47"/>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47"/>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jc w:val="center"/>
        <w:ind w:left="47"/>
        <w:spacing w:after="0"/>
        <w:rPr>
          <w:sz w:val="20"/>
          <w:szCs w:val="20"/>
          <w:color w:val="auto"/>
        </w:rPr>
      </w:pPr>
      <w:r>
        <w:rPr>
          <w:rFonts w:ascii="Times New Roman" w:cs="Times New Roman" w:eastAsia="Times New Roman" w:hAnsi="Times New Roman"/>
          <w:sz w:val="18"/>
          <w:szCs w:val="18"/>
          <w:color w:val="auto"/>
        </w:rPr>
        <w:t>WITH</w:t>
      </w:r>
    </w:p>
    <w:p>
      <w:pPr>
        <w:spacing w:after="0" w:line="20" w:lineRule="exact"/>
        <w:rPr>
          <w:sz w:val="20"/>
          <w:szCs w:val="20"/>
          <w:color w:val="auto"/>
        </w:rPr>
      </w:pPr>
      <w:r>
        <w:rPr>
          <w:sz w:val="20"/>
          <w:szCs w:val="20"/>
          <w:color w:val="auto"/>
        </w:rPr>
        <w:br w:type="column"/>
      </w:r>
    </w:p>
    <w:p>
      <w:pPr>
        <w:ind w:left="404" w:hanging="404"/>
        <w:spacing w:after="0"/>
        <w:tabs>
          <w:tab w:leader="none" w:pos="4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404" w:hanging="404"/>
        <w:spacing w:after="0"/>
        <w:tabs>
          <w:tab w:leader="none" w:pos="4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52"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8"/>
          <w:szCs w:val="18"/>
          <w:color w:val="auto"/>
        </w:rPr>
        <w:t>15,131,700 Common Shares</w:t>
      </w:r>
    </w:p>
    <w:p>
      <w:pPr>
        <w:spacing w:after="0" w:line="36" w:lineRule="exact"/>
        <w:rPr>
          <w:sz w:val="20"/>
          <w:szCs w:val="20"/>
          <w:color w:val="auto"/>
        </w:rPr>
      </w:pPr>
    </w:p>
    <w:p>
      <w:pPr>
        <w:ind w:left="404" w:hanging="404"/>
        <w:spacing w:after="0"/>
        <w:tabs>
          <w:tab w:leader="none" w:pos="4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52"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404" w:right="6480" w:hanging="404"/>
        <w:spacing w:after="0" w:line="430" w:lineRule="auto"/>
        <w:tabs>
          <w:tab w:leader="none" w:pos="40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15,131,700 Common Shares</w:t>
      </w:r>
    </w:p>
    <w:p>
      <w:pPr>
        <w:spacing w:after="0" w:line="2" w:lineRule="exact"/>
        <w:rPr>
          <w:sz w:val="20"/>
          <w:szCs w:val="20"/>
          <w:color w:val="auto"/>
        </w:rPr>
      </w:pPr>
    </w:p>
    <w:p>
      <w:pPr>
        <w:sectPr>
          <w:pgSz w:w="11900" w:h="16838" w:orient="portrait"/>
          <w:cols w:equalWidth="0" w:num="2">
            <w:col w:w="1307" w:space="156"/>
            <w:col w:w="9404"/>
          </w:cols>
          <w:pgMar w:left="593" w:top="270" w:right="439" w:bottom="1440" w:gutter="0" w:footer="0" w:header="0"/>
          <w:type w:val="continuous"/>
        </w:sectPr>
      </w:pPr>
    </w:p>
    <w:p>
      <w:pPr>
        <w:ind w:left="447" w:hanging="357"/>
        <w:spacing w:after="0"/>
        <w:tabs>
          <w:tab w:leader="none" w:pos="4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15,131,700 Common Shares</w:t>
      </w:r>
    </w:p>
    <w:p>
      <w:pPr>
        <w:spacing w:after="0" w:line="36" w:lineRule="exact"/>
        <w:rPr>
          <w:sz w:val="20"/>
          <w:szCs w:val="20"/>
          <w:color w:val="auto"/>
        </w:rPr>
      </w:pPr>
    </w:p>
    <w:p>
      <w:pPr>
        <w:ind w:left="467" w:hanging="467"/>
        <w:spacing w:after="0"/>
        <w:tabs>
          <w:tab w:leader="none" w:pos="46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467"/>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467" w:hanging="467"/>
        <w:spacing w:after="0"/>
        <w:tabs>
          <w:tab w:leader="none" w:pos="46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0" w:lineRule="exact"/>
        <w:rPr>
          <w:rFonts w:ascii="Times New Roman" w:cs="Times New Roman" w:eastAsia="Times New Roman" w:hAnsi="Times New Roman"/>
          <w:sz w:val="18"/>
          <w:szCs w:val="18"/>
          <w:color w:val="auto"/>
        </w:rPr>
      </w:pPr>
    </w:p>
    <w:p>
      <w:pPr>
        <w:ind w:left="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6.87%*</w:t>
      </w:r>
    </w:p>
    <w:p>
      <w:pPr>
        <w:spacing w:after="0" w:line="36" w:lineRule="exact"/>
        <w:rPr>
          <w:rFonts w:ascii="Times New Roman" w:cs="Times New Roman" w:eastAsia="Times New Roman" w:hAnsi="Times New Roman"/>
          <w:sz w:val="18"/>
          <w:szCs w:val="18"/>
          <w:color w:val="auto"/>
        </w:rPr>
      </w:pPr>
    </w:p>
    <w:p>
      <w:pPr>
        <w:ind w:left="467" w:right="7900" w:hanging="467"/>
        <w:spacing w:after="0" w:line="547" w:lineRule="auto"/>
        <w:tabs>
          <w:tab w:leader="none" w:pos="46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w:t>
      </w:r>
    </w:p>
    <w:p>
      <w:pPr>
        <w:spacing w:after="0" w:line="1" w:lineRule="exact"/>
        <w:rPr>
          <w:rFonts w:ascii="Times New Roman" w:cs="Times New Roman" w:eastAsia="Times New Roman" w:hAnsi="Times New Roman"/>
          <w:sz w:val="18"/>
          <w:szCs w:val="18"/>
          <w:color w:val="auto"/>
        </w:rPr>
      </w:pPr>
    </w:p>
    <w:p>
      <w:pPr>
        <w:ind w:left="67" w:right="300" w:hanging="216"/>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Based on 220,318,704 Common Shares outstanding as of November 27, 2020, as reported on the Form 6-K submitted by the Issuer to the SEC on November 30, 2020.</w:t>
      </w:r>
    </w:p>
    <w:p>
      <w:pPr>
        <w:sectPr>
          <w:pgSz w:w="11900" w:h="16838" w:orient="portrait"/>
          <w:cols w:equalWidth="0" w:num="1">
            <w:col w:w="10867"/>
          </w:cols>
          <w:pgMar w:left="593" w:top="270" w:right="43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G1466R207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31" w:lineRule="exact"/>
        <w:rPr>
          <w:sz w:val="20"/>
          <w:szCs w:val="20"/>
          <w:color w:val="auto"/>
        </w:rPr>
      </w:pPr>
    </w:p>
    <w:p>
      <w:pPr>
        <w:ind w:left="980" w:right="8480" w:hanging="552"/>
        <w:spacing w:after="0" w:line="406" w:lineRule="auto"/>
        <w:tabs>
          <w:tab w:leader="none" w:pos="96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Name of Issuer: </w:t>
      </w:r>
      <w:r>
        <w:rPr>
          <w:rFonts w:ascii="Times New Roman" w:cs="Times New Roman" w:eastAsia="Times New Roman" w:hAnsi="Times New Roman"/>
          <w:sz w:val="17"/>
          <w:szCs w:val="17"/>
          <w:color w:val="auto"/>
        </w:rPr>
        <w:t>Borr Drilling Limited</w:t>
      </w: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E. Pearman Building</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2nd Floor 9 Par-la-Ville Road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Hamilton, HM 11, Bermuda</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1" w:lineRule="exact"/>
        <w:rPr>
          <w:sz w:val="20"/>
          <w:szCs w:val="20"/>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Person Filing:</w:t>
      </w:r>
    </w:p>
    <w:p>
      <w:pPr>
        <w:spacing w:after="0" w:line="121" w:lineRule="exact"/>
        <w:rPr>
          <w:rFonts w:ascii="Times New Roman" w:cs="Times New Roman" w:eastAsia="Times New Roman" w:hAnsi="Times New Roman"/>
          <w:sz w:val="18"/>
          <w:szCs w:val="18"/>
          <w:color w:val="auto"/>
        </w:rPr>
      </w:pPr>
    </w:p>
    <w:p>
      <w:pPr>
        <w:ind w:left="9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being jointly filed on behalf of Schlumberger Limited (Schlumberger N.V.), a corporation formed under the laws of Curaçao (“Schlumberger Limited”), and Schlumberger Oilfield Holdings Limited, a corporation formed under the laws of the British Virgin Islands (“SOHL” and, together with Schlumberger Limited, the “Reporting Persons”). Schlumberger Limited is the sole stockholder of SOHL.</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 of Principal Business Office:</w:t>
      </w:r>
    </w:p>
    <w:p>
      <w:pPr>
        <w:spacing w:after="0" w:line="121" w:lineRule="exact"/>
        <w:rPr>
          <w:rFonts w:ascii="Times New Roman" w:cs="Times New Roman" w:eastAsia="Times New Roman" w:hAnsi="Times New Roman"/>
          <w:sz w:val="18"/>
          <w:szCs w:val="18"/>
          <w:color w:val="auto"/>
        </w:rPr>
      </w:pPr>
    </w:p>
    <w:p>
      <w:pPr>
        <w:ind w:left="980"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Schlumberger Limited for purposes of this Schedule 13G is 5599 San Felipe, 17th Floor Houston, Texas 77056. The business address of SOHL is Craigmuir Chambers, P.O. Box 71, Road Town, Tortola, British Virgin Islands.</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Citizenship:</w:t>
      </w:r>
    </w:p>
    <w:p>
      <w:pPr>
        <w:spacing w:after="0" w:line="12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Limited is organized under the laws of Curaçao. SOHL is organized under the laws of the British Virgin Islands.</w:t>
      </w:r>
    </w:p>
    <w:p>
      <w:pPr>
        <w:spacing w:after="0" w:line="126" w:lineRule="exact"/>
        <w:rPr>
          <w:rFonts w:ascii="Times New Roman" w:cs="Times New Roman" w:eastAsia="Times New Roman" w:hAnsi="Times New Roman"/>
          <w:sz w:val="18"/>
          <w:szCs w:val="18"/>
          <w:color w:val="auto"/>
        </w:rPr>
      </w:pPr>
    </w:p>
    <w:p>
      <w:pPr>
        <w:ind w:left="980" w:right="8000" w:hanging="552"/>
        <w:spacing w:after="0" w:line="406" w:lineRule="auto"/>
        <w:tabs>
          <w:tab w:leader="none" w:pos="96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Title of Class of Securities: </w:t>
      </w:r>
      <w:r>
        <w:rPr>
          <w:rFonts w:ascii="Times New Roman" w:cs="Times New Roman" w:eastAsia="Times New Roman" w:hAnsi="Times New Roman"/>
          <w:sz w:val="17"/>
          <w:szCs w:val="17"/>
          <w:color w:val="auto"/>
        </w:rPr>
        <w:t>Common Shares</w:t>
      </w:r>
    </w:p>
    <w:p>
      <w:pPr>
        <w:ind w:left="980" w:right="8760" w:hanging="552"/>
        <w:spacing w:after="0" w:line="412" w:lineRule="auto"/>
        <w:tabs>
          <w:tab w:leader="none" w:pos="9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CUSIP Number: </w:t>
      </w:r>
      <w:r>
        <w:rPr>
          <w:rFonts w:ascii="Times New Roman" w:cs="Times New Roman" w:eastAsia="Times New Roman" w:hAnsi="Times New Roman"/>
          <w:sz w:val="18"/>
          <w:szCs w:val="18"/>
          <w:color w:val="auto"/>
        </w:rPr>
        <w:t>G1466R207</w:t>
      </w:r>
    </w:p>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980" w:right="88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4(a)-(c) is set forth in Rows 5-11 of the cover pages hereto for each Reporting Person and is incorporated herein by reference for each such Reporting Person.</w:t>
      </w:r>
    </w:p>
    <w:p>
      <w:pPr>
        <w:spacing w:after="0" w:line="54" w:lineRule="exact"/>
        <w:rPr>
          <w:sz w:val="20"/>
          <w:szCs w:val="20"/>
          <w:color w:val="auto"/>
        </w:rPr>
      </w:pPr>
    </w:p>
    <w:p>
      <w:pPr>
        <w:ind w:left="980" w:right="180"/>
        <w:spacing w:after="0" w:line="266" w:lineRule="auto"/>
        <w:rPr>
          <w:sz w:val="20"/>
          <w:szCs w:val="20"/>
          <w:color w:val="auto"/>
        </w:rPr>
      </w:pPr>
      <w:r>
        <w:rPr>
          <w:rFonts w:ascii="Times New Roman" w:cs="Times New Roman" w:eastAsia="Times New Roman" w:hAnsi="Times New Roman"/>
          <w:sz w:val="18"/>
          <w:szCs w:val="18"/>
          <w:color w:val="auto"/>
        </w:rPr>
        <w:t>As of the date hereof, SOHL directly holds 15,131,700 Common Shares, constituting approximately 6.87% of the 220,318,704 Common Shares outstanding as of November 27, 2020, as reported on the Form 6-K submitted by the Issuer to the SEC on November 30, 2020. Since Schlumberger Limited controls SOHL, it is deemed to beneficially own the Common Shares held directly by SOHL.</w:t>
      </w:r>
    </w:p>
    <w:p>
      <w:pPr>
        <w:spacing w:after="0" w:line="68" w:lineRule="exact"/>
        <w:rPr>
          <w:sz w:val="20"/>
          <w:szCs w:val="20"/>
          <w:color w:val="auto"/>
        </w:rPr>
      </w:pPr>
    </w:p>
    <w:p>
      <w:pPr>
        <w:ind w:left="980" w:right="220"/>
        <w:spacing w:after="0" w:line="282" w:lineRule="auto"/>
        <w:rPr>
          <w:sz w:val="20"/>
          <w:szCs w:val="20"/>
          <w:color w:val="auto"/>
        </w:rPr>
      </w:pPr>
      <w:r>
        <w:rPr>
          <w:rFonts w:ascii="Times New Roman" w:cs="Times New Roman" w:eastAsia="Times New Roman" w:hAnsi="Times New Roman"/>
          <w:sz w:val="18"/>
          <w:szCs w:val="18"/>
          <w:color w:val="auto"/>
        </w:rPr>
        <w:t>On February 12, 2021, the Reporting Persons entered into a Joint Filing Agreement relating to the filing of this Schedule 13G, a copy of which is annexed hereto as Exhibit 99.1.</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G1466R207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 of 6</w:t>
      </w:r>
    </w:p>
    <w:p>
      <w:pPr>
        <w:spacing w:after="0" w:line="1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980" w:right="680" w:hanging="984"/>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a Group.</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70"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G1466R207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 of 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believe, I certify that the information set forth in this statement is true, complete and correct.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12, 2021</w:t>
            </w: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Schlumberger Limited</w:t>
            </w:r>
          </w:p>
        </w:tc>
      </w:tr>
      <w:tr>
        <w:trPr>
          <w:trHeight w:val="432"/>
        </w:trPr>
        <w:tc>
          <w:tcPr>
            <w:tcW w:w="3680" w:type="dxa"/>
            <w:vAlign w:val="bottom"/>
          </w:tcPr>
          <w:p>
            <w:pPr>
              <w:spacing w:after="0"/>
              <w:rPr>
                <w:sz w:val="24"/>
                <w:szCs w:val="24"/>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Saul R. Laureles</w:t>
            </w:r>
          </w:p>
        </w:tc>
      </w:tr>
      <w:tr>
        <w:trPr>
          <w:trHeight w:val="205"/>
        </w:trPr>
        <w:tc>
          <w:tcPr>
            <w:tcW w:w="3680" w:type="dxa"/>
            <w:vAlign w:val="bottom"/>
          </w:tcPr>
          <w:p>
            <w:pPr>
              <w:spacing w:after="0"/>
              <w:rPr>
                <w:sz w:val="17"/>
                <w:szCs w:val="17"/>
                <w:color w:val="auto"/>
              </w:rPr>
            </w:pPr>
          </w:p>
        </w:tc>
        <w:tc>
          <w:tcPr>
            <w:tcW w:w="248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Saul R. Laureles</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Director, Corporate Legal Affairs</w:t>
            </w:r>
          </w:p>
        </w:tc>
      </w:tr>
      <w:tr>
        <w:trPr>
          <w:trHeight w:val="432"/>
        </w:trPr>
        <w:tc>
          <w:tcPr>
            <w:tcW w:w="3680" w:type="dxa"/>
            <w:vAlign w:val="bottom"/>
          </w:tcPr>
          <w:p>
            <w:pPr>
              <w:spacing w:after="0"/>
              <w:rPr>
                <w:sz w:val="24"/>
                <w:szCs w:val="24"/>
                <w:color w:val="auto"/>
              </w:rPr>
            </w:pP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Schlumberger Oilfield Holdings Limited</w:t>
            </w:r>
          </w:p>
        </w:tc>
      </w:tr>
      <w:tr>
        <w:trPr>
          <w:trHeight w:val="432"/>
        </w:trPr>
        <w:tc>
          <w:tcPr>
            <w:tcW w:w="3680" w:type="dxa"/>
            <w:vAlign w:val="bottom"/>
          </w:tcPr>
          <w:p>
            <w:pPr>
              <w:spacing w:after="0"/>
              <w:rPr>
                <w:sz w:val="24"/>
                <w:szCs w:val="24"/>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Celia Rodrigues</w:t>
            </w:r>
          </w:p>
        </w:tc>
      </w:tr>
      <w:tr>
        <w:trPr>
          <w:trHeight w:val="205"/>
        </w:trPr>
        <w:tc>
          <w:tcPr>
            <w:tcW w:w="3680" w:type="dxa"/>
            <w:vAlign w:val="bottom"/>
          </w:tcPr>
          <w:p>
            <w:pPr>
              <w:spacing w:after="0"/>
              <w:rPr>
                <w:sz w:val="17"/>
                <w:szCs w:val="17"/>
                <w:color w:val="auto"/>
              </w:rPr>
            </w:pPr>
          </w:p>
        </w:tc>
        <w:tc>
          <w:tcPr>
            <w:tcW w:w="248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Celia Rodrigues</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ectPr>
          <w:pgSz w:w="11900" w:h="16838" w:orient="portrait"/>
          <w:cols w:equalWidth="0" w:num="1">
            <w:col w:w="11020"/>
          </w:cols>
          <w:pgMar w:left="440" w:top="270"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the persons below agree to the joint filing on behalf of each of them of a Statement on Schedule 13G, and any and all amendments thereto, with regard to the beneficial ownership of Common Shares, par value $0.05 per share, of Borr Drilling Limited, a Bermuda company, and further agree that this Joint Filing Agreement be included as an exhibit to the Statement on Schedule 13G. In evidence thereof the undersigned hereby execute this Agreement as of the 12th day of February, 2021.</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Saul R. Laureles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Saul R. Laureles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 Corporate Legal Affairs</w:t>
            </w:r>
          </w:p>
        </w:tc>
      </w:tr>
    </w:tbl>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Oilfield Holdings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Celia Rodrigues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Celia Rodrigues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1" w:lineRule="exact"/>
        <w:rPr>
          <w:sz w:val="20"/>
          <w:szCs w:val="20"/>
          <w:color w:val="auto"/>
        </w:rPr>
      </w:pP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lvl w:ilvl="1">
      <w:lvlJc w:val="left"/>
      <w:lvlText w:val="☒"/>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2"/>
      <w:numFmt w:val="bullet"/>
      <w:start w:val="1"/>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4"/>
      <w:numFmt w:val="bullet"/>
      <w:start w:val="1"/>
    </w:lvl>
  </w:abstractNum>
  <w:abstractNum w:abstractNumId="6">
    <w:nsid w:val="109CF92E"/>
    <w:multiLevelType w:val="hybridMultilevel"/>
    <w:lvl w:ilvl="0">
      <w:lvlJc w:val="left"/>
      <w:lvlText w:val="9"/>
      <w:numFmt w:val="bullet"/>
      <w:start w:val="1"/>
    </w:lvl>
  </w:abstractNum>
  <w:abstractNum w:abstractNumId="7">
    <w:nsid w:val="DED7263"/>
    <w:multiLevelType w:val="hybridMultilevel"/>
    <w:lvl w:ilvl="0">
      <w:lvlJc w:val="left"/>
      <w:lvlText w:val="*"/>
      <w:numFmt w:val="bullet"/>
      <w:start w:val="1"/>
    </w:lvl>
    <w:lvl w:ilvl="1">
      <w:lvlJc w:val="left"/>
      <w:lvlText w:val="%2"/>
      <w:numFmt w:val="decimal"/>
      <w:start w:val="10"/>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4"/>
      <w:numFmt w:val="bullet"/>
      <w:start w:val="1"/>
    </w:lvl>
  </w:abstractNum>
  <w:abstractNum w:abstractNumId="12">
    <w:nsid w:val="4E6AFB66"/>
    <w:multiLevelType w:val="hybridMultilevel"/>
    <w:lvl w:ilvl="0">
      <w:lvlJc w:val="left"/>
      <w:lvlText w:val="5"/>
      <w:numFmt w:val="bullet"/>
      <w:start w:val="1"/>
    </w:lvl>
  </w:abstractNum>
  <w:abstractNum w:abstractNumId="13">
    <w:nsid w:val="25E45D32"/>
    <w:multiLevelType w:val="hybridMultilevel"/>
    <w:lvl w:ilvl="0">
      <w:lvlJc w:val="left"/>
      <w:lvlText w:val="6"/>
      <w:numFmt w:val="bullet"/>
      <w:start w:val="1"/>
    </w:lvl>
  </w:abstractNum>
  <w:abstractNum w:abstractNumId="14">
    <w:nsid w:val="519B500D"/>
    <w:multiLevelType w:val="hybridMultilevel"/>
    <w:lvl w:ilvl="0">
      <w:lvlJc w:val="left"/>
      <w:lvlText w:val="7"/>
      <w:numFmt w:val="bullet"/>
      <w:start w:val="1"/>
    </w:lvl>
  </w:abstractNum>
  <w:abstractNum w:abstractNumId="15">
    <w:nsid w:val="431BD7B7"/>
    <w:multiLevelType w:val="hybridMultilevel"/>
    <w:lvl w:ilvl="0">
      <w:lvlJc w:val="left"/>
      <w:lvlText w:val="8"/>
      <w:numFmt w:val="bullet"/>
      <w:start w:val="1"/>
    </w:lvl>
  </w:abstractNum>
  <w:abstractNum w:abstractNumId="16">
    <w:nsid w:val="3F2DBA31"/>
    <w:multiLevelType w:val="hybridMultilevel"/>
    <w:lvl w:ilvl="0">
      <w:lvlJc w:val="left"/>
      <w:lvlText w:val="9"/>
      <w:numFmt w:val="bullet"/>
      <w:start w:val="1"/>
    </w:lvl>
  </w:abstractNum>
  <w:abstractNum w:abstractNumId="17">
    <w:nsid w:val="7C83E458"/>
    <w:multiLevelType w:val="hybridMultilevel"/>
    <w:lvl w:ilvl="0">
      <w:lvlJc w:val="left"/>
      <w:lvlText w:val="*"/>
      <w:numFmt w:val="bullet"/>
      <w:start w:val="1"/>
    </w:lvl>
    <w:lvl w:ilvl="1">
      <w:lvlJc w:val="left"/>
      <w:lvlText w:val="%2"/>
      <w:numFmt w:val="decimal"/>
      <w:start w:val="10"/>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2021-02-12T13:32:17Z</dcterms:created>
  <dcterms:modified xsi:type="dcterms:W3CDTF">2021-02-12T13:32:17Z</dcterms:modified>
</cp:coreProperties>
</file>