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69468dsc13d.htm"/>
      <w:bookmarkStart w:id="1" w:name="ksd869468dsc13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NAUTICUS ROBOTICS,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63911H108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Dianne Ralston </w:t>
      </w:r>
    </w:p>
    <w:p>
      <w:pPr>
        <w:pStyle w:val="TextBody"/>
        <w:bidi w:val="0"/>
        <w:spacing w:before="0" w:after="0"/>
        <w:jc w:val="center"/>
        <w:rPr>
          <w:rFonts w:ascii="Times New Roman" w:hAnsi="Times New Roman"/>
          <w:b/>
          <w:sz w:val="20"/>
        </w:rPr>
      </w:pPr>
      <w:r>
        <w:rPr>
          <w:rFonts w:ascii="Times New Roman" w:hAnsi="Times New Roman"/>
          <w:b/>
          <w:sz w:val="20"/>
        </w:rPr>
        <w:t xml:space="preserve">Chief Legal Officer and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Schlumberger Limited </w:t>
      </w:r>
    </w:p>
    <w:p>
      <w:pPr>
        <w:pStyle w:val="TextBody"/>
        <w:bidi w:val="0"/>
        <w:spacing w:before="0" w:after="0"/>
        <w:jc w:val="center"/>
        <w:rPr>
          <w:rFonts w:ascii="Times New Roman" w:hAnsi="Times New Roman"/>
          <w:b/>
          <w:sz w:val="20"/>
        </w:rPr>
      </w:pPr>
      <w:r>
        <w:rPr>
          <w:rFonts w:ascii="Times New Roman" w:hAnsi="Times New Roman"/>
          <w:b/>
          <w:sz w:val="20"/>
        </w:rPr>
        <w:t xml:space="preserve">5599 San Felipe, 17th Floor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77056 </w:t>
      </w:r>
    </w:p>
    <w:p>
      <w:pPr>
        <w:pStyle w:val="TextBody"/>
        <w:bidi w:val="0"/>
        <w:spacing w:before="0" w:after="0"/>
        <w:jc w:val="center"/>
        <w:rPr>
          <w:rFonts w:ascii="Times New Roman" w:hAnsi="Times New Roman"/>
          <w:b/>
          <w:sz w:val="20"/>
        </w:rPr>
      </w:pPr>
      <w:r>
        <w:rPr>
          <w:rFonts w:ascii="Times New Roman" w:hAnsi="Times New Roman"/>
          <w:b/>
          <w:sz w:val="20"/>
        </w:rPr>
        <w:t xml:space="preserve">(713) 513-2000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480" w:after="0"/>
        <w:jc w:val="center"/>
        <w:rPr>
          <w:rFonts w:ascii="Times New Roman" w:hAnsi="Times New Roman"/>
          <w:b/>
          <w:sz w:val="20"/>
        </w:rPr>
      </w:pPr>
      <w:r>
        <w:rPr>
          <w:rFonts w:ascii="Times New Roman" w:hAnsi="Times New Roman"/>
          <w:b/>
          <w:sz w:val="20"/>
        </w:rPr>
        <w:t xml:space="preserve">October 2,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checking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63911H108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7"/>
        <w:gridCol w:w="128"/>
        <w:gridCol w:w="697"/>
        <w:gridCol w:w="245"/>
        <w:gridCol w:w="241"/>
        <w:gridCol w:w="245"/>
        <w:gridCol w:w="8019"/>
      </w:tblGrid>
      <w:tr>
        <w:trPr/>
        <w:tc>
          <w:tcPr>
            <w:tcW w:w="52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8019" w:type="dxa"/>
            <w:tcBorders/>
            <w:vAlign w:val="center"/>
          </w:tcPr>
          <w:p>
            <w:pPr>
              <w:pStyle w:val="TableContents"/>
              <w:bidi w:val="0"/>
              <w:spacing w:before="0" w:after="283"/>
              <w:jc w:val="left"/>
              <w:rPr>
                <w:sz w:val="4"/>
                <w:szCs w:val="4"/>
              </w:rPr>
            </w:pPr>
            <w:r>
              <w:rPr>
                <w:sz w:val="4"/>
                <w:szCs w:val="4"/>
              </w:rPr>
            </w:r>
          </w:p>
        </w:tc>
      </w:tr>
      <w:tr>
        <w:trPr/>
        <w:tc>
          <w:tcPr>
            <w:tcW w:w="52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N.V. (Schlumberger Limited)</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2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CURAÇAO</w:t>
            </w:r>
          </w:p>
        </w:tc>
      </w:tr>
    </w:tbl>
    <w:tbl>
      <w:tblPr>
        <w:tblW w:w="4950" w:type="pct"/>
        <w:jc w:val="left"/>
        <w:tblInd w:w="0" w:type="dxa"/>
        <w:tblLayout w:type="fixed"/>
        <w:tblCellMar>
          <w:top w:w="0" w:type="dxa"/>
          <w:left w:w="0" w:type="dxa"/>
          <w:bottom w:w="0" w:type="dxa"/>
          <w:right w:w="0" w:type="dxa"/>
        </w:tblCellMar>
      </w:tblPr>
      <w:tblGrid>
        <w:gridCol w:w="588"/>
        <w:gridCol w:w="341"/>
        <w:gridCol w:w="756"/>
        <w:gridCol w:w="173"/>
        <w:gridCol w:w="445"/>
        <w:gridCol w:w="128"/>
        <w:gridCol w:w="7671"/>
      </w:tblGrid>
      <w:tr>
        <w:trPr/>
        <w:tc>
          <w:tcPr>
            <w:tcW w:w="588"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671" w:type="dxa"/>
            <w:tcBorders/>
            <w:vAlign w:val="center"/>
          </w:tcPr>
          <w:p>
            <w:pPr>
              <w:pStyle w:val="TableContents"/>
              <w:bidi w:val="0"/>
              <w:spacing w:before="0" w:after="283"/>
              <w:jc w:val="left"/>
              <w:rPr>
                <w:sz w:val="4"/>
                <w:szCs w:val="4"/>
              </w:rPr>
            </w:pPr>
            <w:r>
              <w:rPr>
                <w:sz w:val="4"/>
                <w:szCs w:val="4"/>
              </w:rPr>
            </w:r>
          </w:p>
        </w:tc>
      </w:tr>
      <w:tr>
        <w:trPr/>
        <w:tc>
          <w:tcPr>
            <w:tcW w:w="168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71"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5" w:type="dxa"/>
            <w:gridSpan w:val="3"/>
            <w:vMerge w:val="continue"/>
            <w:tcBorders>
              <w:left w:val="single" w:sz="2" w:space="0" w:color="000000"/>
            </w:tcBorders>
            <w:tcMar>
              <w:left w:w="160" w:type="dxa"/>
            </w:tcMar>
            <w:vAlign w:val="center"/>
          </w:tcPr>
          <w:p>
            <w:pPr>
              <w:pStyle w:val="Normal"/>
              <w:bidi w:val="0"/>
              <w:jc w:val="left"/>
              <w:rPr/>
            </w:pPr>
            <w:r>
              <w:rPr/>
            </w:r>
          </w:p>
        </w:tc>
        <w:tc>
          <w:tcPr>
            <w:tcW w:w="17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71"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1685" w:type="dxa"/>
            <w:gridSpan w:val="3"/>
            <w:vMerge w:val="continue"/>
            <w:tcBorders>
              <w:left w:val="single" w:sz="2" w:space="0" w:color="000000"/>
            </w:tcBorders>
            <w:tcMar>
              <w:left w:w="160" w:type="dxa"/>
            </w:tcMar>
            <w:vAlign w:val="center"/>
          </w:tcPr>
          <w:p>
            <w:pPr>
              <w:pStyle w:val="Normal"/>
              <w:bidi w:val="0"/>
              <w:jc w:val="left"/>
              <w:rPr/>
            </w:pPr>
            <w:r>
              <w:rPr/>
            </w:r>
          </w:p>
        </w:tc>
        <w:tc>
          <w:tcPr>
            <w:tcW w:w="17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71"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5" w:type="dxa"/>
            <w:gridSpan w:val="3"/>
            <w:vMerge w:val="continue"/>
            <w:tcBorders>
              <w:left w:val="single" w:sz="2" w:space="0" w:color="000000"/>
            </w:tcBorders>
            <w:tcMar>
              <w:left w:w="160" w:type="dxa"/>
            </w:tcMar>
            <w:vAlign w:val="center"/>
          </w:tcPr>
          <w:p>
            <w:pPr>
              <w:pStyle w:val="Normal"/>
              <w:bidi w:val="0"/>
              <w:jc w:val="left"/>
              <w:rPr/>
            </w:pPr>
            <w:r>
              <w:rPr/>
            </w:r>
          </w:p>
        </w:tc>
        <w:tc>
          <w:tcPr>
            <w:tcW w:w="173"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28" w:type="dxa"/>
            <w:tcBorders>
              <w:left w:val="single" w:sz="2" w:space="0" w:color="000000"/>
            </w:tcBorders>
            <w:tcMar>
              <w:left w:w="28" w:type="dxa"/>
            </w:tcMar>
            <w:vAlign w:val="bottom"/>
          </w:tcPr>
          <w:p>
            <w:pPr>
              <w:pStyle w:val="TableContents"/>
              <w:bidi w:val="0"/>
              <w:spacing w:before="0" w:after="283"/>
              <w:jc w:val="left"/>
              <w:rPr/>
            </w:pPr>
            <w:r>
              <w:rPr/>
              <w:t> </w:t>
            </w:r>
          </w:p>
        </w:tc>
        <w:tc>
          <w:tcPr>
            <w:tcW w:w="7671"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Schlumberger Technology Corporation (STC) has the right to receive if, on or before December 16, 2026, the Common Stock meets or exceeds certain target prices as set forth in the Merger Agreement (as defined in Item 3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49,832,918 shares of Common Stock outstanding as of October 2, 2023, as reported in Exhibit 2.1 to the Issuers Form 8-K filed with the Securities and Exchange Commission (the SEC) on October 6,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63911H108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5"/>
        <w:gridCol w:w="128"/>
        <w:gridCol w:w="689"/>
        <w:gridCol w:w="234"/>
        <w:gridCol w:w="229"/>
        <w:gridCol w:w="234"/>
        <w:gridCol w:w="8063"/>
      </w:tblGrid>
      <w:tr>
        <w:trPr/>
        <w:tc>
          <w:tcPr>
            <w:tcW w:w="52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8063" w:type="dxa"/>
            <w:tcBorders/>
            <w:vAlign w:val="center"/>
          </w:tcPr>
          <w:p>
            <w:pPr>
              <w:pStyle w:val="TableContents"/>
              <w:bidi w:val="0"/>
              <w:spacing w:before="0" w:after="283"/>
              <w:jc w:val="left"/>
              <w:rPr>
                <w:sz w:val="4"/>
                <w:szCs w:val="4"/>
              </w:rPr>
            </w:pPr>
            <w:r>
              <w:rPr>
                <w:sz w:val="4"/>
                <w:szCs w:val="4"/>
              </w:rPr>
            </w:r>
          </w:p>
        </w:tc>
      </w:tr>
      <w:tr>
        <w:trPr/>
        <w:tc>
          <w:tcPr>
            <w:tcW w:w="52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B.V.</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Netherlands</w:t>
            </w:r>
          </w:p>
        </w:tc>
      </w:tr>
    </w:tbl>
    <w:tbl>
      <w:tblPr>
        <w:tblW w:w="4950" w:type="pct"/>
        <w:jc w:val="left"/>
        <w:tblInd w:w="0" w:type="dxa"/>
        <w:tblLayout w:type="fixed"/>
        <w:tblCellMar>
          <w:top w:w="0" w:type="dxa"/>
          <w:left w:w="0" w:type="dxa"/>
          <w:bottom w:w="0" w:type="dxa"/>
          <w:right w:w="0" w:type="dxa"/>
        </w:tblCellMar>
      </w:tblPr>
      <w:tblGrid>
        <w:gridCol w:w="588"/>
        <w:gridCol w:w="343"/>
        <w:gridCol w:w="755"/>
        <w:gridCol w:w="174"/>
        <w:gridCol w:w="445"/>
        <w:gridCol w:w="174"/>
        <w:gridCol w:w="7623"/>
      </w:tblGrid>
      <w:tr>
        <w:trPr/>
        <w:tc>
          <w:tcPr>
            <w:tcW w:w="58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23" w:type="dxa"/>
            <w:tcBorders/>
            <w:vAlign w:val="center"/>
          </w:tcPr>
          <w:p>
            <w:pPr>
              <w:pStyle w:val="TableContents"/>
              <w:bidi w:val="0"/>
              <w:spacing w:before="0" w:after="283"/>
              <w:jc w:val="left"/>
              <w:rPr>
                <w:sz w:val="4"/>
                <w:szCs w:val="4"/>
              </w:rPr>
            </w:pPr>
            <w:r>
              <w:rPr>
                <w:sz w:val="4"/>
                <w:szCs w:val="4"/>
              </w:rPr>
            </w:r>
          </w:p>
        </w:tc>
      </w:tr>
      <w:tr>
        <w:trPr/>
        <w:tc>
          <w:tcPr>
            <w:tcW w:w="168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2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STC has the right to receive if, on or before December 16, 2026, the Common Stock meets or exceeds certain target prices as set forth in the Merger Agreement (as defined in Item 3 below).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49,832,918 shares of Common Stock outstanding as of October 2, 2023, as reported in Exhibit 2.1 to the Issuers Form 8-K filed with the SEC on October 6,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63911H108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5"/>
        <w:gridCol w:w="128"/>
        <w:gridCol w:w="689"/>
        <w:gridCol w:w="234"/>
        <w:gridCol w:w="229"/>
        <w:gridCol w:w="234"/>
        <w:gridCol w:w="8063"/>
      </w:tblGrid>
      <w:tr>
        <w:trPr/>
        <w:tc>
          <w:tcPr>
            <w:tcW w:w="52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8063" w:type="dxa"/>
            <w:tcBorders/>
            <w:vAlign w:val="center"/>
          </w:tcPr>
          <w:p>
            <w:pPr>
              <w:pStyle w:val="TableContents"/>
              <w:bidi w:val="0"/>
              <w:spacing w:before="0" w:after="283"/>
              <w:jc w:val="left"/>
              <w:rPr>
                <w:sz w:val="4"/>
                <w:szCs w:val="4"/>
              </w:rPr>
            </w:pPr>
            <w:r>
              <w:rPr>
                <w:sz w:val="4"/>
                <w:szCs w:val="4"/>
              </w:rPr>
            </w:r>
          </w:p>
        </w:tc>
      </w:tr>
      <w:tr>
        <w:trPr/>
        <w:tc>
          <w:tcPr>
            <w:tcW w:w="52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Holdings Corporation</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 United States</w:t>
            </w:r>
          </w:p>
        </w:tc>
      </w:tr>
    </w:tbl>
    <w:tbl>
      <w:tblPr>
        <w:tblW w:w="4950" w:type="pct"/>
        <w:jc w:val="left"/>
        <w:tblInd w:w="0" w:type="dxa"/>
        <w:tblLayout w:type="fixed"/>
        <w:tblCellMar>
          <w:top w:w="0" w:type="dxa"/>
          <w:left w:w="0" w:type="dxa"/>
          <w:bottom w:w="0" w:type="dxa"/>
          <w:right w:w="0" w:type="dxa"/>
        </w:tblCellMar>
      </w:tblPr>
      <w:tblGrid>
        <w:gridCol w:w="588"/>
        <w:gridCol w:w="343"/>
        <w:gridCol w:w="755"/>
        <w:gridCol w:w="174"/>
        <w:gridCol w:w="445"/>
        <w:gridCol w:w="174"/>
        <w:gridCol w:w="7623"/>
      </w:tblGrid>
      <w:tr>
        <w:trPr/>
        <w:tc>
          <w:tcPr>
            <w:tcW w:w="58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23" w:type="dxa"/>
            <w:tcBorders/>
            <w:vAlign w:val="center"/>
          </w:tcPr>
          <w:p>
            <w:pPr>
              <w:pStyle w:val="TableContents"/>
              <w:bidi w:val="0"/>
              <w:spacing w:before="0" w:after="283"/>
              <w:jc w:val="left"/>
              <w:rPr>
                <w:sz w:val="4"/>
                <w:szCs w:val="4"/>
              </w:rPr>
            </w:pPr>
            <w:r>
              <w:rPr>
                <w:sz w:val="4"/>
                <w:szCs w:val="4"/>
              </w:rPr>
            </w:r>
          </w:p>
        </w:tc>
      </w:tr>
      <w:tr>
        <w:trPr/>
        <w:tc>
          <w:tcPr>
            <w:tcW w:w="168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2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STC has the right to receive if, on or before December 16, 2026, the Common Stock meets or exceeds certain target prices as set forth in the Merger Agreement (as defined in Item 3 below).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49,832,918 shares of Common Stock outstanding as of October 2, 2023, as reported in Exhibit 2.1 to the Issuers Form 8-K filed with the SEC on October 6,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CUSIP No. 63911H108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5"/>
        <w:gridCol w:w="128"/>
        <w:gridCol w:w="689"/>
        <w:gridCol w:w="234"/>
        <w:gridCol w:w="229"/>
        <w:gridCol w:w="234"/>
        <w:gridCol w:w="8063"/>
      </w:tblGrid>
      <w:tr>
        <w:trPr/>
        <w:tc>
          <w:tcPr>
            <w:tcW w:w="52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8063" w:type="dxa"/>
            <w:tcBorders/>
            <w:vAlign w:val="center"/>
          </w:tcPr>
          <w:p>
            <w:pPr>
              <w:pStyle w:val="TableContents"/>
              <w:bidi w:val="0"/>
              <w:spacing w:before="0" w:after="283"/>
              <w:jc w:val="left"/>
              <w:rPr>
                <w:sz w:val="4"/>
                <w:szCs w:val="4"/>
              </w:rPr>
            </w:pPr>
            <w:r>
              <w:rPr>
                <w:sz w:val="4"/>
                <w:szCs w:val="4"/>
              </w:rPr>
            </w:r>
          </w:p>
        </w:tc>
      </w:tr>
      <w:tr>
        <w:trPr/>
        <w:tc>
          <w:tcPr>
            <w:tcW w:w="52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Schlumberger Technology Corporation</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Texas, United States</w:t>
            </w:r>
          </w:p>
        </w:tc>
      </w:tr>
    </w:tbl>
    <w:tbl>
      <w:tblPr>
        <w:tblW w:w="4950" w:type="pct"/>
        <w:jc w:val="left"/>
        <w:tblInd w:w="0" w:type="dxa"/>
        <w:tblLayout w:type="fixed"/>
        <w:tblCellMar>
          <w:top w:w="0" w:type="dxa"/>
          <w:left w:w="0" w:type="dxa"/>
          <w:bottom w:w="0" w:type="dxa"/>
          <w:right w:w="0" w:type="dxa"/>
        </w:tblCellMar>
      </w:tblPr>
      <w:tblGrid>
        <w:gridCol w:w="588"/>
        <w:gridCol w:w="343"/>
        <w:gridCol w:w="755"/>
        <w:gridCol w:w="174"/>
        <w:gridCol w:w="445"/>
        <w:gridCol w:w="174"/>
        <w:gridCol w:w="7623"/>
      </w:tblGrid>
      <w:tr>
        <w:trPr/>
        <w:tc>
          <w:tcPr>
            <w:tcW w:w="58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23" w:type="dxa"/>
            <w:tcBorders/>
            <w:vAlign w:val="center"/>
          </w:tcPr>
          <w:p>
            <w:pPr>
              <w:pStyle w:val="TableContents"/>
              <w:bidi w:val="0"/>
              <w:spacing w:before="0" w:after="283"/>
              <w:jc w:val="left"/>
              <w:rPr>
                <w:sz w:val="4"/>
                <w:szCs w:val="4"/>
              </w:rPr>
            </w:pPr>
            <w:r>
              <w:rPr>
                <w:sz w:val="4"/>
                <w:szCs w:val="4"/>
              </w:rPr>
            </w:r>
          </w:p>
        </w:tc>
      </w:tr>
      <w:tr>
        <w:trPr/>
        <w:tc>
          <w:tcPr>
            <w:tcW w:w="168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rFonts w:ascii="Times New Roman" w:hAnsi="Times New Roman"/>
                <w:sz w:val="20"/>
              </w:rPr>
            </w:pP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7. </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8.</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5" w:type="dxa"/>
            <w:tcBorders>
              <w:bottom w:val="single" w:sz="2" w:space="0" w:color="000000"/>
            </w:tcBorders>
            <w:tcMar>
              <w:bottom w:w="28" w:type="dxa"/>
            </w:tcMar>
          </w:tcPr>
          <w:p>
            <w:pPr>
              <w:pStyle w:val="TableContents"/>
              <w:bidi w:val="0"/>
              <w:spacing w:before="0" w:after="283"/>
              <w:jc w:val="left"/>
              <w:rPr/>
            </w:pPr>
            <w:r>
              <w:rPr/>
              <w:t> </w:t>
            </w:r>
            <w:r>
              <w:rPr/>
              <w:t>9.</w:t>
            </w:r>
          </w:p>
        </w:tc>
        <w:tc>
          <w:tcPr>
            <w:tcW w:w="174"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62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686" w:type="dxa"/>
            <w:gridSpan w:val="3"/>
            <w:vMerge w:val="continue"/>
            <w:tcBorders>
              <w:left w:val="single" w:sz="2" w:space="0" w:color="000000"/>
            </w:tcBorders>
            <w:tcMar>
              <w:left w:w="160" w:type="dxa"/>
            </w:tcMar>
            <w:vAlign w:val="center"/>
          </w:tcPr>
          <w:p>
            <w:pPr>
              <w:pStyle w:val="Normal"/>
              <w:bidi w:val="0"/>
              <w:jc w:val="left"/>
              <w:rPr/>
            </w:pPr>
            <w:r>
              <w:rPr/>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445" w:type="dxa"/>
            <w:tcBorders/>
          </w:tcPr>
          <w:p>
            <w:pPr>
              <w:pStyle w:val="TableContents"/>
              <w:bidi w:val="0"/>
              <w:spacing w:before="0" w:after="283"/>
              <w:jc w:val="left"/>
              <w:rPr/>
            </w:pPr>
            <w:r>
              <w:rPr/>
              <w:t>10.</w:t>
            </w:r>
          </w:p>
        </w:tc>
        <w:tc>
          <w:tcPr>
            <w:tcW w:w="174" w:type="dxa"/>
            <w:tcBorders>
              <w:left w:val="single" w:sz="2" w:space="0" w:color="000000"/>
            </w:tcBorders>
            <w:tcMar>
              <w:left w:w="28" w:type="dxa"/>
            </w:tcMar>
            <w:vAlign w:val="bottom"/>
          </w:tcPr>
          <w:p>
            <w:pPr>
              <w:pStyle w:val="TableContents"/>
              <w:bidi w:val="0"/>
              <w:spacing w:before="0" w:after="283"/>
              <w:jc w:val="left"/>
              <w:rPr/>
            </w:pPr>
            <w:r>
              <w:rPr/>
              <w:t>  </w:t>
            </w:r>
          </w:p>
        </w:tc>
        <w:tc>
          <w:tcPr>
            <w:tcW w:w="762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8,682,920*</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17.4%+</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1,981,164 additional shares of Common Stock that STC has the right to receive if, on or before December 16, 2026, the Common Stock meets or exceeds certain target prices as set forth in the Merger Agreement (as defined in Item 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49,832,918 shares of Common Stock outstanding as of October 2, 2023, as reported in Exhibit 2.1 to the Issuers Form 8-K filed with the SEC on October 6, 2023.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Security and Issuer </w:t>
      </w:r>
    </w:p>
    <w:p>
      <w:pPr>
        <w:pStyle w:val="TextBody"/>
        <w:bidi w:val="0"/>
        <w:spacing w:before="120" w:after="0"/>
        <w:jc w:val="left"/>
        <w:rPr>
          <w:rFonts w:ascii="Times New Roman" w:hAnsi="Times New Roman"/>
          <w:sz w:val="20"/>
        </w:rPr>
      </w:pPr>
      <w:r>
        <w:rPr>
          <w:rFonts w:ascii="Times New Roman" w:hAnsi="Times New Roman"/>
          <w:sz w:val="20"/>
        </w:rPr>
        <w:t xml:space="preserve">This Schedule 13D relates to shares of common stock, par value $0.0001 per share (the Common Stock), of Nauticus Robotics, Inc., a Delaware corporation (the Issuer).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Issuers principal executive offices is 17146 Feathercraft Lane, Suite 450, Webster, TX 77598. </w:t>
      </w:r>
    </w:p>
    <w:p>
      <w:pPr>
        <w:pStyle w:val="TextBody"/>
        <w:bidi w:val="0"/>
        <w:spacing w:before="240" w:after="0"/>
        <w:jc w:val="left"/>
        <w:rPr>
          <w:rFonts w:ascii="Times New Roman" w:hAnsi="Times New Roman"/>
          <w:sz w:val="20"/>
        </w:rPr>
      </w:pPr>
      <w:r>
        <w:rPr>
          <w:rFonts w:ascii="Times New Roman" w:hAnsi="Times New Roman"/>
          <w:sz w:val="20"/>
        </w:rPr>
        <w:t xml:space="preserve">Information given in response to each item shall be deemed incorporated by reference in all other items,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2. Identity and Background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13D is being filed jointly on behalf of the following persons (collectively, the Reporting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N.V. (Schlumberger Limited), a corporation formed under the laws of Curaçao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B.V., a corporation formed under the laws of the Netherlands (SBV);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Holdings Corporation, a corporation formed under the laws of Delaware, United States (SHC);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Technology Corporation, a corporation formed under the laws of Texas, United States (STC).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SLB is the sole stockholder of SBV. SBV is the sole stockholder of SHC. SHC is the sole stockholder of STC. The name and present principal occupation of each director and executive officer of SLB (collectively, the Listed Persons) are set forth on </w:t>
      </w:r>
      <w:r>
        <w:rPr>
          <w:rFonts w:ascii="Times New Roman" w:hAnsi="Times New Roman"/>
          <w:sz w:val="20"/>
          <w:u w:val="single"/>
        </w:rPr>
        <w:t>Schedule A</w:t>
      </w:r>
      <w:r>
        <w:rPr>
          <w:rFonts w:ascii="Times New Roman" w:hAnsi="Times New Roman"/>
          <w:sz w:val="20"/>
        </w:rPr>
        <w:t xml:space="preserve"> to this Schedule 13D, which is incorporated herein by reference. None of the Listed Persons individually beneficially owns any securities of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SLB and the Listed Persons for purposes of this filing is 5599 San Felipe, Houston, Texas 77056. The business address of SBV is Parkstraat 83, 2514 JG The Hague, Netherlands. The business address of each of SHC and STC is 300 Schlumberger Drive, Sugar Land, Texas 77478.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business of SLB is to act as a holding company for the equity of its various direct subsidiaries, including SBV. The principal business of SBV is to act as a holding company for the equity of its various direct subsidiaries, including SHC. The principal business of SHC is to act as a holding company for the equity of its various subsidiaries, including STC. The principal business of STC is the provision of oilfield services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Reporting Persons has been and, to the Reporting Persons knowledge, none of the Listed Persons has been, convicted in a criminal proceeding (excluding traffic violations or similar misdemeanors) during the last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Reporting Persons has been and, to the Reporting Persons knowledge, none of the Listed Persons has been, party to any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is organized under the laws of Curaçao. SBV is organized under the laws of the Netherlands. SHC is organized under the laws of Delaware. STC is organized under the laws of Texas.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3. Source and Amount of Funds or Other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2022 (the Closing Date), the Issuer (formerly known as CleanTech Acquisition Corp.) (prior to the Closing Date, CLAQ), consummated the business combination pursuant to that certain Agreement and Plan of Merger (the Merger Agreement, and together with the other agreements and transactions contemplated by the Merger Agreement, the Business Combination) with CleanTech Merger Sub, Inc. (Merger Sub), and Nauticus Robotics, Inc. (prior to the Closing Date, Nauticus Robotics Holdings, Inc.). Pursuant to the terms of the Merger Agreement, a business combination between CLAQ and Nauticus Robotics Holdings, Inc. was effected through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of Merger Sub with and into Nauticus Robotics Holdings, Inc., with Nauticus Robotics Holdings, Inc. surviving the merger as a wholly owned subsidiary of CLAQ. On the Closing Date, as contemplated by the Merger Agreement, CLAQ was renamed Nauticus Robotics, Inc. and the previous Nauticus Robotics, Inc. was renamed Nauticus Robotics Holdings Inc. Pursuant to the Business Combination, STC acquired 7,932,920 shares of Common Stock as merger consideration upon the conversion of shares of preferred stock of Nauticus Robotics, Inc and upon the conversion of the Convertible Promissory Note in the amount of $1.5 million issued by Nauticus Robotics, Inc., as well as 750,000 shares of Common Stock in a private placement by CLAQ that closed immediately prior to the close of the Business Combination. STC used its working capital to acquire the securities converted into shares of Common Stock and to acquire the shares of Common Stock in the private placement noted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Item 4. Purpose of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Item 3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Director Designation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2023, the Issuer and STC entered into a letter agreement (the Director Designation Letter Agreement), pursuant to which, among other things, effective as of, and from and after, the closing of the 3D Merger (as defined below), the Issuer agreed to cause an individual designated by STC (the STC Designee) to be appointed to, and otherwise remain on, subject to the applicable stockholder vote, the Issuers Board of Directors (the Board) for an initial term expiring at the annual meeting of the Issuers stockholders held in the third year following the year of the STC Designees election. Thereafter, as long as STC and its affiliates own at least 20% of the voting power of all of the then outstanding shares of voting stock of the Issuer, the Issuer agreed to cause the STC Designee to be appointed, subject to the applicable stockholder vote, as a director of the Board for consecutive three-year terms. If at any time when STC maintains its right to designate a director, a vacancy is created on the Board as a result of the death, disability, retirement, resignation or removal of the STC Designee, STC will be entitled to nominate a replacement director to fill such vacancy and the Issuer agreed to cause such replacement director to be appointed to the Board for the remainder of the term.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Director Designation Letter Agreement does not purport to be complete and is qualified in its entirety by reference to the full text of the Director Designation Letter Agreement, which is incorporated by reference as Exhibit 99.2,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Company Stockholder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2023, STC entered into a Company Stockholder Support Agreement (the Company Stockholder Support Agreement) with the Issuer and several stockholders of 3D at Depth, Inc. (3D), pursuant to which, among other things, STC agreed to vote or cause to be voted (including by class vote and/or written consent, if applicable) the securities of 3D beneficially owned by STC in favor of the approval of an Agreement and Plan of Merger, dated as of October 2, 2023, by and among the Issuer, 3D Merger Sub, Inc. (Merger Sub), and 3D, and the other transactions contemplated thereby, pursuant to which a merger between the Issuer and 3D will be effected through the merger of Merger Sub with and into 3D, with 3D surviving the merger as a wholly owned subsidiary of the Issuer (the 3D Merger), and agreed to certain transfer restrictions applicable to such securities of 3D beneficially owned by STC, as described in the Company Stockholder Support Agreement, which was filed as Exhibit 10.1 to the Issuers Form 8-K filed with the Securities and Exchange Commission (SEC) on October 6, 2023.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continuously assess the Issuers business, financial condition, results of operations and prospects, general economic conditions, other developments and additional investment opportunities. Depending on such assessments, the Reporting Persons and/or their affiliates may acquire additional securities of the Issuer or may determine to sell or otherwise dispose of all or some of the Issuers securities in the open market, in privately negotiated transactions, in transactions directly with the Issuer or otherwise. Such actions will depend upon a variety of factors, including, without limitation, current and anticipated future trading prices, the financial condition, results of operations and prospects of the Issuer, alternative investment opportunities, general economic, financial market and industry conditions and other factors that the Reporting Persons and/or their affiliates may deem material to their investment decision.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of the Issuer and/or the Board, engaging in discussions with other shareholders of the Issuer and others about the Issuer and the Reporting Persons investment, making proposals to the Issuer concerning changes to the capitalization, ownership structure, Board structure (including Board composition) or operations of the Issuer or changing their intention with respect to any and all matters referred to in subparagraphs (a) through (j) of Item 4 of Schedule 13D.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herein, the Reporting Persons do not have present plans or proposals at this time that relate to or would result in any of the transactions described in subparagraphs (a) through (j) of Item 4 of Schedule 13D.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hereof, STC directly holds 8,682,920 shares of Common Stock, constituting approximately 17.4% of the outstanding shares of Common Stock, based on 49,832,918 shares of Common Stock outstanding as of October 2, 2023, as reported in Exhibit 2.1 to the Issuers Form 8-K filed with the SEC on October 6, 2023. Since SHC controls STC, it is deemed to beneficially own the shares of Common Stock held directly by STC. Since SBV controls SHC, it is deemed to beneficially own the shares of Common Stock held directly by STC. Since SLB controls SBV, it is deemed to beneficially own the Common Stock held directly by STC. Such beneficial ownership excludes 1,981,164 additional shares of Common Stock that STC has the right to receive if, on or before December 16, 2026, the Common Stock meets or exceeds certain target prices as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SBV, SHC and STC have shared voting power and shared dispositive power over the shares of Common Stock held directly by STC.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have been no transactions in the shares of Common Stock effected by the Reporting Persons in the past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Reporting Persons have the right to receive distributions from, or proceeds from the sale of, the Common Stock reported herein. Except as set forth in the preceding sentence, no other person is known by the Reporting Persons to have the right to receive or the power to direct the receipt of distributions from, or the proceeds from the sale of, Common Stock beneficially owned by the Reporting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6. Contracts, Arrangements, Understandings or Relationships with Respect to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Item 4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Director Designation Letter Agreement is incorporated by reference as Exhibit 99.2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2023, STC entered into a Large Stockholder Lock-Up Agreement (the Lock-Up Agreement) with the Issuer, pursuant to which, among other things, STC agreed, subject to certain limited exceptions, to be subject to a lock-up period of 180 days following the closing date of the 3D Merger. During the lock-up period, STC may not (i) offer, sell, contract to sell, pledge or otherwise dispose of, directly or indirectly, any of the shares of Common Stock obtained by them pursuant to the 3D Merger (the Lock-Up Shares); (ii) enter into a transaction that would have the same effect; (iii) enter into any swap, hedge or other arrangement that transfers, in whole or in part, any of the economic consequences of ownership of such Lock-up Shares, whether any of these transactions are to be settled by delivery of any such Lock-up Shares, in cash or otherwise; (iv) publicly disclose the intention to make any offer, sale, pledge or disposition, or to enter into any transaction, swap, hedge or other arrangement; or (v) engage in any short sales with respect to the Issuers securities. If the Issuer completes a liquidation, merger, capital stock exchange, reorganization or other similar transaction that results in all of the Issuers stockholders having the right to exchange their shares for common stock, cash, securities or other property, then the Lock-Up Shares shall be released from the restrictions of the Lock-Up Agreement to the extent necessary to allow STC to participate in such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of the Lock-Up Agreement does not purport to be complete and is qualified in its entirety by reference to the full text of the Lock-Up Agreement, the form of which is incorporated by reference as Exhibit 99.3 hereto,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 Material to be Filed as Exhibits </w:t>
      </w:r>
    </w:p>
    <w:p>
      <w:pPr>
        <w:pStyle w:val="TextBody"/>
        <w:bidi w:val="0"/>
        <w:spacing w:before="120" w:after="0"/>
        <w:jc w:val="left"/>
        <w:rPr/>
      </w:pPr>
      <w:r>
        <w:rPr>
          <w:rFonts w:ascii="Times New Roman" w:hAnsi="Times New Roman"/>
          <w:sz w:val="20"/>
        </w:rPr>
        <w:t xml:space="preserve">99.1 </w:t>
      </w:r>
      <w:hyperlink w:anchor="d869468dex991.htm">
        <w:r>
          <w:rPr>
            <w:rStyle w:val="InternetLink"/>
            <w:rFonts w:ascii="Times New Roman" w:hAnsi="Times New Roman"/>
            <w:sz w:val="20"/>
          </w:rPr>
          <w:t>Joint Filing Agreement dated November 2, 2023.</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99.2 </w:t>
      </w:r>
      <w:hyperlink r:id="rId2">
        <w:r>
          <w:rPr>
            <w:rStyle w:val="InternetLink"/>
            <w:rFonts w:ascii="Times New Roman" w:hAnsi="Times New Roman"/>
            <w:sz w:val="20"/>
          </w:rPr>
          <w:t>Director Designation Letter Agreement, dated as of October  2, 2023, by and between Nauticus Robotics, Inc. and Schlumberger Technology Corporation</w:t>
        </w:r>
      </w:hyperlink>
      <w:r>
        <w:rPr>
          <w:rFonts w:ascii="Times New Roman" w:hAnsi="Times New Roman"/>
          <w:sz w:val="20"/>
        </w:rPr>
        <w:t xml:space="preserve"> (incorporated by reference to Exhibit 10.5 to the Issuers Form 8-K, filed with the SEC on October  6, 2023). </w:t>
      </w:r>
    </w:p>
    <w:p>
      <w:pPr>
        <w:pStyle w:val="TextBody"/>
        <w:bidi w:val="0"/>
        <w:spacing w:before="240" w:after="0"/>
        <w:jc w:val="left"/>
        <w:rPr/>
      </w:pPr>
      <w:r>
        <w:rPr>
          <w:rFonts w:ascii="Times New Roman" w:hAnsi="Times New Roman"/>
          <w:sz w:val="20"/>
        </w:rPr>
        <w:t xml:space="preserve">99.3 </w:t>
      </w:r>
      <w:hyperlink r:id="rId3">
        <w:r>
          <w:rPr>
            <w:rStyle w:val="InternetLink"/>
            <w:rFonts w:ascii="Times New Roman" w:hAnsi="Times New Roman"/>
            <w:sz w:val="20"/>
          </w:rPr>
          <w:t>Form of Large Stockholder Lock-Up Agreement</w:t>
        </w:r>
      </w:hyperlink>
      <w:r>
        <w:rPr>
          <w:rFonts w:ascii="Times New Roman" w:hAnsi="Times New Roman"/>
          <w:sz w:val="20"/>
        </w:rPr>
        <w:t xml:space="preserve"> (incorporated by reference to Exhibit 10.3 to the Issuers Form 8-K, filed with the SEC on October 6, 2023).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each of the undersigned certifies that the information set forth in this Schedule 13D is true, complete, and correct. </w:t>
      </w:r>
    </w:p>
    <w:p>
      <w:pPr>
        <w:pStyle w:val="TextBody"/>
        <w:bidi w:val="0"/>
        <w:spacing w:before="360" w:after="0"/>
        <w:jc w:val="left"/>
        <w:rPr>
          <w:rFonts w:ascii="Times New Roman" w:hAnsi="Times New Roman"/>
          <w:sz w:val="20"/>
        </w:rPr>
      </w:pPr>
      <w:r>
        <w:rPr>
          <w:rFonts w:ascii="Times New Roman" w:hAnsi="Times New Roman"/>
          <w:sz w:val="20"/>
        </w:rPr>
        <w:t xml:space="preserve">Date: November 2,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N.V. (Schlumberger Limited)</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vAlign w:val="bottom"/>
          </w:tcPr>
          <w:p>
            <w:pPr>
              <w:pStyle w:val="TableContents"/>
              <w:bidi w:val="0"/>
              <w:spacing w:before="0" w:after="283"/>
              <w:jc w:val="left"/>
              <w:rPr/>
            </w:pPr>
            <w:r>
              <w:rPr/>
              <w:t>/s/ Eileen Hardell</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Eileen Hardell</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B.V.</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vAlign w:val="bottom"/>
          </w:tcPr>
          <w:p>
            <w:pPr>
              <w:pStyle w:val="TableContents"/>
              <w:bidi w:val="0"/>
              <w:spacing w:before="0" w:after="283"/>
              <w:jc w:val="left"/>
              <w:rPr/>
            </w:pPr>
            <w:r>
              <w:rPr/>
              <w:t>/s/ Eileen Hardell</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Eileen Hardell</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Holdings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vAlign w:val="bottom"/>
          </w:tcPr>
          <w:p>
            <w:pPr>
              <w:pStyle w:val="TableContents"/>
              <w:bidi w:val="0"/>
              <w:spacing w:before="0" w:after="283"/>
              <w:jc w:val="left"/>
              <w:rPr/>
            </w:pPr>
            <w:r>
              <w:rPr/>
              <w:t>/s/ Jeanne Morrissette</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Jeanne Morrissette</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Technology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vAlign w:val="bottom"/>
          </w:tcPr>
          <w:p>
            <w:pPr>
              <w:pStyle w:val="TableContents"/>
              <w:bidi w:val="0"/>
              <w:spacing w:before="0" w:after="283"/>
              <w:jc w:val="left"/>
              <w:rPr/>
            </w:pPr>
            <w:r>
              <w:rPr/>
              <w:t>/s/ Arindam Bhattacharya</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Arindam Bhattacharya</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Vice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Executive Officers and Directors of Schlumberger N.V. (Schlumberger Limited)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6"/>
        <w:gridCol w:w="120"/>
        <w:gridCol w:w="3239"/>
        <w:gridCol w:w="120"/>
        <w:gridCol w:w="3190"/>
      </w:tblGrid>
      <w:tr>
        <w:trPr/>
        <w:tc>
          <w:tcPr>
            <w:tcW w:w="35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3536" w:type="dxa"/>
            <w:tcBorders/>
            <w:vAlign w:val="bottom"/>
          </w:tcPr>
          <w:p>
            <w:pPr>
              <w:pStyle w:val="TableContents"/>
              <w:bidi w:val="0"/>
              <w:spacing w:before="0" w:after="283"/>
              <w:jc w:val="left"/>
              <w:rPr>
                <w:b/>
              </w:rPr>
            </w:pPr>
            <w:r>
              <w:rPr>
                <w:b/>
              </w:rPr>
              <w:t>Name</w:t>
            </w:r>
          </w:p>
        </w:tc>
        <w:tc>
          <w:tcPr>
            <w:tcW w:w="120" w:type="dxa"/>
            <w:tcBorders/>
            <w:vAlign w:val="bottom"/>
          </w:tcPr>
          <w:p>
            <w:pPr>
              <w:pStyle w:val="TableContents"/>
              <w:bidi w:val="0"/>
              <w:spacing w:before="0" w:after="283"/>
              <w:jc w:val="left"/>
              <w:rPr/>
            </w:pPr>
            <w:r>
              <w:rPr/>
              <w:t>  </w:t>
            </w:r>
          </w:p>
        </w:tc>
        <w:tc>
          <w:tcPr>
            <w:tcW w:w="3239" w:type="dxa"/>
            <w:tcBorders/>
            <w:vAlign w:val="bottom"/>
          </w:tcPr>
          <w:p>
            <w:pPr>
              <w:pStyle w:val="TableContents"/>
              <w:bidi w:val="0"/>
              <w:spacing w:before="0" w:after="283"/>
              <w:jc w:val="center"/>
              <w:rPr>
                <w:b/>
              </w:rPr>
            </w:pPr>
            <w:r>
              <w:rPr>
                <w:b/>
              </w:rPr>
              <w:t>Citizenship</w:t>
            </w:r>
          </w:p>
        </w:tc>
        <w:tc>
          <w:tcPr>
            <w:tcW w:w="120" w:type="dxa"/>
            <w:tcBorders/>
            <w:vAlign w:val="bottom"/>
          </w:tcPr>
          <w:p>
            <w:pPr>
              <w:pStyle w:val="TableContents"/>
              <w:bidi w:val="0"/>
              <w:spacing w:before="0" w:after="283"/>
              <w:jc w:val="left"/>
              <w:rPr/>
            </w:pPr>
            <w:r>
              <w:rPr/>
              <w:t>  </w:t>
            </w:r>
          </w:p>
        </w:tc>
        <w:tc>
          <w:tcPr>
            <w:tcW w:w="3190" w:type="dxa"/>
            <w:tcBorders/>
            <w:vAlign w:val="bottom"/>
          </w:tcPr>
          <w:p>
            <w:pPr>
              <w:pStyle w:val="TableContents"/>
              <w:bidi w:val="0"/>
              <w:spacing w:before="0" w:after="283"/>
              <w:jc w:val="center"/>
              <w:rPr>
                <w:b/>
              </w:rPr>
            </w:pPr>
            <w:r>
              <w:rPr>
                <w:b/>
              </w:rPr>
              <w:t>Principal Occupation</w:t>
            </w:r>
          </w:p>
        </w:tc>
      </w:tr>
      <w:tr>
        <w:trPr/>
        <w:tc>
          <w:tcPr>
            <w:tcW w:w="3536" w:type="dxa"/>
            <w:tcBorders/>
          </w:tcPr>
          <w:p>
            <w:pPr>
              <w:pStyle w:val="TableContents"/>
              <w:bidi w:val="0"/>
              <w:spacing w:before="0" w:after="283"/>
              <w:jc w:val="left"/>
              <w:rPr/>
            </w:pPr>
            <w:r>
              <w:rPr/>
              <w:t>Olivier Le Peuch</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France</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Chief Executive Officer and 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Khaled Al Mogharbel</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Executive Vice President, Geographies</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Stephane Biguet</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Executive Vice President and Chief Financial Officer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Abdellah Merad</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Executive Vice President, Core Services and Equipment</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Katharina Beumelburg</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Chief Strategy and Sustainability Officer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Demosthenis Pafitis</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Chief Technology Officer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Dianne Ralston</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Chief Legal Officer and Secretary</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Carmen Rando Bejar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Chief People Officer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Gavin Rennick</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President, New Energy</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Kevin Fyfe</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Vice President and Treasurer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Howard Guild</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Chief Accounting Officer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Ugo Prechner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Vice President and Controller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Vijay Kasibhatla</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 Mergers and Acquisitions</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Rakesh Jaggi</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President, Digital &amp; Integration</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Peter Coleman</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Australia</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Patrick de La Chevardière</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France</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Miguel Galuccio</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Argentina and United Kingdom</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James Hackett</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United States</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Samuel Leupold</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Switzerland</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Tatiana Mitrova</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Israel and Russia</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Maria Moræus Hanssen</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Norway</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Vanitha Narayanan</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United States</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Jeff Sheets</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United States</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r>
        <w:trPr>
          <w:trHeight w:val="120" w:hRule="atLeast"/>
        </w:trPr>
        <w:tc>
          <w:tcPr>
            <w:tcW w:w="3536" w:type="dxa"/>
            <w:tcBorders/>
            <w:vAlign w:val="center"/>
          </w:tcPr>
          <w:p>
            <w:pPr>
              <w:pStyle w:val="TableContents"/>
              <w:bidi w:val="0"/>
              <w:spacing w:before="0" w:after="283"/>
              <w:jc w:val="left"/>
              <w:rPr>
                <w:sz w:val="4"/>
                <w:szCs w:val="4"/>
              </w:rPr>
            </w:pPr>
            <w:r>
              <w:rPr>
                <w:sz w:val="4"/>
                <w:szCs w:val="4"/>
              </w:rPr>
            </w:r>
          </w:p>
        </w:tc>
        <w:tc>
          <w:tcPr>
            <w:tcW w:w="3359" w:type="dxa"/>
            <w:gridSpan w:val="2"/>
            <w:tcBorders/>
            <w:vAlign w:val="center"/>
          </w:tcPr>
          <w:p>
            <w:pPr>
              <w:pStyle w:val="TableContents"/>
              <w:bidi w:val="0"/>
              <w:spacing w:before="0" w:after="283"/>
              <w:jc w:val="left"/>
              <w:rPr>
                <w:sz w:val="4"/>
                <w:szCs w:val="4"/>
              </w:rPr>
            </w:pPr>
            <w:r>
              <w:rPr>
                <w:sz w:val="4"/>
                <w:szCs w:val="4"/>
              </w:rPr>
            </w:r>
          </w:p>
        </w:tc>
        <w:tc>
          <w:tcPr>
            <w:tcW w:w="3310" w:type="dxa"/>
            <w:gridSpan w:val="2"/>
            <w:tcBorders/>
            <w:vAlign w:val="center"/>
          </w:tcPr>
          <w:p>
            <w:pPr>
              <w:pStyle w:val="TableContents"/>
              <w:bidi w:val="0"/>
              <w:spacing w:before="0" w:after="283"/>
              <w:jc w:val="left"/>
              <w:rPr>
                <w:sz w:val="4"/>
                <w:szCs w:val="4"/>
              </w:rPr>
            </w:pPr>
            <w:r>
              <w:rPr>
                <w:sz w:val="4"/>
                <w:szCs w:val="4"/>
              </w:rPr>
            </w:r>
          </w:p>
        </w:tc>
      </w:tr>
      <w:tr>
        <w:trPr/>
        <w:tc>
          <w:tcPr>
            <w:tcW w:w="3536" w:type="dxa"/>
            <w:tcBorders/>
          </w:tcPr>
          <w:p>
            <w:pPr>
              <w:pStyle w:val="TableContents"/>
              <w:bidi w:val="0"/>
              <w:spacing w:before="0" w:after="283"/>
              <w:jc w:val="left"/>
              <w:rPr/>
            </w:pPr>
            <w:r>
              <w:rPr/>
              <w:t>Ulrich Spiesshofer</w:t>
            </w:r>
          </w:p>
        </w:tc>
        <w:tc>
          <w:tcPr>
            <w:tcW w:w="120" w:type="dxa"/>
            <w:tcBorders/>
            <w:vAlign w:val="bottom"/>
          </w:tcPr>
          <w:p>
            <w:pPr>
              <w:pStyle w:val="TableContents"/>
              <w:bidi w:val="0"/>
              <w:spacing w:before="0" w:after="283"/>
              <w:jc w:val="left"/>
              <w:rPr/>
            </w:pPr>
            <w:r>
              <w:rPr/>
              <w:t>  </w:t>
            </w:r>
          </w:p>
        </w:tc>
        <w:tc>
          <w:tcPr>
            <w:tcW w:w="3239" w:type="dxa"/>
            <w:tcBorders/>
          </w:tcPr>
          <w:p>
            <w:pPr>
              <w:pStyle w:val="TableContents"/>
              <w:bidi w:val="0"/>
              <w:spacing w:before="0" w:after="283"/>
              <w:jc w:val="center"/>
              <w:rPr/>
            </w:pPr>
            <w:r>
              <w:rPr/>
              <w:t>Germany and Switzerland</w:t>
            </w:r>
          </w:p>
        </w:tc>
        <w:tc>
          <w:tcPr>
            <w:tcW w:w="120" w:type="dxa"/>
            <w:tcBorders/>
            <w:vAlign w:val="bottom"/>
          </w:tcPr>
          <w:p>
            <w:pPr>
              <w:pStyle w:val="TableContents"/>
              <w:bidi w:val="0"/>
              <w:spacing w:before="0" w:after="283"/>
              <w:jc w:val="left"/>
              <w:rPr/>
            </w:pPr>
            <w:r>
              <w:rPr/>
              <w:t>  </w:t>
            </w:r>
          </w:p>
        </w:tc>
        <w:tc>
          <w:tcPr>
            <w:tcW w:w="3190"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869468dex991.htm"/>
      <w:bookmarkStart w:id="3" w:name="ksd869468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13d-1(k)(1) under the Securities Exchange Act of 1934, as amended, the persons below agree to the joint filing on behalf of each of them of a Statement on Schedule 13D, and any and all amendments thereto, with regard to the beneficial ownership of shares of common stock, par value $0.0001 per share, of Nauticus Robotics, Inc., a Delaware corporation, and further agree that this Joint Filing Agreement be included as an exhibit to the Statement on Schedule 13D. In evidence thereof the undersigned hereby execute this Agreement as of the 2nd day of November,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2"/>
        <w:gridCol w:w="60"/>
        <w:gridCol w:w="3410"/>
      </w:tblGrid>
      <w:tr>
        <w:trPr/>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Schlumberger N.V. (Schlumberger Limited)</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283"/>
              <w:jc w:val="left"/>
              <w:rPr/>
            </w:pPr>
            <w:r>
              <w:rPr/>
              <w:t>/s/ Eileen Hardell</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Eileen Hardell</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Schlumberger B.V.</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283"/>
              <w:jc w:val="left"/>
              <w:rPr/>
            </w:pPr>
            <w:r>
              <w:rPr/>
              <w:t>/s/ Eileen Hardell</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Eileen Hardell</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Schlumberger Holdings Corporation</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283"/>
              <w:jc w:val="left"/>
              <w:rPr/>
            </w:pPr>
            <w:r>
              <w:rPr/>
              <w:t>/s/ Jeanne Morrissette</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Jeanne Morrissette</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Schlumberger Technology Corporation</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283"/>
              <w:jc w:val="left"/>
              <w:rPr/>
            </w:pPr>
            <w:r>
              <w:rPr/>
              <w:t>/s/ Arindam Bhattacharya</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Arindam Bhattacharya</w:t>
            </w:r>
          </w:p>
        </w:tc>
      </w:tr>
      <w:tr>
        <w:trPr/>
        <w:tc>
          <w:tcPr>
            <w:tcW w:w="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9820/000101376223002532/ea186300ex10-5_nauticus.htm" TargetMode="External"/><Relationship Id="rId3" Type="http://schemas.openxmlformats.org/officeDocument/2006/relationships/hyperlink" Target="http://www.sec.gov/Archives/edgar/data/1849820/000101376223002532/ea186300ex10-3_nauticu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3833</Words>
  <Characters>19495</Characters>
  <CharactersWithSpaces>23359</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