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Filing pursuant to Rule 425 under the</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Deemed filed under Rule 14a-12 under the</w:t>
      </w:r>
    </w:p>
    <w:p>
      <w:pPr>
        <w:spacing w:after="0" w:line="9" w:lineRule="exact"/>
        <w:rPr>
          <w:sz w:val="24"/>
          <w:szCs w:val="24"/>
          <w:color w:val="auto"/>
        </w:rPr>
      </w:pPr>
    </w:p>
    <w:p>
      <w:pPr>
        <w:ind w:left="7640"/>
        <w:spacing w:after="0"/>
        <w:rPr>
          <w:sz w:val="20"/>
          <w:szCs w:val="20"/>
          <w:color w:val="auto"/>
        </w:rPr>
      </w:pPr>
      <w:r>
        <w:rPr>
          <w:rFonts w:ascii="Arial" w:cs="Arial" w:eastAsia="Arial" w:hAnsi="Arial"/>
          <w:sz w:val="12"/>
          <w:szCs w:val="12"/>
          <w:color w:val="auto"/>
        </w:rPr>
        <w:t>Securities Exchange Act of 1934, as amended</w:t>
      </w:r>
    </w:p>
    <w:p>
      <w:pPr>
        <w:spacing w:after="0" w:line="32" w:lineRule="exact"/>
        <w:rPr>
          <w:sz w:val="24"/>
          <w:szCs w:val="24"/>
          <w:color w:val="auto"/>
        </w:rPr>
      </w:pPr>
    </w:p>
    <w:p>
      <w:pPr>
        <w:ind w:left="7420"/>
        <w:spacing w:after="0"/>
        <w:rPr>
          <w:sz w:val="20"/>
          <w:szCs w:val="20"/>
          <w:color w:val="auto"/>
        </w:rPr>
      </w:pPr>
      <w:r>
        <w:rPr>
          <w:rFonts w:ascii="Arial" w:cs="Arial" w:eastAsia="Arial" w:hAnsi="Arial"/>
          <w:sz w:val="13"/>
          <w:szCs w:val="13"/>
          <w:color w:val="auto"/>
        </w:rPr>
        <w:t>Filer: Schlumberger N.V. (Schlumberger Limited)</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Subject Company: Cameron International Corporation</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Commission File No.: 1-13884</w:t>
      </w:r>
    </w:p>
    <w:p>
      <w:pPr>
        <w:sectPr>
          <w:pgSz w:w="11900" w:h="16838" w:orient="portrait"/>
          <w:cols w:equalWidth="0" w:num="1">
            <w:col w:w="10240"/>
          </w:cols>
          <w:pgMar w:left="1440" w:top="214" w:right="2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spacing w:after="0"/>
        <w:rPr>
          <w:sz w:val="20"/>
          <w:szCs w:val="20"/>
          <w:color w:val="auto"/>
        </w:rPr>
      </w:pPr>
      <w:r>
        <w:rPr>
          <w:rFonts w:ascii="Arial" w:cs="Arial" w:eastAsia="Arial" w:hAnsi="Arial"/>
          <w:sz w:val="34"/>
          <w:szCs w:val="34"/>
          <w:color w:val="003366"/>
        </w:rPr>
        <w:t>Cameron Integration</w:t>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Schlumberger &amp; CameronAUnique– Combination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right="360"/>
        <w:spacing w:after="0" w:line="290" w:lineRule="auto"/>
        <w:rPr>
          <w:sz w:val="20"/>
          <w:szCs w:val="20"/>
          <w:color w:val="auto"/>
        </w:rPr>
      </w:pPr>
      <w:r>
        <w:rPr>
          <w:rFonts w:ascii="Arial" w:cs="Arial" w:eastAsia="Arial" w:hAnsi="Arial"/>
          <w:sz w:val="27"/>
          <w:szCs w:val="27"/>
          <w:b w:val="1"/>
          <w:bCs w:val="1"/>
          <w:color w:val="003366"/>
        </w:rPr>
        <w:t xml:space="preserve">August 26 </w:t>
      </w:r>
      <w:r>
        <w:rPr>
          <w:rFonts w:ascii="Arial" w:cs="Arial" w:eastAsia="Arial" w:hAnsi="Arial"/>
          <w:sz w:val="27"/>
          <w:szCs w:val="27"/>
          <w:color w:val="003366"/>
        </w:rPr>
        <w:t>Schlumberger</w:t>
      </w:r>
      <w:r>
        <w:rPr>
          <w:rFonts w:ascii="Arial" w:cs="Arial" w:eastAsia="Arial" w:hAnsi="Arial"/>
          <w:sz w:val="27"/>
          <w:szCs w:val="27"/>
          <w:b w:val="1"/>
          <w:bCs w:val="1"/>
          <w:color w:val="003366"/>
        </w:rPr>
        <w:t xml:space="preserve">– </w:t>
      </w:r>
      <w:r>
        <w:rPr>
          <w:rFonts w:ascii="Arial" w:cs="Arial" w:eastAsia="Arial" w:hAnsi="Arial"/>
          <w:sz w:val="27"/>
          <w:szCs w:val="27"/>
          <w:color w:val="003366"/>
        </w:rPr>
        <w:t>and Cameron jointly announce a definitive merger agreement</w:t>
      </w:r>
      <w:r>
        <w:rPr>
          <w:rFonts w:ascii="Arial" w:cs="Arial" w:eastAsia="Arial" w:hAnsi="Arial"/>
          <w:sz w:val="27"/>
          <w:szCs w:val="27"/>
          <w:b w:val="1"/>
          <w:bCs w:val="1"/>
          <w:color w:val="003366"/>
        </w:rPr>
        <w:t xml:space="preserve"> </w:t>
      </w:r>
      <w:r>
        <w:rPr>
          <w:rFonts w:ascii="Arial" w:cs="Arial" w:eastAsia="Arial" w:hAnsi="Arial"/>
          <w:sz w:val="27"/>
          <w:szCs w:val="27"/>
          <w:color w:val="003366"/>
        </w:rPr>
        <w:t>in which the companies would combine in a stock and cash transaction, with closing expected in Q1 2016</w:t>
      </w:r>
    </w:p>
    <w:p>
      <w:pPr>
        <w:spacing w:after="0" w:line="328" w:lineRule="exact"/>
        <w:rPr>
          <w:sz w:val="20"/>
          <w:szCs w:val="20"/>
          <w:color w:val="auto"/>
        </w:rPr>
      </w:pPr>
    </w:p>
    <w:p>
      <w:pPr>
        <w:ind w:left="280"/>
        <w:spacing w:after="0" w:line="278" w:lineRule="auto"/>
        <w:rPr>
          <w:sz w:val="20"/>
          <w:szCs w:val="20"/>
          <w:color w:val="auto"/>
        </w:rPr>
      </w:pPr>
      <w:r>
        <w:rPr>
          <w:rFonts w:ascii="Arial" w:cs="Arial" w:eastAsia="Arial" w:hAnsi="Arial"/>
          <w:sz w:val="27"/>
          <w:szCs w:val="27"/>
          <w:color w:val="003366"/>
        </w:rPr>
        <w:t>Cameron shareholders to receive 0.716 Schlumberger shares and $14.44 in cash for each share of Cameron</w:t>
      </w:r>
    </w:p>
    <w:p>
      <w:pPr>
        <w:spacing w:after="0" w:line="342" w:lineRule="exact"/>
        <w:rPr>
          <w:sz w:val="20"/>
          <w:szCs w:val="20"/>
          <w:color w:val="auto"/>
        </w:rPr>
      </w:pPr>
    </w:p>
    <w:p>
      <w:pPr>
        <w:ind w:left="280" w:right="640"/>
        <w:spacing w:after="0" w:line="278" w:lineRule="auto"/>
        <w:rPr>
          <w:sz w:val="20"/>
          <w:szCs w:val="20"/>
          <w:color w:val="auto"/>
        </w:rPr>
      </w:pPr>
      <w:r>
        <w:rPr>
          <w:rFonts w:ascii="Arial" w:cs="Arial" w:eastAsia="Arial" w:hAnsi="Arial"/>
          <w:sz w:val="27"/>
          <w:szCs w:val="27"/>
          <w:color w:val="003366"/>
        </w:rPr>
        <w:t>The transaction combines two complementary technology portfolios into a “pore-to-pipeline” products and services offering with customers to benefit through technology system innovation and improved operational performance</w:t>
      </w:r>
    </w:p>
    <w:p>
      <w:pPr>
        <w:sectPr>
          <w:pgSz w:w="11900" w:h="16838" w:orient="portrait"/>
          <w:cols w:equalWidth="0" w:num="1">
            <w:col w:w="10880"/>
          </w:cols>
          <w:pgMar w:left="880" w:top="590" w:right="139" w:bottom="1440" w:gutter="0" w:footer="0" w:header="0"/>
        </w:sectPr>
      </w:pPr>
    </w:p>
    <w:bookmarkStart w:id="3" w:name="page4"/>
    <w:bookmarkEnd w:id="3"/>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Schlumberger at a Glance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8"/>
          <w:szCs w:val="8"/>
          <w:color w:val="FFFFFF"/>
        </w:rPr>
        <w:t>* Note: Effective July, 2015</w:t>
      </w:r>
    </w:p>
    <w:p>
      <w:pPr>
        <w:sectPr>
          <w:pgSz w:w="11900" w:h="16838" w:orient="portrait"/>
          <w:cols w:equalWidth="0" w:num="1">
            <w:col w:w="9539"/>
          </w:cols>
          <w:pgMar w:left="920" w:top="579" w:right="1440" w:bottom="1440" w:gutter="0" w:footer="0" w:header="0"/>
        </w:sectPr>
      </w:pPr>
    </w:p>
    <w:bookmarkStart w:id="4" w:name="page5"/>
    <w:bookmarkEnd w:id="4"/>
    <w:p>
      <w:pPr>
        <w:spacing w:after="0"/>
        <w:rPr>
          <w:sz w:val="20"/>
          <w:szCs w:val="20"/>
          <w:color w:val="auto"/>
        </w:rPr>
      </w:pPr>
      <w:r>
        <w:rPr>
          <w:rFonts w:ascii="Arial" w:cs="Arial" w:eastAsia="Arial" w:hAnsi="Arial"/>
          <w:sz w:val="34"/>
          <w:szCs w:val="34"/>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Schlumberger and CameronIdeal– Partners</w:t>
      </w:r>
    </w:p>
    <w:p>
      <w:pPr>
        <w:sectPr>
          <w:pgSz w:w="11900" w:h="16838" w:orient="portrait"/>
          <w:cols w:equalWidth="0" w:num="1">
            <w:col w:w="9539"/>
          </w:cols>
          <w:pgMar w:left="920" w:top="5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Strong Core Values</w:t>
      </w:r>
    </w:p>
    <w:p>
      <w:pPr>
        <w:spacing w:after="0" w:line="26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Rich History</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Commitment to Safety &amp; Customers</w:t>
      </w: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Operational Excellence</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Technology Leadership</w:t>
      </w:r>
    </w:p>
    <w:p>
      <w:pPr>
        <w:sectPr>
          <w:pgSz w:w="11900" w:h="16838" w:orient="portrait"/>
          <w:cols w:equalWidth="0" w:num="1">
            <w:col w:w="9539"/>
          </w:cols>
          <w:pgMar w:left="920" w:top="579"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Proposed Schlumberger Group Structure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Schlumberger</w:t>
      </w:r>
    </w:p>
    <w:p>
      <w:pPr>
        <w:spacing w:after="0" w:line="332"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1260" w:type="dxa"/>
            <w:vAlign w:val="bottom"/>
          </w:tcPr>
          <w:p>
            <w:pPr>
              <w:ind w:left="420"/>
              <w:spacing w:after="0"/>
              <w:rPr>
                <w:sz w:val="20"/>
                <w:szCs w:val="20"/>
                <w:color w:val="auto"/>
              </w:rPr>
            </w:pPr>
            <w:r>
              <w:rPr>
                <w:rFonts w:ascii="Arial" w:cs="Arial" w:eastAsia="Arial" w:hAnsi="Arial"/>
                <w:sz w:val="17"/>
                <w:szCs w:val="17"/>
                <w:color w:val="FFFFFF"/>
              </w:rPr>
              <w:t>Cameron</w:t>
            </w:r>
          </w:p>
        </w:tc>
        <w:tc>
          <w:tcPr>
            <w:tcW w:w="320" w:type="dxa"/>
            <w:vAlign w:val="bottom"/>
          </w:tcPr>
          <w:p>
            <w:pPr>
              <w:spacing w:after="0"/>
              <w:rPr>
                <w:sz w:val="19"/>
                <w:szCs w:val="19"/>
                <w:color w:val="auto"/>
              </w:rPr>
            </w:pPr>
          </w:p>
        </w:tc>
        <w:tc>
          <w:tcPr>
            <w:tcW w:w="1520" w:type="dxa"/>
            <w:vAlign w:val="bottom"/>
            <w:gridSpan w:val="2"/>
          </w:tcPr>
          <w:p>
            <w:pPr>
              <w:ind w:left="180"/>
              <w:spacing w:after="0"/>
              <w:rPr>
                <w:sz w:val="20"/>
                <w:szCs w:val="20"/>
                <w:color w:val="auto"/>
              </w:rPr>
            </w:pPr>
            <w:r>
              <w:rPr>
                <w:rFonts w:ascii="Arial" w:cs="Arial" w:eastAsia="Arial" w:hAnsi="Arial"/>
                <w:sz w:val="17"/>
                <w:szCs w:val="17"/>
                <w:color w:val="FFFFFF"/>
              </w:rPr>
              <w:t>Characterization</w:t>
            </w:r>
          </w:p>
        </w:tc>
        <w:tc>
          <w:tcPr>
            <w:tcW w:w="1260" w:type="dxa"/>
            <w:vAlign w:val="bottom"/>
          </w:tcPr>
          <w:p>
            <w:pPr>
              <w:ind w:left="500"/>
              <w:spacing w:after="0"/>
              <w:rPr>
                <w:sz w:val="20"/>
                <w:szCs w:val="20"/>
                <w:color w:val="auto"/>
              </w:rPr>
            </w:pPr>
            <w:r>
              <w:rPr>
                <w:rFonts w:ascii="Arial" w:cs="Arial" w:eastAsia="Arial" w:hAnsi="Arial"/>
                <w:sz w:val="17"/>
                <w:szCs w:val="17"/>
                <w:color w:val="FFFFFF"/>
              </w:rPr>
              <w:t>Drilling</w:t>
            </w:r>
          </w:p>
        </w:tc>
        <w:tc>
          <w:tcPr>
            <w:tcW w:w="320" w:type="dxa"/>
            <w:vAlign w:val="bottom"/>
          </w:tcPr>
          <w:p>
            <w:pPr>
              <w:spacing w:after="0"/>
              <w:rPr>
                <w:sz w:val="19"/>
                <w:szCs w:val="19"/>
                <w:color w:val="auto"/>
              </w:rPr>
            </w:pPr>
          </w:p>
        </w:tc>
        <w:tc>
          <w:tcPr>
            <w:tcW w:w="1220" w:type="dxa"/>
            <w:vAlign w:val="bottom"/>
          </w:tcPr>
          <w:p>
            <w:pPr>
              <w:ind w:left="320"/>
              <w:spacing w:after="0"/>
              <w:rPr>
                <w:sz w:val="20"/>
                <w:szCs w:val="20"/>
                <w:color w:val="auto"/>
              </w:rPr>
            </w:pPr>
            <w:r>
              <w:rPr>
                <w:rFonts w:ascii="Arial" w:cs="Arial" w:eastAsia="Arial" w:hAnsi="Arial"/>
                <w:sz w:val="17"/>
                <w:szCs w:val="17"/>
                <w:color w:val="FFFFFF"/>
              </w:rPr>
              <w:t>Production</w:t>
            </w:r>
          </w:p>
        </w:tc>
        <w:tc>
          <w:tcPr>
            <w:tcW w:w="80" w:type="dxa"/>
            <w:vAlign w:val="bottom"/>
          </w:tcPr>
          <w:p>
            <w:pPr>
              <w:spacing w:after="0"/>
              <w:rPr>
                <w:sz w:val="19"/>
                <w:szCs w:val="19"/>
                <w:color w:val="auto"/>
              </w:rPr>
            </w:pPr>
          </w:p>
        </w:tc>
      </w:tr>
      <w:tr>
        <w:trPr>
          <w:trHeight w:val="422"/>
        </w:trPr>
        <w:tc>
          <w:tcPr>
            <w:tcW w:w="820" w:type="dxa"/>
            <w:vAlign w:val="bottom"/>
          </w:tcPr>
          <w:p>
            <w:pPr>
              <w:spacing w:after="0"/>
              <w:rPr>
                <w:sz w:val="20"/>
                <w:szCs w:val="20"/>
                <w:color w:val="auto"/>
              </w:rPr>
            </w:pPr>
            <w:r>
              <w:rPr>
                <w:rFonts w:ascii="Arial" w:cs="Arial" w:eastAsia="Arial" w:hAnsi="Arial"/>
                <w:sz w:val="16"/>
                <w:szCs w:val="16"/>
                <w:b w:val="1"/>
                <w:bCs w:val="1"/>
                <w:color w:val="D1D1D1"/>
              </w:rPr>
              <w:t>Revenue</w:t>
            </w:r>
          </w:p>
        </w:tc>
        <w:tc>
          <w:tcPr>
            <w:tcW w:w="1260" w:type="dxa"/>
            <w:vAlign w:val="bottom"/>
          </w:tcPr>
          <w:p>
            <w:pPr>
              <w:ind w:left="340"/>
              <w:spacing w:after="0"/>
              <w:rPr>
                <w:sz w:val="20"/>
                <w:szCs w:val="20"/>
                <w:color w:val="auto"/>
              </w:rPr>
            </w:pPr>
            <w:r>
              <w:rPr>
                <w:rFonts w:ascii="Arial" w:cs="Arial" w:eastAsia="Arial" w:hAnsi="Arial"/>
                <w:sz w:val="16"/>
                <w:szCs w:val="16"/>
                <w:b w:val="1"/>
                <w:bCs w:val="1"/>
                <w:color w:val="FFFFFF"/>
                <w:w w:val="98"/>
              </w:rPr>
              <w:t>$10.3 billion</w:t>
            </w:r>
          </w:p>
        </w:tc>
        <w:tc>
          <w:tcPr>
            <w:tcW w:w="3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16"/>
                <w:szCs w:val="16"/>
                <w:b w:val="1"/>
                <w:bCs w:val="1"/>
                <w:color w:val="FFFFFF"/>
              </w:rPr>
              <w:t>$12.2 billion</w:t>
            </w:r>
          </w:p>
        </w:tc>
        <w:tc>
          <w:tcPr>
            <w:tcW w:w="30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6"/>
                <w:szCs w:val="16"/>
                <w:b w:val="1"/>
                <w:bCs w:val="1"/>
                <w:color w:val="FFFFFF"/>
                <w:w w:val="98"/>
              </w:rPr>
              <w:t>$18.5 billion</w:t>
            </w:r>
          </w:p>
        </w:tc>
        <w:tc>
          <w:tcPr>
            <w:tcW w:w="32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16"/>
                <w:szCs w:val="16"/>
                <w:b w:val="1"/>
                <w:bCs w:val="1"/>
                <w:color w:val="FFFFFF"/>
              </w:rPr>
              <w:t>$18.1 billion</w:t>
            </w:r>
          </w:p>
        </w:tc>
        <w:tc>
          <w:tcPr>
            <w:tcW w:w="80" w:type="dxa"/>
            <w:vAlign w:val="bottom"/>
          </w:tcPr>
          <w:p>
            <w:pPr>
              <w:spacing w:after="0"/>
              <w:rPr>
                <w:sz w:val="24"/>
                <w:szCs w:val="24"/>
                <w:color w:val="auto"/>
              </w:rPr>
            </w:pPr>
          </w:p>
        </w:tc>
      </w:tr>
      <w:tr>
        <w:trPr>
          <w:trHeight w:val="329"/>
        </w:trPr>
        <w:tc>
          <w:tcPr>
            <w:tcW w:w="820" w:type="dxa"/>
            <w:vAlign w:val="bottom"/>
          </w:tcPr>
          <w:p>
            <w:pPr>
              <w:spacing w:after="0"/>
              <w:rPr>
                <w:sz w:val="20"/>
                <w:szCs w:val="20"/>
                <w:color w:val="auto"/>
              </w:rPr>
            </w:pPr>
            <w:r>
              <w:rPr>
                <w:rFonts w:ascii="Arial" w:cs="Arial" w:eastAsia="Arial" w:hAnsi="Arial"/>
                <w:sz w:val="16"/>
                <w:szCs w:val="16"/>
                <w:b w:val="1"/>
                <w:bCs w:val="1"/>
                <w:color w:val="D1D1D1"/>
              </w:rPr>
              <w:t>Business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820" w:type="dxa"/>
            <w:vAlign w:val="bottom"/>
          </w:tcPr>
          <w:p>
            <w:pPr>
              <w:spacing w:after="0"/>
              <w:rPr>
                <w:sz w:val="20"/>
                <w:szCs w:val="20"/>
                <w:color w:val="auto"/>
              </w:rPr>
            </w:pPr>
            <w:r>
              <w:rPr>
                <w:rFonts w:ascii="Arial" w:cs="Arial" w:eastAsia="Arial" w:hAnsi="Arial"/>
                <w:sz w:val="16"/>
                <w:szCs w:val="16"/>
                <w:b w:val="1"/>
                <w:bCs w:val="1"/>
                <w:color w:val="D1D1D1"/>
              </w:rPr>
              <w:t>Rank</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6"/>
        </w:trPr>
        <w:tc>
          <w:tcPr>
            <w:tcW w:w="820" w:type="dxa"/>
            <w:vAlign w:val="bottom"/>
          </w:tcPr>
          <w:p>
            <w:pPr>
              <w:spacing w:after="0"/>
              <w:rPr>
                <w:sz w:val="23"/>
                <w:szCs w:val="23"/>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FFFFFF"/>
              </w:rPr>
              <w:t>OneSubsea</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2</w:t>
            </w:r>
          </w:p>
        </w:tc>
        <w:tc>
          <w:tcPr>
            <w:tcW w:w="1220" w:type="dxa"/>
            <w:vAlign w:val="bottom"/>
          </w:tcPr>
          <w:p>
            <w:pPr>
              <w:ind w:left="100"/>
              <w:spacing w:after="0"/>
              <w:rPr>
                <w:sz w:val="20"/>
                <w:szCs w:val="20"/>
                <w:color w:val="auto"/>
              </w:rPr>
            </w:pPr>
            <w:r>
              <w:rPr>
                <w:rFonts w:ascii="Arial" w:cs="Arial" w:eastAsia="Arial" w:hAnsi="Arial"/>
                <w:sz w:val="13"/>
                <w:szCs w:val="13"/>
                <w:color w:val="FFFFFF"/>
              </w:rPr>
              <w:t>Wireline</w:t>
            </w:r>
          </w:p>
        </w:tc>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FFFFFF"/>
              </w:rPr>
              <w:t>1</w:t>
            </w:r>
          </w:p>
        </w:tc>
        <w:tc>
          <w:tcPr>
            <w:tcW w:w="1580" w:type="dxa"/>
            <w:vAlign w:val="bottom"/>
            <w:gridSpan w:val="2"/>
          </w:tcPr>
          <w:p>
            <w:pPr>
              <w:ind w:left="100"/>
              <w:spacing w:after="0"/>
              <w:rPr>
                <w:sz w:val="20"/>
                <w:szCs w:val="20"/>
                <w:color w:val="auto"/>
              </w:rPr>
            </w:pPr>
            <w:r>
              <w:rPr>
                <w:rFonts w:ascii="Arial" w:cs="Arial" w:eastAsia="Arial" w:hAnsi="Arial"/>
                <w:sz w:val="13"/>
                <w:szCs w:val="13"/>
                <w:color w:val="FFFFFF"/>
                <w:w w:val="98"/>
              </w:rPr>
              <w:t>Drilling &amp; Measurements</w:t>
            </w:r>
            <w:r>
              <w:rPr>
                <w:rFonts w:ascii="Arial" w:cs="Arial" w:eastAsia="Arial" w:hAnsi="Arial"/>
                <w:sz w:val="13"/>
                <w:szCs w:val="13"/>
                <w:b w:val="1"/>
                <w:bCs w:val="1"/>
                <w:color w:val="FFFFFF"/>
                <w:w w:val="98"/>
              </w:rPr>
              <w:t>1</w:t>
            </w:r>
          </w:p>
        </w:tc>
        <w:tc>
          <w:tcPr>
            <w:tcW w:w="1220" w:type="dxa"/>
            <w:vAlign w:val="bottom"/>
          </w:tcPr>
          <w:p>
            <w:pPr>
              <w:ind w:left="80"/>
              <w:spacing w:after="0"/>
              <w:rPr>
                <w:sz w:val="20"/>
                <w:szCs w:val="20"/>
                <w:color w:val="auto"/>
              </w:rPr>
            </w:pPr>
            <w:r>
              <w:rPr>
                <w:rFonts w:ascii="Arial" w:cs="Arial" w:eastAsia="Arial" w:hAnsi="Arial"/>
                <w:sz w:val="13"/>
                <w:szCs w:val="13"/>
                <w:color w:val="FFFFFF"/>
              </w:rPr>
              <w:t>Well Services</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w w:val="82"/>
              </w:rPr>
              <w:t>2</w:t>
            </w:r>
          </w:p>
        </w:tc>
      </w:tr>
      <w:tr>
        <w:trPr>
          <w:trHeight w:val="414"/>
        </w:trPr>
        <w:tc>
          <w:tcPr>
            <w:tcW w:w="820" w:type="dxa"/>
            <w:vAlign w:val="bottom"/>
          </w:tcPr>
          <w:p>
            <w:pPr>
              <w:spacing w:after="0"/>
              <w:rPr>
                <w:sz w:val="24"/>
                <w:szCs w:val="24"/>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FFFFFF"/>
              </w:rPr>
              <w:t>Drilling Systems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2</w:t>
            </w:r>
          </w:p>
        </w:tc>
        <w:tc>
          <w:tcPr>
            <w:tcW w:w="1220" w:type="dxa"/>
            <w:vAlign w:val="bottom"/>
          </w:tcPr>
          <w:p>
            <w:pPr>
              <w:ind w:left="100"/>
              <w:spacing w:after="0"/>
              <w:rPr>
                <w:sz w:val="20"/>
                <w:szCs w:val="20"/>
                <w:color w:val="auto"/>
              </w:rPr>
            </w:pPr>
            <w:r>
              <w:rPr>
                <w:rFonts w:ascii="Arial" w:cs="Arial" w:eastAsia="Arial" w:hAnsi="Arial"/>
                <w:sz w:val="13"/>
                <w:szCs w:val="13"/>
                <w:color w:val="FFFFFF"/>
              </w:rPr>
              <w:t>Testing Services</w:t>
            </w:r>
          </w:p>
        </w:tc>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FFFFFF"/>
              </w:rPr>
              <w:t>1</w:t>
            </w:r>
          </w:p>
        </w:tc>
        <w:tc>
          <w:tcPr>
            <w:tcW w:w="1260" w:type="dxa"/>
            <w:vAlign w:val="bottom"/>
          </w:tcPr>
          <w:p>
            <w:pPr>
              <w:ind w:left="100"/>
              <w:spacing w:after="0"/>
              <w:rPr>
                <w:sz w:val="20"/>
                <w:szCs w:val="20"/>
                <w:color w:val="auto"/>
              </w:rPr>
            </w:pPr>
            <w:r>
              <w:rPr>
                <w:rFonts w:ascii="Arial" w:cs="Arial" w:eastAsia="Arial" w:hAnsi="Arial"/>
                <w:sz w:val="13"/>
                <w:szCs w:val="13"/>
                <w:color w:val="FFFFFF"/>
              </w:rPr>
              <w:t>Geoservices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1</w:t>
            </w:r>
          </w:p>
        </w:tc>
        <w:tc>
          <w:tcPr>
            <w:tcW w:w="1220" w:type="dxa"/>
            <w:vAlign w:val="bottom"/>
          </w:tcPr>
          <w:p>
            <w:pPr>
              <w:ind w:left="80"/>
              <w:spacing w:after="0"/>
              <w:rPr>
                <w:sz w:val="20"/>
                <w:szCs w:val="20"/>
                <w:color w:val="auto"/>
              </w:rPr>
            </w:pPr>
            <w:r>
              <w:rPr>
                <w:rFonts w:ascii="Arial" w:cs="Arial" w:eastAsia="Arial" w:hAnsi="Arial"/>
                <w:sz w:val="13"/>
                <w:szCs w:val="13"/>
                <w:color w:val="FFFFFF"/>
              </w:rPr>
              <w:t>Completions</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w w:val="82"/>
              </w:rPr>
              <w:t>3</w:t>
            </w:r>
          </w:p>
        </w:tc>
      </w:tr>
      <w:tr>
        <w:trPr>
          <w:trHeight w:val="371"/>
        </w:trPr>
        <w:tc>
          <w:tcPr>
            <w:tcW w:w="8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3"/>
                <w:szCs w:val="13"/>
                <w:color w:val="FFFFFF"/>
                <w:w w:val="98"/>
              </w:rPr>
              <w:t>Valves &amp; Measurements</w:t>
            </w:r>
            <w:r>
              <w:rPr>
                <w:rFonts w:ascii="Arial" w:cs="Arial" w:eastAsia="Arial" w:hAnsi="Arial"/>
                <w:sz w:val="13"/>
                <w:szCs w:val="13"/>
                <w:b w:val="1"/>
                <w:bCs w:val="1"/>
                <w:color w:val="FFFFFF"/>
                <w:w w:val="98"/>
              </w:rPr>
              <w:t>1</w:t>
            </w:r>
          </w:p>
        </w:tc>
        <w:tc>
          <w:tcPr>
            <w:tcW w:w="1220" w:type="dxa"/>
            <w:vAlign w:val="bottom"/>
          </w:tcPr>
          <w:p>
            <w:pPr>
              <w:ind w:left="100"/>
              <w:spacing w:after="0"/>
              <w:rPr>
                <w:sz w:val="20"/>
                <w:szCs w:val="20"/>
                <w:color w:val="auto"/>
              </w:rPr>
            </w:pPr>
            <w:r>
              <w:rPr>
                <w:rFonts w:ascii="Arial" w:cs="Arial" w:eastAsia="Arial" w:hAnsi="Arial"/>
                <w:sz w:val="13"/>
                <w:szCs w:val="13"/>
                <w:color w:val="FFFFFF"/>
              </w:rPr>
              <w:t>WesternGeco</w:t>
            </w:r>
          </w:p>
        </w:tc>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FFFFFF"/>
              </w:rPr>
              <w:t>2</w:t>
            </w:r>
          </w:p>
        </w:tc>
        <w:tc>
          <w:tcPr>
            <w:tcW w:w="1260" w:type="dxa"/>
            <w:vAlign w:val="bottom"/>
          </w:tcPr>
          <w:p>
            <w:pPr>
              <w:ind w:left="120"/>
              <w:spacing w:after="0"/>
              <w:rPr>
                <w:sz w:val="20"/>
                <w:szCs w:val="20"/>
                <w:color w:val="auto"/>
              </w:rPr>
            </w:pPr>
            <w:r>
              <w:rPr>
                <w:rFonts w:ascii="Arial" w:cs="Arial" w:eastAsia="Arial" w:hAnsi="Arial"/>
                <w:sz w:val="13"/>
                <w:szCs w:val="13"/>
                <w:color w:val="FFFFFF"/>
              </w:rPr>
              <w:t>Bits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1</w:t>
            </w:r>
          </w:p>
        </w:tc>
        <w:tc>
          <w:tcPr>
            <w:tcW w:w="1220" w:type="dxa"/>
            <w:vAlign w:val="bottom"/>
          </w:tcPr>
          <w:p>
            <w:pPr>
              <w:ind w:left="80"/>
              <w:spacing w:after="0"/>
              <w:rPr>
                <w:sz w:val="20"/>
                <w:szCs w:val="20"/>
                <w:color w:val="auto"/>
              </w:rPr>
            </w:pPr>
            <w:r>
              <w:rPr>
                <w:rFonts w:ascii="Arial" w:cs="Arial" w:eastAsia="Arial" w:hAnsi="Arial"/>
                <w:sz w:val="13"/>
                <w:szCs w:val="13"/>
                <w:color w:val="FFFFFF"/>
              </w:rPr>
              <w:t>Artificial Lift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w w:val="82"/>
              </w:rPr>
              <w:t>2</w:t>
            </w:r>
          </w:p>
        </w:tc>
      </w:tr>
      <w:tr>
        <w:trPr>
          <w:trHeight w:val="403"/>
        </w:trPr>
        <w:tc>
          <w:tcPr>
            <w:tcW w:w="820" w:type="dxa"/>
            <w:vAlign w:val="bottom"/>
          </w:tcPr>
          <w:p>
            <w:pPr>
              <w:spacing w:after="0"/>
              <w:rPr>
                <w:sz w:val="24"/>
                <w:szCs w:val="24"/>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FFFFFF"/>
              </w:rPr>
              <w:t>Surface Systems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1</w:t>
            </w:r>
          </w:p>
        </w:tc>
        <w:tc>
          <w:tcPr>
            <w:tcW w:w="1220" w:type="dxa"/>
            <w:vAlign w:val="bottom"/>
          </w:tcPr>
          <w:p>
            <w:pPr>
              <w:ind w:left="120"/>
              <w:spacing w:after="0"/>
              <w:rPr>
                <w:sz w:val="20"/>
                <w:szCs w:val="20"/>
                <w:color w:val="auto"/>
              </w:rPr>
            </w:pPr>
            <w:r>
              <w:rPr>
                <w:rFonts w:ascii="Arial" w:cs="Arial" w:eastAsia="Arial" w:hAnsi="Arial"/>
                <w:sz w:val="13"/>
                <w:szCs w:val="13"/>
                <w:color w:val="FFFFFF"/>
              </w:rPr>
              <w:t>SIS*</w:t>
            </w:r>
          </w:p>
        </w:tc>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FFFFFF"/>
              </w:rPr>
              <w:t>1</w:t>
            </w:r>
          </w:p>
        </w:tc>
        <w:tc>
          <w:tcPr>
            <w:tcW w:w="1260" w:type="dxa"/>
            <w:vAlign w:val="bottom"/>
          </w:tcPr>
          <w:p>
            <w:pPr>
              <w:ind w:left="100"/>
              <w:spacing w:after="0"/>
              <w:rPr>
                <w:sz w:val="20"/>
                <w:szCs w:val="20"/>
                <w:color w:val="auto"/>
              </w:rPr>
            </w:pPr>
            <w:r>
              <w:rPr>
                <w:rFonts w:ascii="Arial" w:cs="Arial" w:eastAsia="Arial" w:hAnsi="Arial"/>
                <w:sz w:val="13"/>
                <w:szCs w:val="13"/>
                <w:color w:val="FFFFFF"/>
              </w:rPr>
              <w:t>M-I SWACO</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1</w:t>
            </w:r>
          </w:p>
        </w:tc>
        <w:tc>
          <w:tcPr>
            <w:tcW w:w="1220" w:type="dxa"/>
            <w:vAlign w:val="bottom"/>
          </w:tcPr>
          <w:p>
            <w:pPr>
              <w:ind w:left="80"/>
              <w:spacing w:after="0"/>
              <w:rPr>
                <w:sz w:val="20"/>
                <w:szCs w:val="20"/>
                <w:color w:val="auto"/>
              </w:rPr>
            </w:pPr>
            <w:r>
              <w:rPr>
                <w:rFonts w:ascii="Arial" w:cs="Arial" w:eastAsia="Arial" w:hAnsi="Arial"/>
                <w:sz w:val="13"/>
                <w:szCs w:val="13"/>
                <w:color w:val="FFFFFF"/>
              </w:rPr>
              <w:t>Well Intervention</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w w:val="82"/>
              </w:rPr>
              <w:t>1</w:t>
            </w:r>
          </w:p>
        </w:tc>
      </w:tr>
      <w:tr>
        <w:trPr>
          <w:trHeight w:val="393"/>
        </w:trPr>
        <w:tc>
          <w:tcPr>
            <w:tcW w:w="8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3"/>
                <w:szCs w:val="13"/>
                <w:color w:val="FFFFFF"/>
              </w:rPr>
              <w:t>Processing Systems</w:t>
            </w:r>
            <w:r>
              <w:rPr>
                <w:rFonts w:ascii="Arial" w:cs="Arial" w:eastAsia="Arial" w:hAnsi="Arial"/>
                <w:sz w:val="13"/>
                <w:szCs w:val="13"/>
                <w:b w:val="1"/>
                <w:bCs w:val="1"/>
                <w:color w:val="FFFFFF"/>
              </w:rPr>
              <w:t>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FFFFFF"/>
              </w:rPr>
              <w:t>Drilling Tools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FFFFFF"/>
                <w:w w:val="82"/>
              </w:rPr>
              <w:t>4</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310" w:lineRule="exact"/>
        <w:rPr>
          <w:sz w:val="20"/>
          <w:szCs w:val="20"/>
          <w:color w:val="auto"/>
        </w:rPr>
      </w:pPr>
    </w:p>
    <w:p>
      <w:pPr>
        <w:ind w:left="1300"/>
        <w:spacing w:after="0"/>
        <w:rPr>
          <w:sz w:val="20"/>
          <w:szCs w:val="20"/>
          <w:color w:val="auto"/>
        </w:rPr>
      </w:pPr>
      <w:r>
        <w:rPr>
          <w:rFonts w:ascii="Arial" w:cs="Arial" w:eastAsia="Arial" w:hAnsi="Arial"/>
          <w:sz w:val="8"/>
          <w:szCs w:val="8"/>
          <w:color w:val="FFFFFF"/>
        </w:rPr>
        <w:t>Notes: (1) Revenue year end 2014, (2) CAM and SLB SEC filings, IHS, Infield, Capital IQ, Spears, SLB and CAM, public sources,</w:t>
      </w:r>
    </w:p>
    <w:p>
      <w:pPr>
        <w:spacing w:after="0" w:line="3" w:lineRule="exact"/>
        <w:rPr>
          <w:sz w:val="20"/>
          <w:szCs w:val="20"/>
          <w:color w:val="auto"/>
        </w:rPr>
      </w:pPr>
    </w:p>
    <w:p>
      <w:pPr>
        <w:ind w:left="1520"/>
        <w:spacing w:after="0"/>
        <w:rPr>
          <w:sz w:val="20"/>
          <w:szCs w:val="20"/>
          <w:color w:val="auto"/>
        </w:rPr>
      </w:pPr>
      <w:r>
        <w:rPr>
          <w:rFonts w:ascii="Arial" w:cs="Arial" w:eastAsia="Arial" w:hAnsi="Arial"/>
          <w:sz w:val="8"/>
          <w:szCs w:val="8"/>
          <w:color w:val="FFFFFF"/>
        </w:rPr>
        <w:t>(3) Business Rank source: Spears Oilfield Market Report May 2015, * No ranking published by Spears; source: Schlumberger</w:t>
      </w:r>
    </w:p>
    <w:p>
      <w:pPr>
        <w:sectPr>
          <w:pgSz w:w="11900" w:h="16838" w:orient="portrait"/>
          <w:cols w:equalWidth="0" w:num="1">
            <w:col w:w="9599"/>
          </w:cols>
          <w:pgMar w:left="860" w:top="590" w:right="1440" w:bottom="1440" w:gutter="0" w:footer="0" w:header="0"/>
        </w:sectPr>
      </w:pPr>
    </w:p>
    <w:bookmarkStart w:id="6" w:name="page7"/>
    <w:bookmarkEnd w:id="6"/>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Expanding from Subsurface to Surface</w:t>
      </w:r>
    </w:p>
    <w:p>
      <w:pPr>
        <w:spacing w:after="0" w:line="200" w:lineRule="exact"/>
        <w:rPr>
          <w:sz w:val="20"/>
          <w:szCs w:val="20"/>
          <w:color w:val="auto"/>
        </w:rPr>
      </w:pPr>
    </w:p>
    <w:p>
      <w:pPr>
        <w:spacing w:after="0" w:line="306"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003366"/>
        </w:rPr>
        <w:t>Integrated Drilling Systems</w:t>
      </w:r>
    </w:p>
    <w:p>
      <w:pPr>
        <w:spacing w:after="0" w:line="51"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003366"/>
        </w:rPr>
        <w:t>Integrated Production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1839"/>
        <w:spacing w:after="0"/>
        <w:rPr>
          <w:sz w:val="20"/>
          <w:szCs w:val="20"/>
          <w:color w:val="auto"/>
        </w:rPr>
      </w:pPr>
      <w:r>
        <w:rPr>
          <w:rFonts w:ascii="Arial" w:cs="Arial" w:eastAsia="Arial" w:hAnsi="Arial"/>
          <w:sz w:val="25"/>
          <w:szCs w:val="25"/>
          <w:b w:val="1"/>
          <w:bCs w:val="1"/>
          <w:color w:val="003366"/>
        </w:rPr>
        <w:t>Wellhead+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Arial" w:cs="Arial" w:eastAsia="Arial" w:hAnsi="Arial"/>
          <w:sz w:val="25"/>
          <w:szCs w:val="25"/>
          <w:b w:val="1"/>
          <w:bCs w:val="1"/>
          <w:color w:val="003366"/>
        </w:rPr>
        <w:t>Well</w:t>
      </w:r>
    </w:p>
    <w:p>
      <w:pPr>
        <w:spacing w:after="0" w:line="200" w:lineRule="exact"/>
        <w:rPr>
          <w:sz w:val="20"/>
          <w:szCs w:val="20"/>
          <w:color w:val="auto"/>
        </w:rPr>
      </w:pPr>
    </w:p>
    <w:p>
      <w:pPr>
        <w:spacing w:after="0" w:line="372" w:lineRule="exact"/>
        <w:rPr>
          <w:sz w:val="20"/>
          <w:szCs w:val="20"/>
          <w:color w:val="auto"/>
        </w:rPr>
      </w:pPr>
    </w:p>
    <w:p>
      <w:pPr>
        <w:ind w:left="6500"/>
        <w:spacing w:after="0"/>
        <w:rPr>
          <w:sz w:val="20"/>
          <w:szCs w:val="20"/>
          <w:color w:val="auto"/>
        </w:rPr>
      </w:pPr>
      <w:r>
        <w:rPr>
          <w:rFonts w:ascii="Arial" w:cs="Arial" w:eastAsia="Arial" w:hAnsi="Arial"/>
          <w:sz w:val="25"/>
          <w:szCs w:val="25"/>
          <w:b w:val="1"/>
          <w:bCs w:val="1"/>
          <w:color w:val="003366"/>
        </w:rPr>
        <w:t>Reservoir</w:t>
      </w:r>
    </w:p>
    <w:p>
      <w:pPr>
        <w:sectPr>
          <w:pgSz w:w="11900" w:h="16838" w:orient="portrait"/>
          <w:cols w:equalWidth="0" w:num="1">
            <w:col w:w="9599"/>
          </w:cols>
          <w:pgMar w:left="860" w:top="590" w:right="1440" w:bottom="1440" w:gutter="0" w:footer="0" w:header="0"/>
        </w:sectPr>
      </w:pPr>
    </w:p>
    <w:bookmarkStart w:id="7" w:name="page8"/>
    <w:bookmarkEnd w:id="7"/>
    <w:p>
      <w:pPr>
        <w:spacing w:after="0"/>
        <w:rPr>
          <w:sz w:val="20"/>
          <w:szCs w:val="20"/>
          <w:color w:val="auto"/>
        </w:rPr>
      </w:pPr>
      <w:r>
        <w:rPr>
          <w:rFonts w:ascii="Arial" w:cs="Arial" w:eastAsia="Arial" w:hAnsi="Arial"/>
          <w:sz w:val="34"/>
          <w:szCs w:val="34"/>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Cost 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920"/>
        <w:spacing w:after="0"/>
        <w:rPr>
          <w:sz w:val="20"/>
          <w:szCs w:val="20"/>
          <w:color w:val="auto"/>
        </w:rPr>
      </w:pPr>
      <w:r>
        <w:rPr>
          <w:rFonts w:ascii="Arial" w:cs="Arial" w:eastAsia="Arial" w:hAnsi="Arial"/>
          <w:sz w:val="16"/>
          <w:szCs w:val="16"/>
          <w:color w:val="FFFFFF"/>
        </w:rPr>
        <w:t>Segment &amp;</w:t>
      </w:r>
    </w:p>
    <w:p>
      <w:pPr>
        <w:spacing w:after="0" w:line="7" w:lineRule="exact"/>
        <w:rPr>
          <w:sz w:val="20"/>
          <w:szCs w:val="20"/>
          <w:color w:val="auto"/>
        </w:rPr>
      </w:pPr>
    </w:p>
    <w:p>
      <w:pPr>
        <w:ind w:left="1700"/>
        <w:spacing w:after="0"/>
        <w:rPr>
          <w:sz w:val="20"/>
          <w:szCs w:val="20"/>
          <w:color w:val="auto"/>
        </w:rPr>
      </w:pPr>
      <w:r>
        <w:rPr>
          <w:rFonts w:ascii="Arial" w:cs="Arial" w:eastAsia="Arial" w:hAnsi="Arial"/>
          <w:sz w:val="16"/>
          <w:szCs w:val="16"/>
          <w:color w:val="FFFFFF"/>
        </w:rPr>
        <w:t>Geographical G&amp;A</w:t>
      </w:r>
    </w:p>
    <w:p>
      <w:pPr>
        <w:spacing w:after="0" w:line="163" w:lineRule="exact"/>
        <w:rPr>
          <w:sz w:val="20"/>
          <w:szCs w:val="20"/>
          <w:color w:val="auto"/>
        </w:rPr>
      </w:pPr>
    </w:p>
    <w:p>
      <w:pPr>
        <w:jc w:val="both"/>
        <w:ind w:left="1380"/>
        <w:spacing w:after="0"/>
        <w:tabs>
          <w:tab w:leader="none" w:pos="2380" w:val="left"/>
        </w:tabs>
        <w:rPr>
          <w:sz w:val="20"/>
          <w:szCs w:val="20"/>
          <w:color w:val="auto"/>
        </w:rPr>
      </w:pPr>
      <w:r>
        <w:rPr>
          <w:rFonts w:ascii="Arial" w:cs="Arial" w:eastAsia="Arial" w:hAnsi="Arial"/>
          <w:sz w:val="16"/>
          <w:szCs w:val="16"/>
          <w:color w:val="FFFFFF"/>
        </w:rPr>
        <w:t>Operational</w:t>
        <w:tab/>
        <w:t>Corporate</w:t>
      </w:r>
    </w:p>
    <w:p>
      <w:pPr>
        <w:spacing w:after="0" w:line="11" w:lineRule="exact"/>
        <w:rPr>
          <w:sz w:val="20"/>
          <w:szCs w:val="20"/>
          <w:color w:val="auto"/>
        </w:rPr>
      </w:pPr>
    </w:p>
    <w:p>
      <w:pPr>
        <w:ind w:left="1560"/>
        <w:spacing w:after="0"/>
        <w:tabs>
          <w:tab w:leader="none" w:pos="2540" w:val="left"/>
        </w:tabs>
        <w:rPr>
          <w:sz w:val="20"/>
          <w:szCs w:val="20"/>
          <w:color w:val="auto"/>
        </w:rPr>
      </w:pPr>
      <w:r>
        <w:rPr>
          <w:rFonts w:ascii="Arial" w:cs="Arial" w:eastAsia="Arial" w:hAnsi="Arial"/>
          <w:sz w:val="16"/>
          <w:szCs w:val="16"/>
          <w:color w:val="FFFFFF"/>
        </w:rPr>
        <w:t>Costs</w:t>
      </w:r>
      <w:r>
        <w:rPr>
          <w:sz w:val="20"/>
          <w:szCs w:val="20"/>
          <w:color w:val="auto"/>
        </w:rPr>
        <w:tab/>
      </w:r>
      <w:r>
        <w:rPr>
          <w:rFonts w:ascii="Arial" w:cs="Arial" w:eastAsia="Arial" w:hAnsi="Arial"/>
          <w:sz w:val="16"/>
          <w:szCs w:val="16"/>
          <w:color w:val="FFFFFF"/>
        </w:rPr>
        <w:t>G&amp;A</w:t>
      </w:r>
    </w:p>
    <w:p>
      <w:pPr>
        <w:spacing w:after="0" w:line="145" w:lineRule="exact"/>
        <w:rPr>
          <w:sz w:val="20"/>
          <w:szCs w:val="20"/>
          <w:color w:val="auto"/>
        </w:rPr>
      </w:pPr>
    </w:p>
    <w:p>
      <w:pPr>
        <w:ind w:left="1920"/>
        <w:spacing w:after="0"/>
        <w:rPr>
          <w:sz w:val="20"/>
          <w:szCs w:val="20"/>
          <w:color w:val="auto"/>
        </w:rPr>
      </w:pPr>
      <w:r>
        <w:rPr>
          <w:rFonts w:ascii="Arial" w:cs="Arial" w:eastAsia="Arial" w:hAnsi="Arial"/>
          <w:sz w:val="16"/>
          <w:szCs w:val="16"/>
          <w:color w:val="FFFFFF"/>
        </w:rPr>
        <w:t>Back-office</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Support</w:t>
      </w:r>
    </w:p>
    <w:p>
      <w:pPr>
        <w:sectPr>
          <w:pgSz w:w="11900" w:h="16838" w:orient="portrait"/>
          <w:cols w:equalWidth="0" w:num="1">
            <w:col w:w="9539"/>
          </w:cols>
          <w:pgMar w:left="920" w:top="596" w:right="1440" w:bottom="1440" w:gutter="0" w:footer="0" w:header="0"/>
        </w:sectPr>
      </w:pPr>
    </w:p>
    <w:bookmarkStart w:id="8" w:name="page9"/>
    <w:bookmarkEnd w:id="8"/>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Revenue Benefits</w:t>
      </w:r>
    </w:p>
    <w:p>
      <w:pPr>
        <w:sectPr>
          <w:pgSz w:w="11900" w:h="16838" w:orient="portrait"/>
          <w:cols w:equalWidth="0" w:num="1">
            <w:col w:w="9579"/>
          </w:cols>
          <w:pgMar w:left="880" w:top="5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FFD13F"/>
        </w:rPr>
        <w:t>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Customers</w:t>
      </w:r>
    </w:p>
    <w:p>
      <w:pPr>
        <w:spacing w:after="0" w:line="100" w:lineRule="exact"/>
        <w:rPr>
          <w:sz w:val="20"/>
          <w:szCs w:val="20"/>
          <w:color w:val="auto"/>
        </w:rPr>
      </w:pPr>
    </w:p>
    <w:p>
      <w:pPr>
        <w:sectPr>
          <w:pgSz w:w="11900" w:h="16838" w:orient="portrait"/>
          <w:cols w:equalWidth="0" w:num="2">
            <w:col w:w="1860" w:space="480"/>
            <w:col w:w="7239"/>
          </w:cols>
          <w:pgMar w:left="880" w:top="590" w:right="1440" w:bottom="1440" w:gutter="0" w:footer="0" w:header="0"/>
          <w:type w:val="continuous"/>
        </w:sectPr>
      </w:pPr>
    </w:p>
    <w:p>
      <w:pPr>
        <w:ind w:left="2560"/>
        <w:spacing w:after="0"/>
        <w:rPr>
          <w:sz w:val="20"/>
          <w:szCs w:val="20"/>
          <w:color w:val="auto"/>
        </w:rPr>
      </w:pPr>
      <w:r>
        <w:rPr>
          <w:rFonts w:ascii="Arial" w:cs="Arial" w:eastAsia="Arial" w:hAnsi="Arial"/>
          <w:sz w:val="20"/>
          <w:szCs w:val="20"/>
          <w:color w:val="FFFFFF"/>
        </w:rPr>
        <w:t>Increase recovery 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FFFFFF"/>
        </w:rPr>
        <w:t>Expand our customer base</w:t>
      </w:r>
    </w:p>
    <w:p>
      <w:pPr>
        <w:spacing w:after="0" w:line="35" w:lineRule="exact"/>
        <w:rPr>
          <w:sz w:val="20"/>
          <w:szCs w:val="20"/>
          <w:color w:val="auto"/>
        </w:rPr>
      </w:pPr>
    </w:p>
    <w:p>
      <w:pPr>
        <w:sectPr>
          <w:pgSz w:w="11900" w:h="16838" w:orient="portrait"/>
          <w:cols w:equalWidth="0" w:num="2">
            <w:col w:w="4740" w:space="720"/>
            <w:col w:w="4119"/>
          </w:cols>
          <w:pgMar w:left="880" w:top="590" w:right="1440" w:bottom="1440" w:gutter="0" w:footer="0" w:header="0"/>
          <w:type w:val="continuous"/>
        </w:sectPr>
      </w:pPr>
    </w:p>
    <w:p>
      <w:pPr>
        <w:ind w:left="2560"/>
        <w:spacing w:after="0"/>
        <w:rPr>
          <w:sz w:val="20"/>
          <w:szCs w:val="20"/>
          <w:color w:val="auto"/>
        </w:rPr>
      </w:pPr>
      <w:r>
        <w:rPr>
          <w:rFonts w:ascii="Arial" w:cs="Arial" w:eastAsia="Arial" w:hAnsi="Arial"/>
          <w:sz w:val="20"/>
          <w:szCs w:val="20"/>
          <w:color w:val="FFFFFF"/>
        </w:rPr>
        <w:t>Reduce costs per barrel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FFFFFF"/>
        </w:rPr>
        <w:t>Leverage our global footprint</w:t>
      </w:r>
    </w:p>
    <w:p>
      <w:pPr>
        <w:spacing w:after="0" w:line="35" w:lineRule="exact"/>
        <w:rPr>
          <w:sz w:val="20"/>
          <w:szCs w:val="20"/>
          <w:color w:val="auto"/>
        </w:rPr>
      </w:pPr>
    </w:p>
    <w:p>
      <w:pPr>
        <w:sectPr>
          <w:pgSz w:w="11900" w:h="16838" w:orient="portrait"/>
          <w:cols w:equalWidth="0" w:num="2">
            <w:col w:w="4740" w:space="720"/>
            <w:col w:w="4119"/>
          </w:cols>
          <w:pgMar w:left="880" w:top="590" w:right="1440" w:bottom="1440" w:gutter="0" w:footer="0" w:header="0"/>
          <w:type w:val="continuous"/>
        </w:sectPr>
      </w:pPr>
    </w:p>
    <w:p>
      <w:pPr>
        <w:ind w:left="2560"/>
        <w:spacing w:after="0"/>
        <w:rPr>
          <w:sz w:val="20"/>
          <w:szCs w:val="20"/>
          <w:color w:val="auto"/>
        </w:rPr>
      </w:pPr>
      <w:r>
        <w:rPr>
          <w:rFonts w:ascii="Arial" w:cs="Arial" w:eastAsia="Arial" w:hAnsi="Arial"/>
          <w:sz w:val="20"/>
          <w:szCs w:val="20"/>
          <w:color w:val="FFFFFF"/>
        </w:rPr>
        <w:t>Closer commercial alignment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FFFFFF"/>
        </w:rPr>
        <w:t>Broaden our technology portfolio</w:t>
      </w:r>
    </w:p>
    <w:p>
      <w:pPr>
        <w:spacing w:after="0" w:line="200" w:lineRule="exact"/>
        <w:rPr>
          <w:sz w:val="20"/>
          <w:szCs w:val="20"/>
          <w:color w:val="auto"/>
        </w:rPr>
      </w:pPr>
    </w:p>
    <w:p>
      <w:pPr>
        <w:sectPr>
          <w:pgSz w:w="11900" w:h="16838" w:orient="portrait"/>
          <w:cols w:equalWidth="0" w:num="2">
            <w:col w:w="5160" w:space="300"/>
            <w:col w:w="4119"/>
          </w:cols>
          <w:pgMar w:left="880" w:top="590" w:right="1440" w:bottom="1440" w:gutter="0" w:footer="0" w:header="0"/>
          <w:type w:val="continuous"/>
        </w:sectPr>
      </w:pPr>
    </w:p>
    <w:p>
      <w:pPr>
        <w:spacing w:after="0" w:line="278" w:lineRule="exact"/>
        <w:rPr>
          <w:sz w:val="20"/>
          <w:szCs w:val="20"/>
          <w:color w:val="auto"/>
        </w:rPr>
      </w:pPr>
    </w:p>
    <w:p>
      <w:pPr>
        <w:ind w:left="2500"/>
        <w:spacing w:after="0"/>
        <w:tabs>
          <w:tab w:leader="none" w:pos="5740" w:val="left"/>
        </w:tabs>
        <w:rPr>
          <w:sz w:val="20"/>
          <w:szCs w:val="20"/>
          <w:color w:val="auto"/>
        </w:rPr>
      </w:pPr>
      <w:r>
        <w:rPr>
          <w:rFonts w:ascii="Arial" w:cs="Arial" w:eastAsia="Arial" w:hAnsi="Arial"/>
          <w:sz w:val="20"/>
          <w:szCs w:val="20"/>
          <w:color w:val="FFFFFF"/>
        </w:rPr>
        <w:t>Automation</w:t>
      </w:r>
      <w:r>
        <w:rPr>
          <w:sz w:val="20"/>
          <w:szCs w:val="20"/>
          <w:color w:val="auto"/>
        </w:rPr>
        <w:tab/>
      </w:r>
      <w:r>
        <w:rPr>
          <w:rFonts w:ascii="Arial" w:cs="Arial" w:eastAsia="Arial" w:hAnsi="Arial"/>
          <w:sz w:val="20"/>
          <w:szCs w:val="20"/>
          <w:color w:val="FFFFFF"/>
        </w:rPr>
        <w:t>Performance</w:t>
      </w:r>
    </w:p>
    <w:p>
      <w:pPr>
        <w:spacing w:after="0" w:line="11" w:lineRule="exact"/>
        <w:rPr>
          <w:sz w:val="20"/>
          <w:szCs w:val="20"/>
          <w:color w:val="auto"/>
        </w:rPr>
      </w:pPr>
    </w:p>
    <w:p>
      <w:pPr>
        <w:ind w:left="1140"/>
        <w:spacing w:after="0"/>
        <w:tabs>
          <w:tab w:leader="none" w:pos="3960" w:val="left"/>
        </w:tabs>
        <w:rPr>
          <w:sz w:val="20"/>
          <w:szCs w:val="20"/>
          <w:color w:val="auto"/>
        </w:rPr>
      </w:pPr>
      <w:r>
        <w:rPr>
          <w:rFonts w:ascii="Arial" w:cs="Arial" w:eastAsia="Arial" w:hAnsi="Arial"/>
          <w:sz w:val="24"/>
          <w:szCs w:val="24"/>
          <w:b w:val="1"/>
          <w:bCs w:val="1"/>
          <w:color w:val="FFD13F"/>
        </w:rPr>
        <w:t xml:space="preserve">Integration </w:t>
      </w:r>
      <w:r>
        <w:rPr>
          <w:rFonts w:ascii="Arial" w:cs="Arial" w:eastAsia="Arial" w:hAnsi="Arial"/>
          <w:sz w:val="20"/>
          <w:szCs w:val="20"/>
          <w:color w:val="FFFFFF"/>
        </w:rPr>
        <w:t>Software</w:t>
      </w:r>
      <w:r>
        <w:rPr>
          <w:sz w:val="20"/>
          <w:szCs w:val="20"/>
          <w:color w:val="auto"/>
        </w:rPr>
        <w:tab/>
      </w:r>
      <w:r>
        <w:rPr>
          <w:rFonts w:ascii="Arial" w:cs="Arial" w:eastAsia="Arial" w:hAnsi="Arial"/>
          <w:sz w:val="20"/>
          <w:szCs w:val="20"/>
          <w:color w:val="FFFFFF"/>
        </w:rPr>
        <w:t>System Integration Services</w:t>
      </w:r>
    </w:p>
    <w:p>
      <w:pPr>
        <w:spacing w:after="0" w:line="17" w:lineRule="exact"/>
        <w:rPr>
          <w:sz w:val="20"/>
          <w:szCs w:val="20"/>
          <w:color w:val="auto"/>
        </w:rPr>
      </w:pPr>
    </w:p>
    <w:p>
      <w:pPr>
        <w:ind w:left="2500"/>
        <w:spacing w:after="0"/>
        <w:tabs>
          <w:tab w:leader="none" w:pos="5740" w:val="left"/>
        </w:tabs>
        <w:rPr>
          <w:sz w:val="20"/>
          <w:szCs w:val="20"/>
          <w:color w:val="auto"/>
        </w:rPr>
      </w:pPr>
      <w:r>
        <w:rPr>
          <w:rFonts w:ascii="Arial" w:cs="Arial" w:eastAsia="Arial" w:hAnsi="Arial"/>
          <w:sz w:val="20"/>
          <w:szCs w:val="20"/>
          <w:color w:val="FFFFFF"/>
        </w:rPr>
        <w:t>Instrumentation</w:t>
      </w:r>
      <w:r>
        <w:rPr>
          <w:sz w:val="20"/>
          <w:szCs w:val="20"/>
          <w:color w:val="auto"/>
        </w:rPr>
        <w:tab/>
      </w:r>
      <w:r>
        <w:rPr>
          <w:rFonts w:ascii="Arial" w:cs="Arial" w:eastAsia="Arial" w:hAnsi="Arial"/>
          <w:sz w:val="20"/>
          <w:szCs w:val="20"/>
          <w:color w:val="FFFFFF"/>
        </w:rPr>
        <w:t>Rentals</w:t>
      </w:r>
    </w:p>
    <w:p>
      <w:pPr>
        <w:sectPr>
          <w:pgSz w:w="11900" w:h="16838" w:orient="portrait"/>
          <w:cols w:equalWidth="0" w:num="1">
            <w:col w:w="9579"/>
          </w:cols>
          <w:pgMar w:left="880" w:top="5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4"/>
          <w:szCs w:val="34"/>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OneSubseaAccelerating– the Implementation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40"/>
        <w:spacing w:after="0"/>
        <w:rPr>
          <w:sz w:val="20"/>
          <w:szCs w:val="20"/>
          <w:color w:val="auto"/>
        </w:rPr>
      </w:pPr>
      <w:r>
        <w:rPr>
          <w:rFonts w:ascii="Arial" w:cs="Arial" w:eastAsia="Arial" w:hAnsi="Arial"/>
          <w:sz w:val="21"/>
          <w:szCs w:val="21"/>
          <w:color w:val="003366"/>
        </w:rPr>
        <w:t>Expand customer base and geographical coverage</w:t>
      </w:r>
    </w:p>
    <w:p>
      <w:pPr>
        <w:spacing w:after="0" w:line="98" w:lineRule="exact"/>
        <w:rPr>
          <w:sz w:val="20"/>
          <w:szCs w:val="20"/>
          <w:color w:val="auto"/>
        </w:rPr>
      </w:pPr>
    </w:p>
    <w:p>
      <w:pPr>
        <w:ind w:left="1440"/>
        <w:spacing w:after="0"/>
        <w:rPr>
          <w:sz w:val="20"/>
          <w:szCs w:val="20"/>
          <w:color w:val="auto"/>
        </w:rPr>
      </w:pPr>
      <w:r>
        <w:rPr>
          <w:rFonts w:ascii="Arial" w:cs="Arial" w:eastAsia="Arial" w:hAnsi="Arial"/>
          <w:sz w:val="21"/>
          <w:szCs w:val="21"/>
          <w:color w:val="003366"/>
        </w:rPr>
        <w:t>Introduce performance based boosting contracts</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21"/>
          <w:szCs w:val="21"/>
          <w:color w:val="003366"/>
        </w:rPr>
        <w:t>Accelerate joint R&amp;E with Completion and Artificial Lift product lines</w:t>
      </w:r>
    </w:p>
    <w:p>
      <w:pPr>
        <w:spacing w:after="0" w:line="98" w:lineRule="exact"/>
        <w:rPr>
          <w:sz w:val="20"/>
          <w:szCs w:val="20"/>
          <w:color w:val="auto"/>
        </w:rPr>
      </w:pPr>
    </w:p>
    <w:p>
      <w:pPr>
        <w:ind w:left="1440"/>
        <w:spacing w:after="0"/>
        <w:rPr>
          <w:sz w:val="20"/>
          <w:szCs w:val="20"/>
          <w:color w:val="auto"/>
        </w:rPr>
      </w:pPr>
      <w:r>
        <w:rPr>
          <w:rFonts w:ascii="Arial" w:cs="Arial" w:eastAsia="Arial" w:hAnsi="Arial"/>
          <w:sz w:val="21"/>
          <w:szCs w:val="21"/>
          <w:color w:val="003366"/>
        </w:rPr>
        <w:t>Leverage reservoir knowledge in early design phase discussions</w:t>
      </w:r>
    </w:p>
    <w:p>
      <w:pPr>
        <w:spacing w:after="0" w:line="98" w:lineRule="exact"/>
        <w:rPr>
          <w:sz w:val="20"/>
          <w:szCs w:val="20"/>
          <w:color w:val="auto"/>
        </w:rPr>
      </w:pPr>
    </w:p>
    <w:p>
      <w:pPr>
        <w:ind w:left="1440"/>
        <w:spacing w:after="0"/>
        <w:rPr>
          <w:sz w:val="20"/>
          <w:szCs w:val="20"/>
          <w:color w:val="auto"/>
        </w:rPr>
      </w:pPr>
      <w:r>
        <w:rPr>
          <w:rFonts w:ascii="Arial" w:cs="Arial" w:eastAsia="Arial" w:hAnsi="Arial"/>
          <w:sz w:val="21"/>
          <w:szCs w:val="21"/>
          <w:color w:val="003366"/>
        </w:rPr>
        <w:t>Increase focus on design simplification and cost efficiency</w:t>
      </w:r>
    </w:p>
    <w:p>
      <w:pPr>
        <w:sectPr>
          <w:pgSz w:w="11900" w:h="16838" w:orient="portrait"/>
          <w:cols w:equalWidth="0" w:num="1">
            <w:col w:w="9599"/>
          </w:cols>
          <w:pgMar w:left="860" w:top="617" w:right="1440" w:bottom="1440" w:gutter="0" w:footer="0" w:header="0"/>
        </w:sectPr>
      </w:pPr>
    </w:p>
    <w:bookmarkStart w:id="10" w:name="page11"/>
    <w:bookmarkEnd w:id="10"/>
    <w:p>
      <w:pPr>
        <w:ind w:left="320"/>
        <w:spacing w:after="0"/>
        <w:rPr>
          <w:sz w:val="20"/>
          <w:szCs w:val="20"/>
          <w:color w:val="auto"/>
        </w:rPr>
      </w:pPr>
      <w:r>
        <w:rPr>
          <w:rFonts w:ascii="Arial" w:cs="Arial" w:eastAsia="Arial" w:hAnsi="Arial"/>
          <w:sz w:val="32"/>
          <w:szCs w:val="32"/>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BOP Non-Productive Time</w:t>
      </w:r>
      <w:r>
        <w:rPr>
          <w:rFonts w:ascii="Arial" w:cs="Arial" w:eastAsia="Arial" w:hAnsi="Arial"/>
          <w:sz w:val="30"/>
          <w:szCs w:val="30"/>
          <w:color w:val="003366"/>
        </w:rPr>
        <w:t>Addressing</w:t>
      </w:r>
      <w:r>
        <w:rPr>
          <w:rFonts w:ascii="Arial" w:cs="Arial" w:eastAsia="Arial" w:hAnsi="Arial"/>
          <w:sz w:val="32"/>
          <w:szCs w:val="32"/>
          <w:color w:val="003366"/>
        </w:rPr>
        <w:t xml:space="preserve">– </w:t>
      </w:r>
      <w:r>
        <w:rPr>
          <w:rFonts w:ascii="Arial" w:cs="Arial" w:eastAsia="Arial" w:hAnsi="Arial"/>
          <w:sz w:val="30"/>
          <w:szCs w:val="30"/>
          <w:color w:val="003366"/>
        </w:rPr>
        <w:t>the Industry Issue</w:t>
      </w:r>
    </w:p>
    <w:p>
      <w:pPr>
        <w:spacing w:after="0" w:line="200" w:lineRule="exact"/>
        <w:rPr>
          <w:sz w:val="20"/>
          <w:szCs w:val="20"/>
          <w:color w:val="auto"/>
        </w:rPr>
      </w:pPr>
    </w:p>
    <w:p>
      <w:pPr>
        <w:spacing w:after="0" w:line="375" w:lineRule="exact"/>
        <w:rPr>
          <w:sz w:val="20"/>
          <w:szCs w:val="20"/>
          <w:color w:val="auto"/>
        </w:rPr>
      </w:pPr>
    </w:p>
    <w:p>
      <w:pPr>
        <w:ind w:left="4580"/>
        <w:spacing w:after="0"/>
        <w:rPr>
          <w:sz w:val="20"/>
          <w:szCs w:val="20"/>
          <w:color w:val="auto"/>
        </w:rPr>
      </w:pPr>
      <w:r>
        <w:rPr>
          <w:rFonts w:ascii="Arial" w:cs="Arial" w:eastAsia="Arial" w:hAnsi="Arial"/>
          <w:sz w:val="21"/>
          <w:szCs w:val="21"/>
          <w:color w:val="003366"/>
        </w:rPr>
        <w:t>Largest installed base of BOPs</w:t>
      </w:r>
    </w:p>
    <w:p>
      <w:pPr>
        <w:spacing w:after="0" w:line="310" w:lineRule="exact"/>
        <w:rPr>
          <w:sz w:val="20"/>
          <w:szCs w:val="20"/>
          <w:color w:val="auto"/>
        </w:rPr>
      </w:pPr>
    </w:p>
    <w:p>
      <w:pPr>
        <w:ind w:left="4580"/>
        <w:spacing w:after="0"/>
        <w:rPr>
          <w:sz w:val="20"/>
          <w:szCs w:val="20"/>
          <w:color w:val="auto"/>
        </w:rPr>
      </w:pPr>
      <w:r>
        <w:rPr>
          <w:rFonts w:ascii="Arial" w:cs="Arial" w:eastAsia="Arial" w:hAnsi="Arial"/>
          <w:sz w:val="21"/>
          <w:szCs w:val="21"/>
          <w:color w:val="003366"/>
        </w:rPr>
        <w:t>Introduce service based business models</w:t>
      </w:r>
    </w:p>
    <w:p>
      <w:pPr>
        <w:spacing w:after="0" w:line="321" w:lineRule="exact"/>
        <w:rPr>
          <w:sz w:val="20"/>
          <w:szCs w:val="20"/>
          <w:color w:val="auto"/>
        </w:rPr>
      </w:pPr>
    </w:p>
    <w:p>
      <w:pPr>
        <w:jc w:val="right"/>
        <w:ind w:right="1779"/>
        <w:spacing w:after="0"/>
        <w:rPr>
          <w:sz w:val="20"/>
          <w:szCs w:val="20"/>
          <w:color w:val="auto"/>
        </w:rPr>
      </w:pPr>
      <w:r>
        <w:rPr>
          <w:rFonts w:ascii="Arial" w:cs="Arial" w:eastAsia="Arial" w:hAnsi="Arial"/>
          <w:sz w:val="21"/>
          <w:szCs w:val="21"/>
          <w:color w:val="003366"/>
        </w:rPr>
        <w:t>Launch R&amp;E program for future BOPs</w:t>
      </w:r>
    </w:p>
    <w:p>
      <w:pPr>
        <w:spacing w:after="0" w:line="200" w:lineRule="exact"/>
        <w:rPr>
          <w:sz w:val="20"/>
          <w:szCs w:val="20"/>
          <w:color w:val="auto"/>
        </w:rPr>
      </w:pPr>
    </w:p>
    <w:p>
      <w:pPr>
        <w:spacing w:after="0" w:line="372" w:lineRule="exact"/>
        <w:rPr>
          <w:sz w:val="20"/>
          <w:szCs w:val="20"/>
          <w:color w:val="auto"/>
        </w:rPr>
      </w:pPr>
    </w:p>
    <w:p>
      <w:pPr>
        <w:jc w:val="both"/>
        <w:ind w:left="4380"/>
        <w:spacing w:after="0"/>
        <w:tabs>
          <w:tab w:leader="none" w:pos="5880" w:val="left"/>
          <w:tab w:leader="none" w:pos="7280" w:val="left"/>
        </w:tabs>
        <w:rPr>
          <w:sz w:val="20"/>
          <w:szCs w:val="20"/>
          <w:color w:val="auto"/>
        </w:rPr>
      </w:pPr>
      <w:r>
        <w:rPr>
          <w:rFonts w:ascii="Arial" w:cs="Arial" w:eastAsia="Arial" w:hAnsi="Arial"/>
          <w:sz w:val="20"/>
          <w:szCs w:val="20"/>
          <w:b w:val="1"/>
          <w:bCs w:val="1"/>
          <w:color w:val="003366"/>
        </w:rPr>
        <w:t>Floaters</w:t>
      </w:r>
      <w:r>
        <w:rPr>
          <w:sz w:val="20"/>
          <w:szCs w:val="20"/>
          <w:color w:val="auto"/>
        </w:rPr>
        <w:tab/>
      </w:r>
      <w:r>
        <w:rPr>
          <w:rFonts w:ascii="Arial" w:cs="Arial" w:eastAsia="Arial" w:hAnsi="Arial"/>
          <w:sz w:val="20"/>
          <w:szCs w:val="20"/>
          <w:b w:val="1"/>
          <w:bCs w:val="1"/>
          <w:color w:val="003366"/>
        </w:rPr>
        <w:t>Jackups</w:t>
      </w:r>
      <w:r>
        <w:rPr>
          <w:sz w:val="20"/>
          <w:szCs w:val="20"/>
          <w:color w:val="auto"/>
        </w:rPr>
        <w:tab/>
      </w:r>
      <w:r>
        <w:rPr>
          <w:rFonts w:ascii="Arial" w:cs="Arial" w:eastAsia="Arial" w:hAnsi="Arial"/>
          <w:sz w:val="20"/>
          <w:szCs w:val="20"/>
          <w:b w:val="1"/>
          <w:bCs w:val="1"/>
          <w:color w:val="003366"/>
        </w:rPr>
        <w:t>Onshore</w:t>
      </w:r>
    </w:p>
    <w:p>
      <w:pPr>
        <w:spacing w:after="0" w:line="34" w:lineRule="exact"/>
        <w:rPr>
          <w:sz w:val="20"/>
          <w:szCs w:val="20"/>
          <w:color w:val="auto"/>
        </w:rPr>
      </w:pPr>
    </w:p>
    <w:p>
      <w:pPr>
        <w:ind w:left="4460"/>
        <w:spacing w:after="0"/>
        <w:tabs>
          <w:tab w:leader="none" w:pos="5960" w:val="left"/>
          <w:tab w:leader="none" w:pos="7320" w:val="left"/>
        </w:tabs>
        <w:rPr>
          <w:sz w:val="20"/>
          <w:szCs w:val="20"/>
          <w:color w:val="auto"/>
        </w:rPr>
      </w:pPr>
      <w:r>
        <w:rPr>
          <w:rFonts w:ascii="Arial" w:cs="Arial" w:eastAsia="Arial" w:hAnsi="Arial"/>
          <w:sz w:val="16"/>
          <w:szCs w:val="16"/>
          <w:color w:val="003366"/>
        </w:rPr>
        <w:t>284 Rigs</w:t>
      </w:r>
      <w:r>
        <w:rPr>
          <w:sz w:val="20"/>
          <w:szCs w:val="20"/>
          <w:color w:val="auto"/>
        </w:rPr>
        <w:tab/>
      </w:r>
      <w:r>
        <w:rPr>
          <w:rFonts w:ascii="Arial" w:cs="Arial" w:eastAsia="Arial" w:hAnsi="Arial"/>
          <w:sz w:val="16"/>
          <w:szCs w:val="16"/>
          <w:color w:val="003366"/>
        </w:rPr>
        <w:t>492 Rigs</w:t>
      </w:r>
      <w:r>
        <w:rPr>
          <w:sz w:val="20"/>
          <w:szCs w:val="20"/>
          <w:color w:val="auto"/>
        </w:rPr>
        <w:tab/>
      </w:r>
      <w:r>
        <w:rPr>
          <w:rFonts w:ascii="Arial" w:cs="Arial" w:eastAsia="Arial" w:hAnsi="Arial"/>
          <w:sz w:val="15"/>
          <w:szCs w:val="15"/>
          <w:color w:val="003366"/>
        </w:rPr>
        <w:t>1,789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Source: IHS-Petrodata, Internal data. *Active fleet only (newbuilds not included)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3"/>
          <w:szCs w:val="13"/>
          <w:color w:val="7F7F7F"/>
        </w:rPr>
        <w:t>10</w:t>
      </w:r>
    </w:p>
    <w:p>
      <w:pPr>
        <w:sectPr>
          <w:pgSz w:w="11900" w:h="16838" w:orient="portrait"/>
          <w:cols w:equalWidth="0" w:num="1">
            <w:col w:w="9919"/>
          </w:cols>
          <w:pgMar w:left="540" w:top="628" w:right="1440" w:bottom="1440" w:gutter="0" w:footer="0" w:header="0"/>
        </w:sectPr>
      </w:pPr>
    </w:p>
    <w:bookmarkStart w:id="11" w:name="page12"/>
    <w:bookmarkEnd w:id="11"/>
    <w:p>
      <w:pPr>
        <w:spacing w:after="0"/>
        <w:rPr>
          <w:sz w:val="20"/>
          <w:szCs w:val="20"/>
          <w:color w:val="auto"/>
        </w:rPr>
      </w:pPr>
      <w:r>
        <w:rPr>
          <w:rFonts w:ascii="Arial" w:cs="Arial" w:eastAsia="Arial" w:hAnsi="Arial"/>
          <w:sz w:val="34"/>
          <w:szCs w:val="34"/>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Rig of the FutureThe– New Land Drilling System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003366"/>
        </w:rPr>
        <w:t>Design</w:t>
      </w:r>
    </w:p>
    <w:p>
      <w:pPr>
        <w:spacing w:after="0" w:line="82" w:lineRule="exact"/>
        <w:rPr>
          <w:sz w:val="20"/>
          <w:szCs w:val="20"/>
          <w:color w:val="auto"/>
        </w:rPr>
      </w:pPr>
    </w:p>
    <w:p>
      <w:pPr>
        <w:ind w:left="4720"/>
        <w:spacing w:after="0"/>
        <w:rPr>
          <w:sz w:val="20"/>
          <w:szCs w:val="20"/>
          <w:color w:val="auto"/>
        </w:rPr>
      </w:pPr>
      <w:r>
        <w:rPr>
          <w:rFonts w:ascii="Arial" w:cs="Arial" w:eastAsia="Arial" w:hAnsi="Arial"/>
          <w:sz w:val="21"/>
          <w:szCs w:val="21"/>
          <w:color w:val="003366"/>
        </w:rPr>
        <w:t>Proprietary features based on years of R&amp;E</w:t>
      </w:r>
    </w:p>
    <w:p>
      <w:pPr>
        <w:spacing w:after="0" w:line="337" w:lineRule="exact"/>
        <w:rPr>
          <w:sz w:val="20"/>
          <w:szCs w:val="20"/>
          <w:color w:val="auto"/>
        </w:rPr>
      </w:pPr>
    </w:p>
    <w:p>
      <w:pPr>
        <w:ind w:left="4440"/>
        <w:spacing w:after="0"/>
        <w:rPr>
          <w:sz w:val="20"/>
          <w:szCs w:val="20"/>
          <w:color w:val="auto"/>
        </w:rPr>
      </w:pPr>
      <w:r>
        <w:rPr>
          <w:rFonts w:ascii="Arial" w:cs="Arial" w:eastAsia="Arial" w:hAnsi="Arial"/>
          <w:sz w:val="21"/>
          <w:szCs w:val="21"/>
          <w:b w:val="1"/>
          <w:bCs w:val="1"/>
          <w:color w:val="003366"/>
        </w:rPr>
        <w:t>Rig Equipment</w:t>
      </w:r>
    </w:p>
    <w:p>
      <w:pPr>
        <w:spacing w:after="0" w:line="82" w:lineRule="exact"/>
        <w:rPr>
          <w:sz w:val="20"/>
          <w:szCs w:val="20"/>
          <w:color w:val="auto"/>
        </w:rPr>
      </w:pPr>
    </w:p>
    <w:p>
      <w:pPr>
        <w:ind w:left="4720"/>
        <w:spacing w:after="0"/>
        <w:rPr>
          <w:sz w:val="20"/>
          <w:szCs w:val="20"/>
          <w:color w:val="auto"/>
        </w:rPr>
      </w:pPr>
      <w:r>
        <w:rPr>
          <w:rFonts w:ascii="Arial" w:cs="Arial" w:eastAsia="Arial" w:hAnsi="Arial"/>
          <w:sz w:val="21"/>
          <w:szCs w:val="21"/>
          <w:color w:val="003366"/>
        </w:rPr>
        <w:t>Surface components provided by Cameron</w:t>
      </w:r>
    </w:p>
    <w:p>
      <w:pPr>
        <w:spacing w:after="0" w:line="56" w:lineRule="exact"/>
        <w:rPr>
          <w:sz w:val="20"/>
          <w:szCs w:val="20"/>
          <w:color w:val="auto"/>
        </w:rPr>
      </w:pPr>
    </w:p>
    <w:p>
      <w:pPr>
        <w:ind w:left="4720"/>
        <w:spacing w:after="0"/>
        <w:rPr>
          <w:sz w:val="20"/>
          <w:szCs w:val="20"/>
          <w:color w:val="auto"/>
        </w:rPr>
      </w:pPr>
      <w:r>
        <w:rPr>
          <w:rFonts w:ascii="Arial" w:cs="Arial" w:eastAsia="Arial" w:hAnsi="Arial"/>
          <w:sz w:val="21"/>
          <w:szCs w:val="21"/>
          <w:color w:val="003366"/>
        </w:rPr>
        <w:t>Closely integrated with Drilling Group BHA</w:t>
      </w:r>
    </w:p>
    <w:p>
      <w:pPr>
        <w:spacing w:after="0" w:line="263" w:lineRule="exact"/>
        <w:rPr>
          <w:sz w:val="20"/>
          <w:szCs w:val="20"/>
          <w:color w:val="auto"/>
        </w:rPr>
      </w:pPr>
    </w:p>
    <w:p>
      <w:pPr>
        <w:ind w:left="4440"/>
        <w:spacing w:after="0"/>
        <w:rPr>
          <w:sz w:val="20"/>
          <w:szCs w:val="20"/>
          <w:color w:val="auto"/>
        </w:rPr>
      </w:pPr>
      <w:r>
        <w:rPr>
          <w:rFonts w:ascii="Arial" w:cs="Arial" w:eastAsia="Arial" w:hAnsi="Arial"/>
          <w:sz w:val="21"/>
          <w:szCs w:val="21"/>
          <w:b w:val="1"/>
          <w:bCs w:val="1"/>
          <w:color w:val="003366"/>
        </w:rPr>
        <w:t>Software</w:t>
      </w:r>
    </w:p>
    <w:p>
      <w:pPr>
        <w:spacing w:after="0" w:line="92" w:lineRule="exact"/>
        <w:rPr>
          <w:sz w:val="20"/>
          <w:szCs w:val="20"/>
          <w:color w:val="auto"/>
        </w:rPr>
      </w:pPr>
    </w:p>
    <w:p>
      <w:pPr>
        <w:ind w:left="4720"/>
        <w:spacing w:after="0"/>
        <w:rPr>
          <w:sz w:val="20"/>
          <w:szCs w:val="20"/>
          <w:color w:val="auto"/>
        </w:rPr>
      </w:pPr>
      <w:r>
        <w:rPr>
          <w:rFonts w:ascii="Arial" w:cs="Arial" w:eastAsia="Arial" w:hAnsi="Arial"/>
          <w:sz w:val="21"/>
          <w:szCs w:val="21"/>
          <w:color w:val="003366"/>
        </w:rPr>
        <w:t>Developed on the Petrel platform</w:t>
      </w:r>
    </w:p>
    <w:p>
      <w:pPr>
        <w:spacing w:after="0" w:line="56" w:lineRule="exact"/>
        <w:rPr>
          <w:sz w:val="20"/>
          <w:szCs w:val="20"/>
          <w:color w:val="auto"/>
        </w:rPr>
      </w:pPr>
    </w:p>
    <w:p>
      <w:pPr>
        <w:jc w:val="right"/>
        <w:ind w:right="459"/>
        <w:spacing w:after="0"/>
        <w:rPr>
          <w:sz w:val="20"/>
          <w:szCs w:val="20"/>
          <w:color w:val="auto"/>
        </w:rPr>
      </w:pPr>
      <w:r>
        <w:rPr>
          <w:rFonts w:ascii="Arial" w:cs="Arial" w:eastAsia="Arial" w:hAnsi="Arial"/>
          <w:sz w:val="21"/>
          <w:szCs w:val="21"/>
          <w:color w:val="003366"/>
        </w:rPr>
        <w:t>Optimization of planning and wellsite execution</w:t>
      </w:r>
    </w:p>
    <w:p>
      <w:pPr>
        <w:sectPr>
          <w:pgSz w:w="11900" w:h="16838" w:orient="portrait"/>
          <w:cols w:equalWidth="0" w:num="1">
            <w:col w:w="9599"/>
          </w:cols>
          <w:pgMar w:left="860" w:top="596" w:right="1440" w:bottom="1440" w:gutter="0" w:footer="0" w:header="0"/>
        </w:sectPr>
      </w:pPr>
    </w:p>
    <w:bookmarkStart w:id="12" w:name="page13"/>
    <w:bookmarkEnd w:id="12"/>
    <w:p>
      <w:pPr>
        <w:spacing w:after="0"/>
        <w:rPr>
          <w:sz w:val="20"/>
          <w:szCs w:val="20"/>
          <w:color w:val="auto"/>
        </w:rPr>
      </w:pPr>
      <w:r>
        <w:rPr>
          <w:rFonts w:ascii="Arial" w:cs="Arial" w:eastAsia="Arial" w:hAnsi="Arial"/>
          <w:sz w:val="34"/>
          <w:szCs w:val="34"/>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CAMSHALE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244"/>
        </w:trPr>
        <w:tc>
          <w:tcPr>
            <w:tcW w:w="3880" w:type="dxa"/>
            <w:vAlign w:val="bottom"/>
          </w:tcPr>
          <w:p>
            <w:pPr>
              <w:ind w:left="540"/>
              <w:spacing w:after="0"/>
              <w:rPr>
                <w:sz w:val="20"/>
                <w:szCs w:val="20"/>
                <w:color w:val="auto"/>
              </w:rPr>
            </w:pPr>
            <w:r>
              <w:rPr>
                <w:rFonts w:ascii="Arial" w:cs="Arial" w:eastAsia="Arial" w:hAnsi="Arial"/>
                <w:sz w:val="20"/>
                <w:szCs w:val="20"/>
                <w:b w:val="1"/>
                <w:bCs w:val="1"/>
                <w:color w:val="003366"/>
              </w:rPr>
              <w:t>Drilling</w:t>
            </w:r>
          </w:p>
        </w:tc>
        <w:tc>
          <w:tcPr>
            <w:tcW w:w="3960" w:type="dxa"/>
            <w:vAlign w:val="bottom"/>
            <w:vMerge w:val="restart"/>
          </w:tcPr>
          <w:p>
            <w:pPr>
              <w:ind w:left="2560"/>
              <w:spacing w:after="0"/>
              <w:rPr>
                <w:sz w:val="20"/>
                <w:szCs w:val="20"/>
                <w:color w:val="auto"/>
              </w:rPr>
            </w:pPr>
            <w:r>
              <w:rPr>
                <w:rFonts w:ascii="Arial" w:cs="Arial" w:eastAsia="Arial" w:hAnsi="Arial"/>
                <w:sz w:val="25"/>
                <w:szCs w:val="25"/>
                <w:b w:val="1"/>
                <w:bCs w:val="1"/>
                <w:color w:val="003366"/>
              </w:rPr>
              <w:t>Wellhead</w:t>
            </w:r>
          </w:p>
        </w:tc>
        <w:tc>
          <w:tcPr>
            <w:tcW w:w="0" w:type="dxa"/>
            <w:vAlign w:val="bottom"/>
          </w:tcPr>
          <w:p>
            <w:pPr>
              <w:spacing w:after="0"/>
              <w:rPr>
                <w:sz w:val="1"/>
                <w:szCs w:val="1"/>
                <w:color w:val="auto"/>
              </w:rPr>
            </w:pPr>
          </w:p>
        </w:tc>
      </w:tr>
      <w:tr>
        <w:trPr>
          <w:trHeight w:val="249"/>
        </w:trPr>
        <w:tc>
          <w:tcPr>
            <w:tcW w:w="3880" w:type="dxa"/>
            <w:vAlign w:val="bottom"/>
          </w:tcPr>
          <w:p>
            <w:pPr>
              <w:ind w:left="380"/>
              <w:spacing w:after="0"/>
              <w:rPr>
                <w:sz w:val="20"/>
                <w:szCs w:val="20"/>
                <w:color w:val="auto"/>
              </w:rPr>
            </w:pPr>
            <w:r>
              <w:rPr>
                <w:rFonts w:ascii="Arial" w:cs="Arial" w:eastAsia="Arial" w:hAnsi="Arial"/>
                <w:sz w:val="20"/>
                <w:szCs w:val="20"/>
                <w:b w:val="1"/>
                <w:bCs w:val="1"/>
                <w:color w:val="003366"/>
              </w:rPr>
              <w:t>Pressure</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3880" w:type="dxa"/>
            <w:vAlign w:val="bottom"/>
          </w:tcPr>
          <w:p>
            <w:pPr>
              <w:ind w:left="500"/>
              <w:spacing w:after="0"/>
              <w:rPr>
                <w:sz w:val="20"/>
                <w:szCs w:val="20"/>
                <w:color w:val="auto"/>
              </w:rPr>
            </w:pPr>
            <w:r>
              <w:rPr>
                <w:rFonts w:ascii="Arial" w:cs="Arial" w:eastAsia="Arial" w:hAnsi="Arial"/>
                <w:sz w:val="20"/>
                <w:szCs w:val="20"/>
                <w:b w:val="1"/>
                <w:bCs w:val="1"/>
                <w:color w:val="003366"/>
              </w:rPr>
              <w:t>Control</w:t>
            </w:r>
          </w:p>
        </w:tc>
        <w:tc>
          <w:tcPr>
            <w:tcW w:w="3960" w:type="dxa"/>
            <w:vAlign w:val="bottom"/>
          </w:tcPr>
          <w:p>
            <w:pPr>
              <w:ind w:left="2560"/>
              <w:spacing w:after="0"/>
              <w:rPr>
                <w:sz w:val="20"/>
                <w:szCs w:val="20"/>
                <w:color w:val="auto"/>
              </w:rPr>
            </w:pPr>
            <w:r>
              <w:rPr>
                <w:rFonts w:ascii="Arial" w:cs="Arial" w:eastAsia="Arial" w:hAnsi="Arial"/>
                <w:sz w:val="25"/>
                <w:szCs w:val="25"/>
                <w:b w:val="1"/>
                <w:bCs w:val="1"/>
                <w:color w:val="FFFFFF"/>
              </w:rPr>
              <w:t>s</w:t>
            </w:r>
          </w:p>
        </w:tc>
        <w:tc>
          <w:tcPr>
            <w:tcW w:w="0" w:type="dxa"/>
            <w:vAlign w:val="bottom"/>
          </w:tcPr>
          <w:p>
            <w:pPr>
              <w:spacing w:after="0"/>
              <w:rPr>
                <w:sz w:val="1"/>
                <w:szCs w:val="1"/>
                <w:color w:val="auto"/>
              </w:rPr>
            </w:pPr>
          </w:p>
        </w:tc>
      </w:tr>
      <w:tr>
        <w:trPr>
          <w:trHeight w:val="998"/>
        </w:trPr>
        <w:tc>
          <w:tcPr>
            <w:tcW w:w="3880" w:type="dxa"/>
            <w:vAlign w:val="bottom"/>
          </w:tcPr>
          <w:p>
            <w:pPr>
              <w:spacing w:after="0"/>
              <w:rPr>
                <w:sz w:val="20"/>
                <w:szCs w:val="20"/>
                <w:color w:val="auto"/>
              </w:rPr>
            </w:pPr>
            <w:r>
              <w:rPr>
                <w:rFonts w:ascii="Arial" w:cs="Arial" w:eastAsia="Arial" w:hAnsi="Arial"/>
                <w:sz w:val="25"/>
                <w:szCs w:val="25"/>
                <w:b w:val="1"/>
                <w:bCs w:val="1"/>
                <w:color w:val="003366"/>
              </w:rPr>
              <w:t>Production</w:t>
            </w:r>
          </w:p>
        </w:tc>
        <w:tc>
          <w:tcPr>
            <w:tcW w:w="3960" w:type="dxa"/>
            <w:vAlign w:val="bottom"/>
          </w:tcPr>
          <w:p>
            <w:pPr>
              <w:ind w:left="2560"/>
              <w:spacing w:after="0"/>
              <w:rPr>
                <w:sz w:val="20"/>
                <w:szCs w:val="20"/>
                <w:color w:val="auto"/>
              </w:rPr>
            </w:pPr>
            <w:r>
              <w:rPr>
                <w:rFonts w:ascii="Arial" w:cs="Arial" w:eastAsia="Arial" w:hAnsi="Arial"/>
                <w:sz w:val="25"/>
                <w:szCs w:val="25"/>
                <w:b w:val="1"/>
                <w:bCs w:val="1"/>
                <w:color w:val="003366"/>
              </w:rPr>
              <w:t>Flowback</w:t>
            </w:r>
          </w:p>
        </w:tc>
        <w:tc>
          <w:tcPr>
            <w:tcW w:w="0" w:type="dxa"/>
            <w:vAlign w:val="bottom"/>
          </w:tcPr>
          <w:p>
            <w:pPr>
              <w:spacing w:after="0"/>
              <w:rPr>
                <w:sz w:val="1"/>
                <w:szCs w:val="1"/>
                <w:color w:val="auto"/>
              </w:rPr>
            </w:pPr>
          </w:p>
        </w:tc>
      </w:tr>
      <w:tr>
        <w:trPr>
          <w:trHeight w:val="338"/>
        </w:trPr>
        <w:tc>
          <w:tcPr>
            <w:tcW w:w="3880" w:type="dxa"/>
            <w:vAlign w:val="bottom"/>
          </w:tcPr>
          <w:p>
            <w:pPr>
              <w:ind w:left="220"/>
              <w:spacing w:after="0"/>
              <w:rPr>
                <w:sz w:val="20"/>
                <w:szCs w:val="20"/>
                <w:color w:val="auto"/>
              </w:rPr>
            </w:pPr>
            <w:r>
              <w:rPr>
                <w:rFonts w:ascii="Arial" w:cs="Arial" w:eastAsia="Arial" w:hAnsi="Arial"/>
                <w:sz w:val="25"/>
                <w:szCs w:val="25"/>
                <w:b w:val="1"/>
                <w:bCs w:val="1"/>
                <w:color w:val="003366"/>
              </w:rPr>
              <w:t>Systems</w:t>
            </w:r>
          </w:p>
        </w:tc>
        <w:tc>
          <w:tcPr>
            <w:tcW w:w="3960" w:type="dxa"/>
            <w:vAlign w:val="bottom"/>
          </w:tcPr>
          <w:p>
            <w:pPr>
              <w:ind w:left="2560"/>
              <w:spacing w:after="0"/>
              <w:rPr>
                <w:sz w:val="20"/>
                <w:szCs w:val="20"/>
                <w:color w:val="auto"/>
              </w:rPr>
            </w:pPr>
            <w:r>
              <w:rPr>
                <w:rFonts w:ascii="Arial" w:cs="Arial" w:eastAsia="Arial" w:hAnsi="Arial"/>
                <w:sz w:val="25"/>
                <w:szCs w:val="25"/>
                <w:b w:val="1"/>
                <w:bCs w:val="1"/>
                <w:color w:val="003366"/>
                <w:w w:val="98"/>
              </w:rPr>
              <w:t>and Testing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900"/>
        <w:spacing w:after="0"/>
        <w:rPr>
          <w:sz w:val="20"/>
          <w:szCs w:val="20"/>
          <w:color w:val="auto"/>
        </w:rPr>
      </w:pPr>
      <w:r>
        <w:rPr>
          <w:rFonts w:ascii="Arial" w:cs="Arial" w:eastAsia="Arial" w:hAnsi="Arial"/>
          <w:sz w:val="25"/>
          <w:szCs w:val="25"/>
          <w:color w:val="003366"/>
        </w:rPr>
        <w:t>World’s largest rental fleet of pressure control equipment</w:t>
      </w:r>
    </w:p>
    <w:p>
      <w:pPr>
        <w:spacing w:after="0" w:line="222" w:lineRule="exact"/>
        <w:rPr>
          <w:sz w:val="20"/>
          <w:szCs w:val="20"/>
          <w:color w:val="auto"/>
        </w:rPr>
      </w:pPr>
    </w:p>
    <w:p>
      <w:pPr>
        <w:ind w:left="900"/>
        <w:spacing w:after="0"/>
        <w:rPr>
          <w:sz w:val="20"/>
          <w:szCs w:val="20"/>
          <w:color w:val="auto"/>
        </w:rPr>
      </w:pPr>
      <w:r>
        <w:rPr>
          <w:rFonts w:ascii="Arial" w:cs="Arial" w:eastAsia="Arial" w:hAnsi="Arial"/>
          <w:sz w:val="25"/>
          <w:szCs w:val="25"/>
          <w:color w:val="003366"/>
        </w:rPr>
        <w:t>Integrate with frac fleet to optimize and automate surface set-up and operations</w:t>
      </w:r>
    </w:p>
    <w:p>
      <w:pPr>
        <w:sectPr>
          <w:pgSz w:w="11900" w:h="16838" w:orient="portrait"/>
          <w:cols w:equalWidth="0" w:num="1">
            <w:col w:w="9840"/>
          </w:cols>
          <w:pgMar w:left="860" w:top="617" w:right="1199" w:bottom="1440" w:gutter="0" w:footer="0" w:header="0"/>
        </w:sectPr>
      </w:pPr>
    </w:p>
    <w:bookmarkStart w:id="13" w:name="page14"/>
    <w:bookmarkEnd w:id="13"/>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Schlumberger and Cameron: The Next Industry Breakthrough</w:t>
      </w:r>
    </w:p>
    <w:p>
      <w:pPr>
        <w:sectPr>
          <w:pgSz w:w="11900" w:h="16838" w:orient="portrait"/>
          <w:cols w:equalWidth="0" w:num="1">
            <w:col w:w="10420"/>
          </w:cols>
          <w:pgMar w:left="880" w:top="59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27"/>
          <w:szCs w:val="27"/>
          <w:color w:val="003366"/>
        </w:rPr>
        <w:t>Greater opportunities for employees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4"/>
          <w:szCs w:val="24"/>
          <w:color w:val="003366"/>
        </w:rPr>
        <w:t>Personal development and career advancement</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27"/>
          <w:szCs w:val="27"/>
          <w:color w:val="003366"/>
        </w:rPr>
        <w:t>Technology leadership</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4"/>
          <w:szCs w:val="24"/>
          <w:color w:val="003366"/>
        </w:rPr>
        <w:t>Increased focus on R&amp;D</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27"/>
          <w:szCs w:val="27"/>
          <w:color w:val="003366"/>
        </w:rPr>
        <w:t>Expansion of customer base</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24"/>
          <w:szCs w:val="24"/>
          <w:color w:val="003366"/>
        </w:rPr>
        <w:t>Leveraging Schlumberger’s geographic footprint</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27"/>
          <w:szCs w:val="27"/>
          <w:color w:val="003366"/>
        </w:rPr>
        <w:t>Vertical integration</w:t>
      </w:r>
    </w:p>
    <w:p>
      <w:pPr>
        <w:spacing w:after="0" w:line="48" w:lineRule="exact"/>
        <w:rPr>
          <w:sz w:val="20"/>
          <w:szCs w:val="20"/>
          <w:color w:val="auto"/>
        </w:rPr>
      </w:pPr>
    </w:p>
    <w:p>
      <w:pPr>
        <w:ind w:left="580" w:right="3860"/>
        <w:spacing w:after="0" w:line="238" w:lineRule="auto"/>
        <w:rPr>
          <w:sz w:val="20"/>
          <w:szCs w:val="20"/>
          <w:color w:val="auto"/>
        </w:rPr>
      </w:pPr>
      <w:r>
        <w:rPr>
          <w:rFonts w:ascii="Arial" w:cs="Arial" w:eastAsia="Arial" w:hAnsi="Arial"/>
          <w:sz w:val="24"/>
          <w:szCs w:val="24"/>
          <w:color w:val="003366"/>
        </w:rPr>
        <w:t>Insource products leveraging Cameron’s manufacturing expertise</w:t>
      </w:r>
    </w:p>
    <w:p>
      <w:pPr>
        <w:spacing w:after="0" w:line="11" w:lineRule="exact"/>
        <w:rPr>
          <w:sz w:val="20"/>
          <w:szCs w:val="20"/>
          <w:color w:val="auto"/>
        </w:rPr>
      </w:pPr>
    </w:p>
    <w:p>
      <w:pPr>
        <w:ind w:left="960"/>
        <w:spacing w:after="0"/>
        <w:rPr>
          <w:sz w:val="20"/>
          <w:szCs w:val="20"/>
          <w:color w:val="auto"/>
        </w:rPr>
      </w:pPr>
      <w:r>
        <w:rPr>
          <w:rFonts w:ascii="Arial" w:cs="Arial" w:eastAsia="Arial" w:hAnsi="Arial"/>
          <w:sz w:val="20"/>
          <w:szCs w:val="20"/>
          <w:color w:val="003366"/>
        </w:rPr>
        <w:t>eg. Valves and Process Equipment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7"/>
          <w:szCs w:val="27"/>
          <w:color w:val="003366"/>
        </w:rPr>
        <w:t>Supply chain leverage</w:t>
      </w:r>
    </w:p>
    <w:p>
      <w:pPr>
        <w:sectPr>
          <w:pgSz w:w="11900" w:h="16838" w:orient="portrait"/>
          <w:cols w:equalWidth="0" w:num="1">
            <w:col w:w="10420"/>
          </w:cols>
          <w:pgMar w:left="880" w:top="590" w:right="5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Integration Principles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30"/>
          <w:szCs w:val="30"/>
          <w:color w:val="003366"/>
        </w:rPr>
        <w:t>Preserve highest standards in Ethics and Compliance</w:t>
      </w:r>
    </w:p>
    <w:p>
      <w:pPr>
        <w:spacing w:after="0" w:line="270" w:lineRule="exact"/>
        <w:rPr>
          <w:sz w:val="20"/>
          <w:szCs w:val="20"/>
          <w:color w:val="auto"/>
        </w:rPr>
      </w:pPr>
    </w:p>
    <w:p>
      <w:pPr>
        <w:ind w:left="340" w:right="540"/>
        <w:spacing w:after="0" w:line="425" w:lineRule="auto"/>
        <w:rPr>
          <w:sz w:val="20"/>
          <w:szCs w:val="20"/>
          <w:color w:val="auto"/>
        </w:rPr>
      </w:pPr>
      <w:r>
        <w:rPr>
          <w:rFonts w:ascii="Arial" w:cs="Arial" w:eastAsia="Arial" w:hAnsi="Arial"/>
          <w:sz w:val="30"/>
          <w:szCs w:val="30"/>
          <w:color w:val="003366"/>
        </w:rPr>
        <w:t>Creating value from unique combination of Schlumberger and Cameron Converge around common values while respect cultural differences Ensure seamless transition for customers and suppliers</w:t>
      </w:r>
    </w:p>
    <w:p>
      <w:pPr>
        <w:spacing w:after="0" w:line="3" w:lineRule="exact"/>
        <w:rPr>
          <w:sz w:val="20"/>
          <w:szCs w:val="20"/>
          <w:color w:val="auto"/>
        </w:rPr>
      </w:pPr>
    </w:p>
    <w:p>
      <w:pPr>
        <w:ind w:left="340"/>
        <w:spacing w:after="0" w:line="428" w:lineRule="auto"/>
        <w:rPr>
          <w:sz w:val="20"/>
          <w:szCs w:val="20"/>
          <w:color w:val="auto"/>
        </w:rPr>
      </w:pPr>
      <w:r>
        <w:rPr>
          <w:rFonts w:ascii="Arial" w:cs="Arial" w:eastAsia="Arial" w:hAnsi="Arial"/>
          <w:sz w:val="30"/>
          <w:szCs w:val="30"/>
          <w:color w:val="003366"/>
        </w:rPr>
        <w:t>Establish transparent and ambitious integration plans and execute diligently Select the best from each part of the new organization</w:t>
      </w:r>
    </w:p>
    <w:p>
      <w:pPr>
        <w:sectPr>
          <w:pgSz w:w="11900" w:h="16838" w:orient="portrait"/>
          <w:cols w:equalWidth="0" w:num="1">
            <w:col w:w="10260"/>
          </w:cols>
          <w:pgMar w:left="920" w:top="579" w:right="7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492"/>
        </w:trPr>
        <w:tc>
          <w:tcPr>
            <w:tcW w:w="3060" w:type="dxa"/>
            <w:vAlign w:val="bottom"/>
            <w:gridSpan w:val="3"/>
          </w:tcPr>
          <w:p>
            <w:pPr>
              <w:spacing w:after="0"/>
              <w:rPr>
                <w:sz w:val="20"/>
                <w:szCs w:val="20"/>
                <w:color w:val="auto"/>
              </w:rPr>
            </w:pPr>
            <w:r>
              <w:rPr>
                <w:rFonts w:ascii="Arial" w:cs="Arial" w:eastAsia="Arial" w:hAnsi="Arial"/>
                <w:sz w:val="38"/>
                <w:szCs w:val="38"/>
                <w:color w:val="003366"/>
                <w:w w:val="99"/>
              </w:rPr>
              <w:t>Integration Teams</w:t>
            </w:r>
          </w:p>
        </w:tc>
        <w:tc>
          <w:tcPr>
            <w:tcW w:w="2420" w:type="dxa"/>
            <w:vAlign w:val="bottom"/>
            <w:gridSpan w:val="3"/>
          </w:tcPr>
          <w:p>
            <w:pPr>
              <w:jc w:val="right"/>
              <w:ind w:right="102"/>
              <w:spacing w:after="0"/>
              <w:rPr>
                <w:sz w:val="20"/>
                <w:szCs w:val="20"/>
                <w:color w:val="auto"/>
              </w:rPr>
            </w:pPr>
            <w:r>
              <w:rPr>
                <w:rFonts w:ascii="Arial" w:cs="Arial" w:eastAsia="Arial" w:hAnsi="Arial"/>
                <w:sz w:val="20"/>
                <w:szCs w:val="20"/>
                <w:color w:val="FFFFFF"/>
              </w:rPr>
              <w:t>Executive Steering</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20" w:type="dxa"/>
            <w:vAlign w:val="bottom"/>
            <w:gridSpan w:val="3"/>
          </w:tcPr>
          <w:p>
            <w:pPr>
              <w:jc w:val="right"/>
              <w:ind w:right="122"/>
              <w:spacing w:after="0"/>
              <w:rPr>
                <w:sz w:val="20"/>
                <w:szCs w:val="20"/>
                <w:color w:val="auto"/>
              </w:rPr>
            </w:pPr>
            <w:r>
              <w:rPr>
                <w:rFonts w:ascii="Arial" w:cs="Arial" w:eastAsia="Arial" w:hAnsi="Arial"/>
                <w:sz w:val="20"/>
                <w:szCs w:val="20"/>
                <w:color w:val="FFFFFF"/>
              </w:rPr>
              <w:t>Committee ( ESC)</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3060" w:type="dxa"/>
            <w:vAlign w:val="bottom"/>
            <w:gridSpan w:val="3"/>
            <w:vMerge w:val="restart"/>
          </w:tcPr>
          <w:p>
            <w:pPr>
              <w:spacing w:after="0"/>
              <w:rPr>
                <w:sz w:val="20"/>
                <w:szCs w:val="20"/>
                <w:color w:val="auto"/>
              </w:rPr>
            </w:pPr>
            <w:r>
              <w:rPr>
                <w:rFonts w:ascii="Arial" w:cs="Arial" w:eastAsia="Arial" w:hAnsi="Arial"/>
                <w:sz w:val="16"/>
                <w:szCs w:val="16"/>
                <w:color w:val="333333"/>
              </w:rPr>
              <w:t>Scott Rowe (CAM) JF Poupeau (SLB)</w:t>
            </w:r>
          </w:p>
        </w:tc>
        <w:tc>
          <w:tcPr>
            <w:tcW w:w="3420" w:type="dxa"/>
            <w:vAlign w:val="bottom"/>
            <w:gridSpan w:val="4"/>
          </w:tcPr>
          <w:p>
            <w:pPr>
              <w:ind w:left="640"/>
              <w:spacing w:after="0"/>
              <w:rPr>
                <w:sz w:val="20"/>
                <w:szCs w:val="20"/>
                <w:color w:val="auto"/>
              </w:rPr>
            </w:pPr>
            <w:r>
              <w:rPr>
                <w:rFonts w:ascii="Arial" w:cs="Arial" w:eastAsia="Arial" w:hAnsi="Arial"/>
                <w:sz w:val="16"/>
                <w:szCs w:val="16"/>
                <w:b w:val="1"/>
                <w:bCs w:val="1"/>
                <w:color w:val="FFFFFF"/>
              </w:rPr>
              <w:t>Executive Steering Committee</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06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40" w:type="dxa"/>
            <w:vAlign w:val="bottom"/>
            <w:gridSpan w:val="4"/>
          </w:tcPr>
          <w:p>
            <w:pPr>
              <w:spacing w:after="0" w:line="144" w:lineRule="exact"/>
              <w:rPr>
                <w:sz w:val="20"/>
                <w:szCs w:val="20"/>
                <w:color w:val="auto"/>
              </w:rPr>
            </w:pPr>
            <w:r>
              <w:rPr>
                <w:rFonts w:ascii="Arial" w:cs="Arial" w:eastAsia="Arial" w:hAnsi="Arial"/>
                <w:sz w:val="16"/>
                <w:szCs w:val="16"/>
                <w:color w:val="333333"/>
              </w:rPr>
              <w:t>Ashok Belani (SLB) Gerard Martellozo (SLB)</w:t>
            </w: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spacing w:after="0"/>
              <w:rPr>
                <w:sz w:val="20"/>
                <w:szCs w:val="20"/>
                <w:color w:val="auto"/>
              </w:rPr>
            </w:pPr>
            <w:r>
              <w:rPr>
                <w:rFonts w:ascii="Arial" w:cs="Arial" w:eastAsia="Arial" w:hAnsi="Arial"/>
                <w:sz w:val="16"/>
                <w:szCs w:val="16"/>
                <w:color w:val="333333"/>
              </w:rPr>
              <w:t>Simon Ayat (SLB)  Justin Rounce (CAM)</w:t>
            </w:r>
          </w:p>
        </w:tc>
        <w:tc>
          <w:tcPr>
            <w:tcW w:w="3420" w:type="dxa"/>
            <w:vAlign w:val="bottom"/>
            <w:gridSpan w:val="4"/>
          </w:tcPr>
          <w:p>
            <w:pPr>
              <w:ind w:left="440"/>
              <w:spacing w:after="0"/>
              <w:rPr>
                <w:sz w:val="20"/>
                <w:szCs w:val="20"/>
                <w:color w:val="auto"/>
              </w:rPr>
            </w:pPr>
            <w:r>
              <w:rPr>
                <w:rFonts w:ascii="Arial" w:cs="Arial" w:eastAsia="Arial" w:hAnsi="Arial"/>
                <w:sz w:val="16"/>
                <w:szCs w:val="16"/>
                <w:b w:val="1"/>
                <w:bCs w:val="1"/>
                <w:color w:val="FFFFFF"/>
              </w:rPr>
              <w:t>Integration Management Office (IMO)</w:t>
            </w: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2"/>
          </w:tcPr>
          <w:p>
            <w:pPr>
              <w:ind w:left="920"/>
              <w:spacing w:after="0"/>
              <w:rPr>
                <w:sz w:val="20"/>
                <w:szCs w:val="20"/>
                <w:color w:val="auto"/>
              </w:rPr>
            </w:pPr>
            <w:r>
              <w:rPr>
                <w:rFonts w:ascii="Arial" w:cs="Arial" w:eastAsia="Arial" w:hAnsi="Arial"/>
                <w:sz w:val="13"/>
                <w:szCs w:val="13"/>
                <w:b w:val="1"/>
                <w:bCs w:val="1"/>
                <w:color w:val="FFFFFF"/>
              </w:rPr>
              <w:t>Culture</w:t>
            </w: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0"/>
        </w:trPr>
        <w:tc>
          <w:tcPr>
            <w:tcW w:w="3060" w:type="dxa"/>
            <w:vAlign w:val="bottom"/>
            <w:gridSpan w:val="3"/>
          </w:tcPr>
          <w:p>
            <w:pPr>
              <w:ind w:left="400"/>
              <w:spacing w:after="0"/>
              <w:rPr>
                <w:sz w:val="20"/>
                <w:szCs w:val="20"/>
                <w:color w:val="auto"/>
              </w:rPr>
            </w:pPr>
            <w:r>
              <w:rPr>
                <w:rFonts w:ascii="Arial" w:cs="Arial" w:eastAsia="Arial" w:hAnsi="Arial"/>
                <w:sz w:val="17"/>
                <w:szCs w:val="17"/>
                <w:b w:val="1"/>
                <w:bCs w:val="1"/>
                <w:i w:val="1"/>
                <w:iCs w:val="1"/>
                <w:color w:val="003D7A"/>
              </w:rPr>
              <w:t>Functional Integration Teams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440" w:type="dxa"/>
            <w:vAlign w:val="bottom"/>
          </w:tcPr>
          <w:p>
            <w:pPr>
              <w:ind w:left="480"/>
              <w:spacing w:after="0"/>
              <w:rPr>
                <w:sz w:val="20"/>
                <w:szCs w:val="20"/>
                <w:color w:val="auto"/>
              </w:rPr>
            </w:pPr>
            <w:r>
              <w:rPr>
                <w:rFonts w:ascii="Arial" w:cs="Arial" w:eastAsia="Arial" w:hAnsi="Arial"/>
                <w:sz w:val="12"/>
                <w:szCs w:val="12"/>
                <w:b w:val="1"/>
                <w:bCs w:val="1"/>
                <w:color w:val="FFFFFF"/>
                <w:w w:val="96"/>
              </w:rPr>
              <w:t>Communications</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FFFFFF"/>
                <w:w w:val="96"/>
              </w:rPr>
              <w:t>Marketing/</w:t>
            </w:r>
          </w:p>
        </w:tc>
        <w:tc>
          <w:tcPr>
            <w:tcW w:w="900" w:type="dxa"/>
            <w:vAlign w:val="bottom"/>
          </w:tcPr>
          <w:p>
            <w:pPr>
              <w:jc w:val="right"/>
              <w:ind w:right="202"/>
              <w:spacing w:after="0"/>
              <w:rPr>
                <w:sz w:val="20"/>
                <w:szCs w:val="20"/>
                <w:color w:val="auto"/>
              </w:rPr>
            </w:pPr>
            <w:r>
              <w:rPr>
                <w:rFonts w:ascii="Arial" w:cs="Arial" w:eastAsia="Arial" w:hAnsi="Arial"/>
                <w:sz w:val="12"/>
                <w:szCs w:val="12"/>
                <w:b w:val="1"/>
                <w:bCs w:val="1"/>
                <w:color w:val="FFFFFF"/>
              </w:rPr>
              <w:t>Sales/</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FFFFFF"/>
                <w:w w:val="96"/>
              </w:rPr>
              <w:t>Finance</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FFFFFF"/>
              </w:rPr>
              <w:t>Information</w:t>
            </w:r>
          </w:p>
        </w:tc>
        <w:tc>
          <w:tcPr>
            <w:tcW w:w="700" w:type="dxa"/>
            <w:vAlign w:val="bottom"/>
          </w:tcPr>
          <w:p>
            <w:pPr>
              <w:jc w:val="right"/>
              <w:ind w:right="62"/>
              <w:spacing w:after="0"/>
              <w:rPr>
                <w:sz w:val="20"/>
                <w:szCs w:val="20"/>
                <w:color w:val="auto"/>
              </w:rPr>
            </w:pPr>
            <w:r>
              <w:rPr>
                <w:rFonts w:ascii="Arial" w:cs="Arial" w:eastAsia="Arial" w:hAnsi="Arial"/>
                <w:sz w:val="12"/>
                <w:szCs w:val="12"/>
                <w:b w:val="1"/>
                <w:bCs w:val="1"/>
                <w:color w:val="FFFFFF"/>
              </w:rPr>
              <w:t>Supply</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FFFFFF"/>
                <w:w w:val="97"/>
              </w:rPr>
              <w:t>Infrastructure</w:t>
            </w:r>
          </w:p>
        </w:tc>
        <w:tc>
          <w:tcPr>
            <w:tcW w:w="840" w:type="dxa"/>
            <w:vAlign w:val="bottom"/>
          </w:tcPr>
          <w:p>
            <w:pPr>
              <w:ind w:left="240"/>
              <w:spacing w:after="0"/>
              <w:rPr>
                <w:sz w:val="20"/>
                <w:szCs w:val="20"/>
                <w:color w:val="auto"/>
              </w:rPr>
            </w:pPr>
            <w:r>
              <w:rPr>
                <w:rFonts w:ascii="Arial" w:cs="Arial" w:eastAsia="Arial" w:hAnsi="Arial"/>
                <w:sz w:val="12"/>
                <w:szCs w:val="12"/>
                <w:b w:val="1"/>
                <w:bCs w:val="1"/>
                <w:color w:val="FFFFFF"/>
              </w:rPr>
              <w:t>Human</w:t>
            </w:r>
          </w:p>
        </w:tc>
        <w:tc>
          <w:tcPr>
            <w:tcW w:w="700" w:type="dxa"/>
            <w:vAlign w:val="bottom"/>
          </w:tcPr>
          <w:p>
            <w:pPr>
              <w:jc w:val="center"/>
              <w:ind w:left="42"/>
              <w:spacing w:after="0"/>
              <w:rPr>
                <w:sz w:val="20"/>
                <w:szCs w:val="20"/>
                <w:color w:val="auto"/>
              </w:rPr>
            </w:pPr>
            <w:r>
              <w:rPr>
                <w:rFonts w:ascii="Arial" w:cs="Arial" w:eastAsia="Arial" w:hAnsi="Arial"/>
                <w:sz w:val="12"/>
                <w:szCs w:val="12"/>
                <w:b w:val="1"/>
                <w:bCs w:val="1"/>
                <w:color w:val="FFFFFF"/>
                <w:w w:val="98"/>
              </w:rPr>
              <w:t>HSE &amp;</w:t>
            </w:r>
          </w:p>
        </w:tc>
        <w:tc>
          <w:tcPr>
            <w:tcW w:w="900" w:type="dxa"/>
            <w:vAlign w:val="bottom"/>
          </w:tcPr>
          <w:p>
            <w:pPr>
              <w:jc w:val="center"/>
              <w:ind w:left="22"/>
              <w:spacing w:after="0"/>
              <w:rPr>
                <w:sz w:val="20"/>
                <w:szCs w:val="20"/>
                <w:color w:val="auto"/>
              </w:rPr>
            </w:pPr>
            <w:r>
              <w:rPr>
                <w:rFonts w:ascii="Arial" w:cs="Arial" w:eastAsia="Arial" w:hAnsi="Arial"/>
                <w:sz w:val="12"/>
                <w:szCs w:val="12"/>
                <w:b w:val="1"/>
                <w:bCs w:val="1"/>
                <w:color w:val="FFFFFF"/>
                <w:w w:val="95"/>
              </w:rPr>
              <w:t>Legal</w:t>
            </w:r>
          </w:p>
        </w:tc>
        <w:tc>
          <w:tcPr>
            <w:tcW w:w="0" w:type="dxa"/>
            <w:vAlign w:val="bottom"/>
          </w:tcPr>
          <w:p>
            <w:pPr>
              <w:spacing w:after="0"/>
              <w:rPr>
                <w:sz w:val="1"/>
                <w:szCs w:val="1"/>
                <w:color w:val="auto"/>
              </w:rPr>
            </w:pPr>
          </w:p>
        </w:tc>
      </w:tr>
      <w:tr>
        <w:trPr>
          <w:trHeight w:val="154"/>
        </w:trPr>
        <w:tc>
          <w:tcPr>
            <w:tcW w:w="1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FFFFFF"/>
                <w:w w:val="94"/>
              </w:rPr>
              <w:t>Branding</w:t>
            </w:r>
          </w:p>
        </w:tc>
        <w:tc>
          <w:tcPr>
            <w:tcW w:w="900" w:type="dxa"/>
            <w:vAlign w:val="bottom"/>
          </w:tcPr>
          <w:p>
            <w:pPr>
              <w:jc w:val="right"/>
              <w:ind w:right="102"/>
              <w:spacing w:after="0"/>
              <w:rPr>
                <w:sz w:val="20"/>
                <w:szCs w:val="20"/>
                <w:color w:val="auto"/>
              </w:rPr>
            </w:pPr>
            <w:r>
              <w:rPr>
                <w:rFonts w:ascii="Arial" w:cs="Arial" w:eastAsia="Arial" w:hAnsi="Arial"/>
                <w:sz w:val="12"/>
                <w:szCs w:val="12"/>
                <w:b w:val="1"/>
                <w:bCs w:val="1"/>
                <w:color w:val="FFFFFF"/>
              </w:rPr>
              <w:t>Accounts</w:t>
            </w:r>
          </w:p>
        </w:tc>
        <w:tc>
          <w:tcPr>
            <w:tcW w:w="8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FFFFFF"/>
              </w:rPr>
              <w:t>Technology</w:t>
            </w:r>
          </w:p>
        </w:tc>
        <w:tc>
          <w:tcPr>
            <w:tcW w:w="700" w:type="dxa"/>
            <w:vAlign w:val="bottom"/>
          </w:tcPr>
          <w:p>
            <w:pPr>
              <w:jc w:val="right"/>
              <w:ind w:right="102"/>
              <w:spacing w:after="0"/>
              <w:rPr>
                <w:sz w:val="20"/>
                <w:szCs w:val="20"/>
                <w:color w:val="auto"/>
              </w:rPr>
            </w:pPr>
            <w:r>
              <w:rPr>
                <w:rFonts w:ascii="Arial" w:cs="Arial" w:eastAsia="Arial" w:hAnsi="Arial"/>
                <w:sz w:val="12"/>
                <w:szCs w:val="12"/>
                <w:b w:val="1"/>
                <w:bCs w:val="1"/>
                <w:color w:val="FFFFFF"/>
              </w:rPr>
              <w:t>Chain</w:t>
            </w:r>
          </w:p>
        </w:tc>
        <w:tc>
          <w:tcPr>
            <w:tcW w:w="100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FFFFFF"/>
              </w:rPr>
              <w:t>Resources</w:t>
            </w:r>
          </w:p>
        </w:tc>
        <w:tc>
          <w:tcPr>
            <w:tcW w:w="700" w:type="dxa"/>
            <w:vAlign w:val="bottom"/>
          </w:tcPr>
          <w:p>
            <w:pPr>
              <w:jc w:val="center"/>
              <w:ind w:left="62"/>
              <w:spacing w:after="0"/>
              <w:rPr>
                <w:sz w:val="20"/>
                <w:szCs w:val="20"/>
                <w:color w:val="auto"/>
              </w:rPr>
            </w:pPr>
            <w:r>
              <w:rPr>
                <w:rFonts w:ascii="Arial" w:cs="Arial" w:eastAsia="Arial" w:hAnsi="Arial"/>
                <w:sz w:val="12"/>
                <w:szCs w:val="12"/>
                <w:b w:val="1"/>
                <w:bCs w:val="1"/>
                <w:color w:val="FFFFFF"/>
                <w:w w:val="97"/>
              </w:rPr>
              <w:t>Security</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2"/>
        </w:trPr>
        <w:tc>
          <w:tcPr>
            <w:tcW w:w="3060" w:type="dxa"/>
            <w:vAlign w:val="bottom"/>
            <w:gridSpan w:val="3"/>
          </w:tcPr>
          <w:p>
            <w:pPr>
              <w:ind w:left="460"/>
              <w:spacing w:after="0"/>
              <w:rPr>
                <w:sz w:val="20"/>
                <w:szCs w:val="20"/>
                <w:color w:val="auto"/>
              </w:rPr>
            </w:pPr>
            <w:r>
              <w:rPr>
                <w:rFonts w:ascii="Arial" w:cs="Arial" w:eastAsia="Arial" w:hAnsi="Arial"/>
                <w:sz w:val="17"/>
                <w:szCs w:val="17"/>
                <w:b w:val="1"/>
                <w:bCs w:val="1"/>
                <w:i w:val="1"/>
                <w:iCs w:val="1"/>
                <w:color w:val="003D7A"/>
              </w:rPr>
              <w:t>Business Integration Teams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720" w:type="dxa"/>
            <w:vAlign w:val="bottom"/>
          </w:tcPr>
          <w:p>
            <w:pPr>
              <w:jc w:val="center"/>
              <w:ind w:right="142"/>
              <w:spacing w:after="0"/>
              <w:rPr>
                <w:sz w:val="20"/>
                <w:szCs w:val="20"/>
                <w:color w:val="auto"/>
              </w:rPr>
            </w:pPr>
            <w:r>
              <w:rPr>
                <w:rFonts w:ascii="Arial" w:cs="Arial" w:eastAsia="Arial" w:hAnsi="Arial"/>
                <w:sz w:val="12"/>
                <w:szCs w:val="12"/>
                <w:b w:val="1"/>
                <w:bCs w:val="1"/>
                <w:color w:val="FFFFFF"/>
                <w:w w:val="97"/>
              </w:rPr>
              <w:t>Services</w:t>
            </w:r>
          </w:p>
        </w:tc>
        <w:tc>
          <w:tcPr>
            <w:tcW w:w="900" w:type="dxa"/>
            <w:vAlign w:val="bottom"/>
            <w:vMerge w:val="restart"/>
          </w:tcPr>
          <w:p>
            <w:pPr>
              <w:jc w:val="right"/>
              <w:ind w:right="362"/>
              <w:spacing w:after="0"/>
              <w:rPr>
                <w:sz w:val="20"/>
                <w:szCs w:val="20"/>
                <w:color w:val="auto"/>
              </w:rPr>
            </w:pPr>
            <w:r>
              <w:rPr>
                <w:rFonts w:ascii="Arial" w:cs="Arial" w:eastAsia="Arial" w:hAnsi="Arial"/>
                <w:sz w:val="12"/>
                <w:szCs w:val="12"/>
                <w:b w:val="1"/>
                <w:bCs w:val="1"/>
                <w:color w:val="FFFFFF"/>
              </w:rPr>
              <w:t>NPD</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Process</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40" w:type="dxa"/>
            <w:vAlign w:val="bottom"/>
            <w:vMerge w:val="restart"/>
          </w:tcPr>
          <w:p>
            <w:pPr>
              <w:ind w:left="600"/>
              <w:spacing w:after="0" w:line="130" w:lineRule="exact"/>
              <w:rPr>
                <w:sz w:val="20"/>
                <w:szCs w:val="20"/>
                <w:color w:val="auto"/>
              </w:rPr>
            </w:pPr>
            <w:r>
              <w:rPr>
                <w:rFonts w:ascii="Arial" w:cs="Arial" w:eastAsia="Arial" w:hAnsi="Arial"/>
                <w:sz w:val="12"/>
                <w:szCs w:val="12"/>
                <w:b w:val="1"/>
                <w:bCs w:val="1"/>
                <w:color w:val="FFFFFF"/>
              </w:rPr>
              <w:t>Geography</w:t>
            </w:r>
          </w:p>
        </w:tc>
        <w:tc>
          <w:tcPr>
            <w:tcW w:w="720" w:type="dxa"/>
            <w:vAlign w:val="bottom"/>
            <w:vMerge w:val="restart"/>
          </w:tcPr>
          <w:p>
            <w:pPr>
              <w:jc w:val="center"/>
              <w:ind w:right="182"/>
              <w:spacing w:after="0" w:line="130" w:lineRule="exact"/>
              <w:rPr>
                <w:sz w:val="20"/>
                <w:szCs w:val="20"/>
                <w:color w:val="auto"/>
              </w:rPr>
            </w:pPr>
            <w:r>
              <w:rPr>
                <w:rFonts w:ascii="Arial" w:cs="Arial" w:eastAsia="Arial" w:hAnsi="Arial"/>
                <w:sz w:val="12"/>
                <w:szCs w:val="12"/>
                <w:b w:val="1"/>
                <w:bCs w:val="1"/>
                <w:color w:val="FFFFFF"/>
                <w:w w:val="99"/>
              </w:rPr>
              <w:t>(After</w:t>
            </w:r>
          </w:p>
        </w:tc>
        <w:tc>
          <w:tcPr>
            <w:tcW w:w="900" w:type="dxa"/>
            <w:vAlign w:val="bottom"/>
            <w:vMerge w:val="continue"/>
          </w:tcPr>
          <w:p>
            <w:pPr>
              <w:spacing w:after="0"/>
              <w:rPr>
                <w:sz w:val="6"/>
                <w:szCs w:val="6"/>
                <w:color w:val="auto"/>
              </w:rPr>
            </w:pPr>
          </w:p>
        </w:tc>
        <w:tc>
          <w:tcPr>
            <w:tcW w:w="880" w:type="dxa"/>
            <w:vAlign w:val="bottom"/>
            <w:vMerge w:val="restart"/>
          </w:tcPr>
          <w:p>
            <w:pPr>
              <w:jc w:val="center"/>
              <w:spacing w:after="0" w:line="130" w:lineRule="exact"/>
              <w:rPr>
                <w:sz w:val="20"/>
                <w:szCs w:val="20"/>
                <w:color w:val="auto"/>
              </w:rPr>
            </w:pPr>
            <w:r>
              <w:rPr>
                <w:rFonts w:ascii="Arial" w:cs="Arial" w:eastAsia="Arial" w:hAnsi="Arial"/>
                <w:sz w:val="12"/>
                <w:szCs w:val="12"/>
                <w:b w:val="1"/>
                <w:bCs w:val="1"/>
                <w:color w:val="FFFFFF"/>
                <w:w w:val="96"/>
              </w:rPr>
              <w:t>Manufacturing</w:t>
            </w:r>
          </w:p>
        </w:tc>
        <w:tc>
          <w:tcPr>
            <w:tcW w:w="840" w:type="dxa"/>
            <w:vAlign w:val="bottom"/>
            <w:vMerge w:val="restart"/>
          </w:tcPr>
          <w:p>
            <w:pPr>
              <w:ind w:left="140"/>
              <w:spacing w:after="0" w:line="130" w:lineRule="exact"/>
              <w:rPr>
                <w:sz w:val="20"/>
                <w:szCs w:val="20"/>
                <w:color w:val="auto"/>
              </w:rPr>
            </w:pPr>
            <w:r>
              <w:rPr>
                <w:rFonts w:ascii="Arial" w:cs="Arial" w:eastAsia="Arial" w:hAnsi="Arial"/>
                <w:sz w:val="12"/>
                <w:szCs w:val="12"/>
                <w:b w:val="1"/>
                <w:bCs w:val="1"/>
                <w:color w:val="FFFFFF"/>
              </w:rPr>
              <w:t>Drilling</w:t>
            </w:r>
          </w:p>
        </w:tc>
        <w:tc>
          <w:tcPr>
            <w:tcW w:w="700" w:type="dxa"/>
            <w:vAlign w:val="bottom"/>
            <w:vMerge w:val="restart"/>
          </w:tcPr>
          <w:p>
            <w:pPr>
              <w:jc w:val="right"/>
              <w:ind w:right="102"/>
              <w:spacing w:after="0" w:line="130" w:lineRule="exact"/>
              <w:rPr>
                <w:sz w:val="20"/>
                <w:szCs w:val="20"/>
                <w:color w:val="auto"/>
              </w:rPr>
            </w:pPr>
            <w:r>
              <w:rPr>
                <w:rFonts w:ascii="Arial" w:cs="Arial" w:eastAsia="Arial" w:hAnsi="Arial"/>
                <w:sz w:val="12"/>
                <w:szCs w:val="12"/>
                <w:b w:val="1"/>
                <w:bCs w:val="1"/>
                <w:color w:val="FFFFFF"/>
              </w:rPr>
              <w:t>Surface</w:t>
            </w:r>
          </w:p>
        </w:tc>
        <w:tc>
          <w:tcPr>
            <w:tcW w:w="100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FFFFFF"/>
              </w:rPr>
              <w:t>One Subsea</w:t>
            </w:r>
          </w:p>
        </w:tc>
        <w:tc>
          <w:tcPr>
            <w:tcW w:w="840" w:type="dxa"/>
            <w:vAlign w:val="bottom"/>
            <w:vMerge w:val="continue"/>
          </w:tcPr>
          <w:p>
            <w:pPr>
              <w:spacing w:after="0"/>
              <w:rPr>
                <w:sz w:val="6"/>
                <w:szCs w:val="6"/>
                <w:color w:val="auto"/>
              </w:rPr>
            </w:pPr>
          </w:p>
        </w:tc>
        <w:tc>
          <w:tcPr>
            <w:tcW w:w="70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FFFFFF"/>
              </w:rPr>
              <w:t>V&amp;M</w:t>
            </w:r>
          </w:p>
        </w:tc>
        <w:tc>
          <w:tcPr>
            <w:tcW w:w="900" w:type="dxa"/>
            <w:vAlign w:val="bottom"/>
            <w:vMerge w:val="restart"/>
          </w:tcPr>
          <w:p>
            <w:pPr>
              <w:jc w:val="center"/>
              <w:spacing w:after="0" w:line="130" w:lineRule="exact"/>
              <w:rPr>
                <w:sz w:val="20"/>
                <w:szCs w:val="20"/>
                <w:color w:val="auto"/>
              </w:rPr>
            </w:pPr>
            <w:r>
              <w:rPr>
                <w:rFonts w:ascii="Arial" w:cs="Arial" w:eastAsia="Arial" w:hAnsi="Arial"/>
                <w:sz w:val="12"/>
                <w:szCs w:val="12"/>
                <w:b w:val="1"/>
                <w:bCs w:val="1"/>
                <w:color w:val="FFFFFF"/>
                <w:w w:val="97"/>
              </w:rPr>
              <w:t>Transformation</w:t>
            </w:r>
          </w:p>
        </w:tc>
        <w:tc>
          <w:tcPr>
            <w:tcW w:w="0" w:type="dxa"/>
            <w:vAlign w:val="bottom"/>
          </w:tcPr>
          <w:p>
            <w:pPr>
              <w:spacing w:after="0"/>
              <w:rPr>
                <w:sz w:val="1"/>
                <w:szCs w:val="1"/>
                <w:color w:val="auto"/>
              </w:rPr>
            </w:pPr>
          </w:p>
        </w:tc>
      </w:tr>
      <w:tr>
        <w:trPr>
          <w:trHeight w:val="56"/>
        </w:trPr>
        <w:tc>
          <w:tcPr>
            <w:tcW w:w="14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0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FFFFFF"/>
                <w:w w:val="98"/>
              </w:rPr>
              <w:t>/Engineering</w:t>
            </w:r>
          </w:p>
        </w:tc>
        <w:tc>
          <w:tcPr>
            <w:tcW w:w="8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FFFFFF"/>
              </w:rPr>
              <w:t>Systems</w:t>
            </w: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1440" w:type="dxa"/>
            <w:vAlign w:val="bottom"/>
          </w:tcPr>
          <w:p>
            <w:pPr>
              <w:spacing w:after="0"/>
              <w:rPr>
                <w:sz w:val="8"/>
                <w:szCs w:val="8"/>
                <w:color w:val="auto"/>
              </w:rPr>
            </w:pPr>
          </w:p>
        </w:tc>
        <w:tc>
          <w:tcPr>
            <w:tcW w:w="720" w:type="dxa"/>
            <w:vAlign w:val="bottom"/>
            <w:vMerge w:val="restart"/>
          </w:tcPr>
          <w:p>
            <w:pPr>
              <w:jc w:val="center"/>
              <w:ind w:right="162"/>
              <w:spacing w:after="0"/>
              <w:rPr>
                <w:sz w:val="20"/>
                <w:szCs w:val="20"/>
                <w:color w:val="auto"/>
              </w:rPr>
            </w:pPr>
            <w:r>
              <w:rPr>
                <w:rFonts w:ascii="Arial" w:cs="Arial" w:eastAsia="Arial" w:hAnsi="Arial"/>
                <w:sz w:val="12"/>
                <w:szCs w:val="12"/>
                <w:b w:val="1"/>
                <w:bCs w:val="1"/>
                <w:color w:val="FFFFFF"/>
                <w:w w:val="98"/>
              </w:rPr>
              <w:t>Market)</w:t>
            </w:r>
          </w:p>
        </w:tc>
        <w:tc>
          <w:tcPr>
            <w:tcW w:w="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4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539"/>
          </w:cols>
          <w:pgMar w:left="920" w:top="579" w:right="1440" w:bottom="1440" w:gutter="0" w:footer="0" w:header="0"/>
        </w:sectPr>
      </w:pPr>
      <w:r>
        <w:rPr>
          <w:sz w:val="20"/>
          <w:szCs w:val="20"/>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r>
    </w:p>
    <w:bookmarkStart w:id="16" w:name="page17"/>
    <w:bookmarkEnd w:id="16"/>
    <w:p>
      <w:pPr>
        <w:spacing w:after="0"/>
        <w:rPr>
          <w:sz w:val="20"/>
          <w:szCs w:val="20"/>
          <w:color w:val="auto"/>
        </w:rPr>
      </w:pPr>
      <w:r>
        <w:rPr>
          <w:rFonts w:ascii="Arial" w:cs="Arial" w:eastAsia="Arial" w:hAnsi="Arial"/>
          <w:sz w:val="38"/>
          <w:szCs w:val="38"/>
          <w:color w:val="003366"/>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786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3786505"/>
                    </a:xfrm>
                    <a:prstGeom prst="rect">
                      <a:avLst/>
                    </a:prstGeom>
                    <a:noFill/>
                  </pic:spPr>
                </pic:pic>
              </a:graphicData>
            </a:graphic>
          </wp:anchor>
        </w:drawing>
        <w:t>Integration Timeline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003366"/>
              </w:rPr>
              <w:t>Kick-off Meeting</w:t>
            </w:r>
          </w:p>
        </w:tc>
        <w:tc>
          <w:tcPr>
            <w:tcW w:w="2520" w:type="dxa"/>
            <w:vAlign w:val="bottom"/>
          </w:tcPr>
          <w:p>
            <w:pPr>
              <w:ind w:left="2120"/>
              <w:spacing w:after="0"/>
              <w:rPr>
                <w:sz w:val="20"/>
                <w:szCs w:val="20"/>
                <w:color w:val="auto"/>
              </w:rPr>
            </w:pPr>
            <w:r>
              <w:rPr>
                <w:rFonts w:ascii="Arial" w:cs="Arial" w:eastAsia="Arial" w:hAnsi="Arial"/>
                <w:sz w:val="12"/>
                <w:szCs w:val="12"/>
                <w:b w:val="1"/>
                <w:bCs w:val="1"/>
                <w:color w:val="003366"/>
              </w:rPr>
              <w:t>Close</w:t>
            </w:r>
          </w:p>
        </w:tc>
        <w:tc>
          <w:tcPr>
            <w:tcW w:w="0" w:type="dxa"/>
            <w:vAlign w:val="bottom"/>
          </w:tcPr>
          <w:p>
            <w:pPr>
              <w:spacing w:after="0"/>
              <w:rPr>
                <w:sz w:val="1"/>
                <w:szCs w:val="1"/>
                <w:color w:val="auto"/>
              </w:rPr>
            </w:pPr>
          </w:p>
        </w:tc>
      </w:tr>
      <w:tr>
        <w:trPr>
          <w:trHeight w:val="138"/>
        </w:trPr>
        <w:tc>
          <w:tcPr>
            <w:tcW w:w="29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960" w:type="dxa"/>
            <w:vAlign w:val="bottom"/>
          </w:tcPr>
          <w:p>
            <w:pPr>
              <w:ind w:left="260"/>
              <w:spacing w:after="0"/>
              <w:rPr>
                <w:sz w:val="20"/>
                <w:szCs w:val="20"/>
                <w:color w:val="auto"/>
              </w:rPr>
            </w:pPr>
            <w:r>
              <w:rPr>
                <w:rFonts w:ascii="Arial" w:cs="Arial" w:eastAsia="Arial" w:hAnsi="Arial"/>
                <w:sz w:val="12"/>
                <w:szCs w:val="12"/>
                <w:color w:val="auto"/>
              </w:rPr>
              <w:t>Oct 1</w:t>
            </w:r>
          </w:p>
        </w:tc>
        <w:tc>
          <w:tcPr>
            <w:tcW w:w="2520" w:type="dxa"/>
            <w:vAlign w:val="bottom"/>
          </w:tcPr>
          <w:p>
            <w:pPr>
              <w:ind w:left="2080"/>
              <w:spacing w:after="0"/>
              <w:rPr>
                <w:sz w:val="20"/>
                <w:szCs w:val="20"/>
                <w:color w:val="auto"/>
              </w:rPr>
            </w:pPr>
            <w:r>
              <w:rPr>
                <w:rFonts w:ascii="Arial" w:cs="Arial" w:eastAsia="Arial" w:hAnsi="Arial"/>
                <w:sz w:val="12"/>
                <w:szCs w:val="12"/>
                <w:color w:val="FFFFFF"/>
                <w:w w:val="91"/>
              </w:rPr>
              <w:t>Q1 2016</w:t>
            </w: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Arial" w:cs="Arial" w:eastAsia="Arial" w:hAnsi="Arial"/>
                <w:sz w:val="17"/>
                <w:szCs w:val="17"/>
                <w:b w:val="1"/>
                <w:bCs w:val="1"/>
                <w:color w:val="auto"/>
              </w:rPr>
              <w:t>Phase I,</w:t>
            </w:r>
          </w:p>
        </w:tc>
        <w:tc>
          <w:tcPr>
            <w:tcW w:w="100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Phase II</w:t>
            </w:r>
            <w:r>
              <w:rPr>
                <w:rFonts w:ascii="Arial" w:cs="Arial" w:eastAsia="Arial" w:hAnsi="Arial"/>
                <w:sz w:val="15"/>
                <w:szCs w:val="15"/>
                <w:b w:val="1"/>
                <w:bCs w:val="1"/>
                <w:color w:val="auto"/>
              </w:rPr>
              <w:t>,</w:t>
            </w:r>
          </w:p>
        </w:tc>
        <w:tc>
          <w:tcPr>
            <w:tcW w:w="680" w:type="dxa"/>
            <w:vAlign w:val="bottom"/>
          </w:tcPr>
          <w:p>
            <w:pPr>
              <w:spacing w:after="0"/>
              <w:rPr>
                <w:sz w:val="17"/>
                <w:szCs w:val="17"/>
                <w:color w:val="auto"/>
              </w:rPr>
            </w:pPr>
          </w:p>
        </w:tc>
        <w:tc>
          <w:tcPr>
            <w:tcW w:w="110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Phase III,</w:t>
            </w:r>
          </w:p>
        </w:tc>
        <w:tc>
          <w:tcPr>
            <w:tcW w:w="960" w:type="dxa"/>
            <w:vAlign w:val="bottom"/>
            <w:vMerge w:val="restart"/>
          </w:tcPr>
          <w:p>
            <w:pPr>
              <w:ind w:left="180"/>
              <w:spacing w:after="0"/>
              <w:rPr>
                <w:sz w:val="20"/>
                <w:szCs w:val="20"/>
                <w:color w:val="auto"/>
              </w:rPr>
            </w:pPr>
            <w:r>
              <w:rPr>
                <w:rFonts w:ascii="Arial" w:cs="Arial" w:eastAsia="Arial" w:hAnsi="Arial"/>
                <w:sz w:val="13"/>
                <w:szCs w:val="13"/>
                <w:b w:val="1"/>
                <w:bCs w:val="1"/>
                <w:color w:val="FFFFFF"/>
                <w:w w:val="96"/>
              </w:rPr>
              <w:t>Contingency</w:t>
            </w:r>
          </w:p>
        </w:tc>
        <w:tc>
          <w:tcPr>
            <w:tcW w:w="0" w:type="dxa"/>
            <w:vAlign w:val="bottom"/>
          </w:tcPr>
          <w:p>
            <w:pPr>
              <w:spacing w:after="0"/>
              <w:rPr>
                <w:sz w:val="1"/>
                <w:szCs w:val="1"/>
                <w:color w:val="auto"/>
              </w:rPr>
            </w:pPr>
          </w:p>
        </w:tc>
      </w:tr>
      <w:tr>
        <w:trPr>
          <w:trHeight w:val="85"/>
        </w:trPr>
        <w:tc>
          <w:tcPr>
            <w:tcW w:w="940" w:type="dxa"/>
            <w:vAlign w:val="bottom"/>
            <w:vMerge w:val="restart"/>
          </w:tcPr>
          <w:p>
            <w:pPr>
              <w:ind w:left="20"/>
              <w:spacing w:after="0" w:line="141" w:lineRule="exact"/>
              <w:rPr>
                <w:sz w:val="20"/>
                <w:szCs w:val="20"/>
                <w:color w:val="auto"/>
              </w:rPr>
            </w:pPr>
            <w:r>
              <w:rPr>
                <w:rFonts w:ascii="Arial" w:cs="Arial" w:eastAsia="Arial" w:hAnsi="Arial"/>
                <w:sz w:val="14"/>
                <w:szCs w:val="14"/>
                <w:b w:val="1"/>
                <w:bCs w:val="1"/>
                <w:color w:val="auto"/>
              </w:rPr>
              <w:t>Information</w:t>
            </w:r>
          </w:p>
        </w:tc>
        <w:tc>
          <w:tcPr>
            <w:tcW w:w="1000" w:type="dxa"/>
            <w:vAlign w:val="bottom"/>
            <w:vMerge w:val="continue"/>
          </w:tcPr>
          <w:p>
            <w:pPr>
              <w:spacing w:after="0"/>
              <w:rPr>
                <w:sz w:val="7"/>
                <w:szCs w:val="7"/>
                <w:color w:val="auto"/>
              </w:rPr>
            </w:pPr>
          </w:p>
        </w:tc>
        <w:tc>
          <w:tcPr>
            <w:tcW w:w="68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7"/>
              </w:rPr>
              <w:t>ESC</w:t>
            </w:r>
          </w:p>
        </w:tc>
        <w:tc>
          <w:tcPr>
            <w:tcW w:w="11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940" w:type="dxa"/>
            <w:vAlign w:val="bottom"/>
            <w:vMerge w:val="continue"/>
          </w:tcPr>
          <w:p>
            <w:pPr>
              <w:spacing w:after="0"/>
              <w:rPr>
                <w:sz w:val="4"/>
                <w:szCs w:val="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Strategic</w:t>
            </w:r>
          </w:p>
        </w:tc>
        <w:tc>
          <w:tcPr>
            <w:tcW w:w="680" w:type="dxa"/>
            <w:vAlign w:val="bottom"/>
            <w:vMerge w:val="continue"/>
          </w:tcPr>
          <w:p>
            <w:pPr>
              <w:spacing w:after="0"/>
              <w:rPr>
                <w:sz w:val="4"/>
                <w:szCs w:val="4"/>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Detailed</w:t>
            </w: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940" w:type="dxa"/>
            <w:vAlign w:val="bottom"/>
          </w:tcPr>
          <w:p>
            <w:pPr>
              <w:spacing w:after="0" w:line="159" w:lineRule="exact"/>
              <w:rPr>
                <w:sz w:val="20"/>
                <w:szCs w:val="20"/>
                <w:color w:val="auto"/>
              </w:rPr>
            </w:pPr>
            <w:r>
              <w:rPr>
                <w:rFonts w:ascii="Arial" w:cs="Arial" w:eastAsia="Arial" w:hAnsi="Arial"/>
                <w:sz w:val="14"/>
                <w:szCs w:val="14"/>
                <w:b w:val="1"/>
                <w:bCs w:val="1"/>
                <w:color w:val="auto"/>
              </w:rPr>
              <w:t>Gathering &amp;</w:t>
            </w:r>
          </w:p>
        </w:tc>
        <w:tc>
          <w:tcPr>
            <w:tcW w:w="100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7"/>
                <w:szCs w:val="7"/>
                <w:b w:val="1"/>
                <w:bCs w:val="1"/>
                <w:color w:val="auto"/>
              </w:rPr>
              <w:t>Approvals</w:t>
            </w:r>
          </w:p>
        </w:tc>
        <w:tc>
          <w:tcPr>
            <w:tcW w:w="1100" w:type="dxa"/>
            <w:vAlign w:val="bottom"/>
            <w:vMerge w:val="continue"/>
          </w:tcPr>
          <w:p>
            <w:pPr>
              <w:spacing w:after="0"/>
              <w:rPr>
                <w:sz w:val="13"/>
                <w:szCs w:val="13"/>
                <w:color w:val="auto"/>
              </w:rPr>
            </w:pPr>
          </w:p>
        </w:tc>
        <w:tc>
          <w:tcPr>
            <w:tcW w:w="960" w:type="dxa"/>
            <w:vAlign w:val="bottom"/>
          </w:tcPr>
          <w:p>
            <w:pPr>
              <w:ind w:left="340"/>
              <w:spacing w:after="0"/>
              <w:rPr>
                <w:sz w:val="20"/>
                <w:szCs w:val="20"/>
                <w:color w:val="auto"/>
              </w:rPr>
            </w:pPr>
            <w:r>
              <w:rPr>
                <w:rFonts w:ascii="Arial" w:cs="Arial" w:eastAsia="Arial" w:hAnsi="Arial"/>
                <w:sz w:val="13"/>
                <w:szCs w:val="13"/>
                <w:b w:val="1"/>
                <w:bCs w:val="1"/>
                <w:color w:val="FFFFFF"/>
              </w:rPr>
              <w:t>Period</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Analysis</w:t>
            </w:r>
          </w:p>
        </w:tc>
        <w:tc>
          <w:tcPr>
            <w:tcW w:w="10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Recom.</w:t>
            </w:r>
          </w:p>
        </w:tc>
        <w:tc>
          <w:tcPr>
            <w:tcW w:w="680" w:type="dxa"/>
            <w:vAlign w:val="bottom"/>
          </w:tcPr>
          <w:p>
            <w:pPr>
              <w:spacing w:after="0"/>
              <w:rPr>
                <w:sz w:val="12"/>
                <w:szCs w:val="12"/>
                <w:color w:val="auto"/>
              </w:rPr>
            </w:pPr>
          </w:p>
        </w:tc>
        <w:tc>
          <w:tcPr>
            <w:tcW w:w="11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Planning</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Execution</w:t>
      </w:r>
    </w:p>
    <w:p>
      <w:pPr>
        <w:spacing w:after="0" w:line="346" w:lineRule="exact"/>
        <w:rPr>
          <w:sz w:val="20"/>
          <w:szCs w:val="20"/>
          <w:color w:val="auto"/>
        </w:rPr>
      </w:pPr>
    </w:p>
    <w:p>
      <w:pPr>
        <w:sectPr>
          <w:pgSz w:w="11900" w:h="16838" w:orient="portrait"/>
          <w:cols w:equalWidth="0" w:num="2">
            <w:col w:w="6280" w:space="400"/>
            <w:col w:w="2859"/>
          </w:cols>
          <w:pgMar w:left="920" w:top="5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60"/>
        <w:spacing w:after="0"/>
        <w:rPr>
          <w:sz w:val="20"/>
          <w:szCs w:val="20"/>
          <w:color w:val="auto"/>
        </w:rPr>
      </w:pPr>
      <w:r>
        <w:rPr>
          <w:rFonts w:ascii="Arial" w:cs="Arial" w:eastAsia="Arial" w:hAnsi="Arial"/>
          <w:sz w:val="24"/>
          <w:szCs w:val="24"/>
          <w:b w:val="1"/>
          <w:bCs w:val="1"/>
          <w:color w:val="FFFFFF"/>
        </w:rPr>
        <w:t>Ongoing Communications and Change Management</w:t>
      </w:r>
    </w:p>
    <w:p>
      <w:pPr>
        <w:sectPr>
          <w:pgSz w:w="11900" w:h="16838" w:orient="portrait"/>
          <w:cols w:equalWidth="0" w:num="1">
            <w:col w:w="9539"/>
          </w:cols>
          <w:pgMar w:left="920" w:top="579"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33020"/>
                    </a:xfrm>
                    <a:prstGeom prst="rect">
                      <a:avLst/>
                    </a:prstGeom>
                    <a:noFill/>
                  </pic:spPr>
                </pic:pic>
              </a:graphicData>
            </a:graphic>
          </wp:anchor>
        </w:drawing>
        <w:t>Additional Information</w:t>
      </w:r>
    </w:p>
    <w:p>
      <w:pPr>
        <w:spacing w:after="0" w:line="98" w:lineRule="exact"/>
        <w:rPr>
          <w:sz w:val="20"/>
          <w:szCs w:val="20"/>
          <w:color w:val="auto"/>
        </w:rPr>
      </w:pPr>
    </w:p>
    <w:p>
      <w:pPr>
        <w:ind w:right="40" w:firstLine="458"/>
        <w:spacing w:after="0" w:line="260" w:lineRule="auto"/>
        <w:rPr>
          <w:sz w:val="20"/>
          <w:szCs w:val="20"/>
          <w:color w:val="auto"/>
        </w:rPr>
      </w:pPr>
      <w:r>
        <w:rPr>
          <w:rFonts w:ascii="Arial" w:cs="Arial" w:eastAsia="Arial" w:hAnsi="Arial"/>
          <w:sz w:val="14"/>
          <w:szCs w:val="14"/>
          <w:color w:val="auto"/>
        </w:rPr>
        <w:t>This communication does not constitute an offer to buy or sell or the solicitation of an offer to buy or sell any securities or a solicitation of any vote or approval. The attached presentation relates in part to a proposed business combination between Schlumberger and Cameron International Corporation (“Cameron”). Schlumberger has filed with the Securities and Exchange Commission (the “SEC”) a registration statement on Form S-4 containing a preliminary proxy statement/prospectus of Schlumberger and Cameron and other documents related to the proposed transaction. This communication is not a substitute for any proxy statement, registration statement, proxy statement/prospectus or other document Schlumberger or Cameron may file with the SEC in connection with the proposed transaction.</w:t>
      </w:r>
    </w:p>
    <w:p>
      <w:pPr>
        <w:spacing w:after="0" w:line="146" w:lineRule="exact"/>
        <w:rPr>
          <w:sz w:val="20"/>
          <w:szCs w:val="20"/>
          <w:color w:val="auto"/>
        </w:rPr>
      </w:pPr>
    </w:p>
    <w:p>
      <w:pPr>
        <w:ind w:firstLine="458"/>
        <w:spacing w:after="0" w:line="279" w:lineRule="auto"/>
        <w:rPr>
          <w:sz w:val="20"/>
          <w:szCs w:val="20"/>
          <w:color w:val="auto"/>
        </w:rPr>
      </w:pPr>
      <w:r>
        <w:rPr>
          <w:rFonts w:ascii="Arial" w:cs="Arial" w:eastAsia="Arial" w:hAnsi="Arial"/>
          <w:sz w:val="13"/>
          <w:szCs w:val="13"/>
          <w:color w:val="auto"/>
        </w:rPr>
        <w:t>STOCKHOLDERS ARE URGED TO READ THE PROXY STATEMENT/PROSPECTUS, THE REGISTRATION STATEMENT AND OTHER DOCUMENTS THAT MAY BE FILED WITH THE SEC REGARDING THE PROPOSED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Participants in Solicitation</w:t>
      </w:r>
    </w:p>
    <w:p>
      <w:pPr>
        <w:spacing w:after="0" w:line="98" w:lineRule="exact"/>
        <w:rPr>
          <w:sz w:val="20"/>
          <w:szCs w:val="20"/>
          <w:color w:val="auto"/>
        </w:rPr>
      </w:pPr>
    </w:p>
    <w:p>
      <w:pPr>
        <w:ind w:right="100" w:firstLine="458"/>
        <w:spacing w:after="0" w:line="280" w:lineRule="auto"/>
        <w:rPr>
          <w:sz w:val="20"/>
          <w:szCs w:val="20"/>
          <w:color w:val="auto"/>
        </w:rPr>
      </w:pPr>
      <w:r>
        <w:rPr>
          <w:rFonts w:ascii="Arial" w:cs="Arial" w:eastAsia="Arial" w:hAnsi="Arial"/>
          <w:sz w:val="13"/>
          <w:szCs w:val="13"/>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ectPr>
          <w:pgSz w:w="11900" w:h="16838" w:orient="portrait"/>
          <w:cols w:equalWidth="0" w:num="1">
            <w:col w:w="11460"/>
          </w:cols>
          <w:pgMar w:left="220" w:top="242" w:right="2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130175</wp:posOffset>
            </wp:positionH>
            <wp:positionV relativeFrom="page">
              <wp:posOffset>88900</wp:posOffset>
            </wp:positionV>
            <wp:extent cx="73145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33020"/>
                    </a:xfrm>
                    <a:prstGeom prst="rect">
                      <a:avLst/>
                    </a:prstGeom>
                    <a:noFill/>
                  </pic:spPr>
                </pic:pic>
              </a:graphicData>
            </a:graphic>
          </wp:anchor>
        </w:drawing>
        <w:t>Forward-Looking Statements</w:t>
      </w:r>
    </w:p>
    <w:p>
      <w:pPr>
        <w:spacing w:after="0" w:line="98" w:lineRule="exact"/>
        <w:rPr>
          <w:sz w:val="20"/>
          <w:szCs w:val="20"/>
          <w:color w:val="auto"/>
        </w:rPr>
      </w:pPr>
    </w:p>
    <w:p>
      <w:pPr>
        <w:ind w:firstLine="458"/>
        <w:spacing w:after="0" w:line="304" w:lineRule="auto"/>
        <w:rPr>
          <w:sz w:val="20"/>
          <w:szCs w:val="20"/>
          <w:color w:val="auto"/>
        </w:rPr>
      </w:pPr>
      <w:r>
        <w:rPr>
          <w:rFonts w:ascii="Arial" w:cs="Arial" w:eastAsia="Arial" w:hAnsi="Arial"/>
          <w:sz w:val="12"/>
          <w:szCs w:val="12"/>
          <w:color w:val="auto"/>
        </w:rPr>
        <w:t>This presentation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sectPr>
      <w:pgSz w:w="11900" w:h="16838" w:orient="portrait"/>
      <w:cols w:equalWidth="0" w:num="1">
        <w:col w:w="11460"/>
      </w:cols>
      <w:pgMar w:left="220" w:top="2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2019-12-05T15:04:55Z</dcterms:created>
  <dcterms:modified xsi:type="dcterms:W3CDTF">2019-12-05T15:04:55Z</dcterms:modified>
</cp:coreProperties>
</file>