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#806857108</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#806857108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Corp.</w:t>
      </w:r>
    </w:p>
    <w:p>
      <w:pPr>
        <w:spacing w:after="0" w:line="238" w:lineRule="auto"/>
        <w:rPr>
          <w:sz w:val="20"/>
          <w:szCs w:val="20"/>
          <w:color w:val="auto"/>
        </w:rPr>
      </w:pPr>
      <w:r>
        <w:rPr>
          <w:rFonts w:ascii="Courier New" w:cs="Courier New" w:eastAsia="Courier New" w:hAnsi="Courier New"/>
          <w:sz w:val="18"/>
          <w:szCs w:val="18"/>
          <w:color w:val="auto"/>
        </w:rPr>
        <w:t>Item 4: Delaware</w:t>
      </w:r>
    </w:p>
    <w:p>
      <w:pPr>
        <w:spacing w:after="0"/>
        <w:rPr>
          <w:sz w:val="20"/>
          <w:szCs w:val="20"/>
          <w:color w:val="auto"/>
        </w:rPr>
      </w:pPr>
      <w:r>
        <w:rPr>
          <w:rFonts w:ascii="Courier New" w:cs="Courier New" w:eastAsia="Courier New" w:hAnsi="Courier New"/>
          <w:sz w:val="18"/>
          <w:szCs w:val="18"/>
          <w:color w:val="auto"/>
        </w:rPr>
        <w:t>Item 5: 2,670,818</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42,414,209</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42,414,209</w:t>
      </w: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line="170"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170"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7.204%</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3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#806857108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Edward C. Johnson 3d</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42,414,209</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42,414,209</w:t>
      </w: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line="170"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170"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170" w:lineRule="exact"/>
              <w:rPr>
                <w:sz w:val="20"/>
                <w:szCs w:val="20"/>
                <w:color w:val="auto"/>
              </w:rPr>
            </w:pPr>
            <w:r>
              <w:rPr>
                <w:rFonts w:ascii="Courier New" w:cs="Courier New" w:eastAsia="Courier New" w:hAnsi="Courier New"/>
                <w:sz w:val="18"/>
                <w:szCs w:val="18"/>
                <w:color w:val="auto"/>
                <w:w w:val="92"/>
              </w:rPr>
              <w:t>7.204%</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IN</w:t>
            </w:r>
          </w:p>
        </w:tc>
      </w:tr>
    </w:tbl>
    <w:p>
      <w:pPr>
        <w:spacing w:after="0" w:line="3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#806857108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42,414,209</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42,414,209</w:t>
      </w: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line="170"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170"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7.204%</w:t>
            </w: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31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153 East 53 Street</w:t>
      </w:r>
    </w:p>
    <w:p>
      <w:pPr>
        <w:spacing w:after="0" w:line="29"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57th Floor</w:t>
      </w:r>
    </w:p>
    <w:p>
      <w:pPr>
        <w:ind w:left="1700"/>
        <w:spacing w:after="0"/>
        <w:tabs>
          <w:tab w:leader="none" w:pos="3140" w:val="left"/>
        </w:tabs>
        <w:rPr>
          <w:sz w:val="20"/>
          <w:szCs w:val="20"/>
          <w:color w:val="auto"/>
        </w:rPr>
      </w:pPr>
      <w:r>
        <w:rPr>
          <w:rFonts w:ascii="Courier New" w:cs="Courier New" w:eastAsia="Courier New" w:hAnsi="Courier New"/>
          <w:sz w:val="18"/>
          <w:szCs w:val="18"/>
          <w:color w:val="auto"/>
        </w:rPr>
        <w:t>New York, NY</w:t>
        <w:tab/>
        <w:t>10020</w:t>
      </w:r>
    </w:p>
    <w:p>
      <w:pPr>
        <w:spacing w:after="0" w:line="37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ind w:right="3359"/>
        <w:spacing w:after="0" w:line="347"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18"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31"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169"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218" w:right="1440" w:bottom="0" w:gutter="0" w:footer="0" w:header="0"/>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806857108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53"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96"/>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42,414,209</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7.204%</w:t>
            </w:r>
          </w:p>
        </w:tc>
        <w:tc>
          <w:tcPr>
            <w:tcW w:w="1160" w:type="dxa"/>
            <w:vAlign w:val="bottom"/>
          </w:tcPr>
          <w:p>
            <w:pPr>
              <w:spacing w:after="0"/>
              <w:rPr>
                <w:sz w:val="24"/>
                <w:szCs w:val="24"/>
                <w:color w:val="auto"/>
              </w:rPr>
            </w:pPr>
          </w:p>
        </w:tc>
      </w:tr>
    </w:tbl>
    <w:p>
      <w:pPr>
        <w:spacing w:after="0" w:line="109"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10" w:right="1440" w:bottom="0" w:gutter="0" w:footer="0" w:header="0"/>
        </w:sectPr>
      </w:pP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2,670,818</w:t>
      </w:r>
    </w:p>
    <w:p>
      <w:pPr>
        <w:spacing w:after="0" w:line="169" w:lineRule="exact"/>
        <w:rPr>
          <w:sz w:val="20"/>
          <w:szCs w:val="20"/>
          <w:color w:val="auto"/>
        </w:rPr>
      </w:pPr>
    </w:p>
    <w:p>
      <w:pPr>
        <w:sectPr>
          <w:pgSz w:w="11900" w:h="16838" w:orient="portrait"/>
          <w:cols w:equalWidth="0" w:num="2">
            <w:col w:w="1160" w:space="540"/>
            <w:col w:w="8519"/>
          </w:cols>
          <w:pgMar w:left="240" w:top="110" w:right="1440" w:bottom="0" w:gutter="0" w:footer="0" w:header="0"/>
          <w:type w:val="continuous"/>
        </w:sect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120" w:type="dxa"/>
            <w:vAlign w:val="bottom"/>
          </w:tcPr>
          <w:p>
            <w:pPr>
              <w:spacing w:after="0"/>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77"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42,414,209</w:t>
            </w:r>
          </w:p>
        </w:tc>
      </w:tr>
    </w:tbl>
    <w:p>
      <w:pPr>
        <w:spacing w:after="0" w:line="77"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3479"/>
        <w:spacing w:after="0" w:line="347"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18" w:lineRule="exact"/>
        <w:rPr>
          <w:sz w:val="20"/>
          <w:szCs w:val="20"/>
          <w:color w:val="auto"/>
        </w:rPr>
      </w:pPr>
    </w:p>
    <w:p>
      <w:pPr>
        <w:ind w:right="3359" w:firstLine="843"/>
        <w:spacing w:after="0" w:line="24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Schlumberger Limited. No one person's interest in the Common Stock of Schlumberger</w:t>
      </w:r>
    </w:p>
    <w:p>
      <w:pPr>
        <w:spacing w:after="0" w:line="3" w:lineRule="exact"/>
        <w:rPr>
          <w:sz w:val="20"/>
          <w:szCs w:val="20"/>
          <w:color w:val="auto"/>
        </w:rPr>
      </w:pPr>
    </w:p>
    <w:p>
      <w:pPr>
        <w:ind w:right="4099"/>
        <w:spacing w:after="0" w:line="309" w:lineRule="auto"/>
        <w:rPr>
          <w:sz w:val="20"/>
          <w:szCs w:val="20"/>
          <w:color w:val="auto"/>
        </w:rPr>
      </w:pPr>
      <w:r>
        <w:rPr>
          <w:rFonts w:ascii="Courier New" w:cs="Courier New" w:eastAsia="Courier New" w:hAnsi="Courier New"/>
          <w:sz w:val="18"/>
          <w:szCs w:val="18"/>
          <w:color w:val="auto"/>
        </w:rPr>
        <w:t>Limited is more than five percent of the total outstanding Common Stock.</w:t>
      </w:r>
    </w:p>
    <w:p>
      <w:pPr>
        <w:spacing w:after="0" w:line="51"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ind w:right="4419"/>
        <w:spacing w:after="0" w:line="347"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3039" w:firstLine="843"/>
        <w:spacing w:after="0" w:line="28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62"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039" w:firstLine="843"/>
        <w:spacing w:after="0" w:line="282"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319"/>
        <w:spacing w:after="0" w:line="309" w:lineRule="auto"/>
        <w:rPr>
          <w:sz w:val="20"/>
          <w:szCs w:val="20"/>
          <w:color w:val="auto"/>
        </w:rPr>
      </w:pPr>
      <w:r>
        <w:rPr>
          <w:rFonts w:ascii="Courier New" w:cs="Courier New" w:eastAsia="Courier New" w:hAnsi="Courier New"/>
          <w:sz w:val="18"/>
          <w:szCs w:val="18"/>
          <w:color w:val="auto"/>
        </w:rPr>
        <w:t>the Common Stock of Schlumberger Limited at December 31, 2004 is true, complete and correct.</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110"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/s/Eric D. Roiter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238" w:lineRule="auto"/>
        <w:rPr>
          <w:sz w:val="20"/>
          <w:szCs w:val="20"/>
          <w:color w:val="auto"/>
        </w:rPr>
      </w:pPr>
      <w:r>
        <w:rPr>
          <w:rFonts w:ascii="Courier New" w:cs="Courier New" w:eastAsia="Courier New" w:hAnsi="Courier New"/>
          <w:sz w:val="18"/>
          <w:szCs w:val="18"/>
          <w:color w:val="auto"/>
        </w:rPr>
        <w:t>dated December 30, 1997 by and on behalf</w:t>
      </w:r>
    </w:p>
    <w:p>
      <w:pPr>
        <w:spacing w:after="0"/>
        <w:rPr>
          <w:sz w:val="20"/>
          <w:szCs w:val="20"/>
          <w:color w:val="auto"/>
        </w:rPr>
      </w:pPr>
      <w:r>
        <w:rPr>
          <w:rFonts w:ascii="Courier New" w:cs="Courier New" w:eastAsia="Courier New" w:hAnsi="Courier New"/>
          <w:sz w:val="18"/>
          <w:szCs w:val="18"/>
          <w:color w:val="auto"/>
        </w:rPr>
        <w:t>of FMR Corp. and its direct and indirect</w:t>
      </w:r>
    </w:p>
    <w:p>
      <w:pPr>
        <w:spacing w:after="0"/>
        <w:rPr>
          <w:sz w:val="20"/>
          <w:szCs w:val="20"/>
          <w:color w:val="auto"/>
        </w:rPr>
      </w:pPr>
      <w:r>
        <w:rPr>
          <w:rFonts w:ascii="Courier New" w:cs="Courier New" w:eastAsia="Courier New" w:hAnsi="Courier New"/>
          <w:sz w:val="18"/>
          <w:szCs w:val="18"/>
          <w:color w:val="auto"/>
        </w:rPr>
        <w:t>subsidiaries</w:t>
      </w:r>
    </w:p>
    <w:p>
      <w:pPr>
        <w:spacing w:after="0" w:line="37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37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 Fidelity Management &amp; Research Company</w:t>
      </w:r>
    </w:p>
    <w:p>
      <w:pPr>
        <w:spacing w:after="0" w:line="238" w:lineRule="auto"/>
        <w:rPr>
          <w:sz w:val="20"/>
          <w:szCs w:val="20"/>
          <w:color w:val="auto"/>
        </w:rPr>
      </w:pPr>
      <w:r>
        <w:rPr>
          <w:rFonts w:ascii="Courier New" w:cs="Courier New" w:eastAsia="Courier New" w:hAnsi="Courier New"/>
          <w:sz w:val="18"/>
          <w:szCs w:val="18"/>
          <w:color w:val="auto"/>
        </w:rPr>
        <w:t>("Fidelity"), 82 Devonshire Street, Boston, Massachusetts</w:t>
      </w:r>
    </w:p>
    <w:p>
      <w:pPr>
        <w:spacing w:after="0"/>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8" w:lineRule="auto"/>
        <w:rPr>
          <w:sz w:val="20"/>
          <w:szCs w:val="20"/>
          <w:color w:val="auto"/>
        </w:rPr>
      </w:pPr>
      <w:r>
        <w:rPr>
          <w:rFonts w:ascii="Courier New" w:cs="Courier New" w:eastAsia="Courier New" w:hAnsi="Courier New"/>
          <w:sz w:val="18"/>
          <w:szCs w:val="18"/>
          <w:color w:val="auto"/>
        </w:rPr>
        <w:t>39,484,031 shares or 6.706% of the Common Stock</w:t>
      </w:r>
    </w:p>
    <w:p>
      <w:pPr>
        <w:spacing w:after="0"/>
        <w:tabs>
          <w:tab w:leader="none" w:pos="3880" w:val="left"/>
        </w:tabs>
        <w:rPr>
          <w:sz w:val="20"/>
          <w:szCs w:val="20"/>
          <w:color w:val="auto"/>
        </w:rPr>
      </w:pPr>
      <w:r>
        <w:rPr>
          <w:rFonts w:ascii="Courier New" w:cs="Courier New" w:eastAsia="Courier New" w:hAnsi="Courier New"/>
          <w:sz w:val="18"/>
          <w:szCs w:val="18"/>
          <w:color w:val="auto"/>
        </w:rPr>
        <w:t>outstanding of Schlumberger Limited</w:t>
      </w:r>
      <w:r>
        <w:rPr>
          <w:sz w:val="20"/>
          <w:szCs w:val="20"/>
          <w:color w:val="auto"/>
        </w:rPr>
        <w:tab/>
      </w:r>
      <w:r>
        <w:rPr>
          <w:rFonts w:ascii="Courier New" w:cs="Courier New" w:eastAsia="Courier New" w:hAnsi="Courier New"/>
          <w:sz w:val="16"/>
          <w:szCs w:val="16"/>
          <w:color w:val="auto"/>
        </w:rPr>
        <w:t>("the Company") as a</w:t>
      </w:r>
    </w:p>
    <w:p>
      <w:pPr>
        <w:spacing w:after="0" w:line="238" w:lineRule="auto"/>
        <w:rPr>
          <w:sz w:val="20"/>
          <w:szCs w:val="20"/>
          <w:color w:val="auto"/>
        </w:rPr>
      </w:pPr>
      <w:r>
        <w:rPr>
          <w:rFonts w:ascii="Courier New" w:cs="Courier New" w:eastAsia="Courier New" w:hAnsi="Courier New"/>
          <w:sz w:val="18"/>
          <w:szCs w:val="18"/>
          <w:color w:val="auto"/>
        </w:rPr>
        <w:t>result of acting as investment adviser to various investment</w:t>
      </w:r>
    </w:p>
    <w:p>
      <w:pPr>
        <w:spacing w:after="0"/>
        <w:rPr>
          <w:sz w:val="20"/>
          <w:szCs w:val="20"/>
          <w:color w:val="auto"/>
        </w:rPr>
      </w:pPr>
      <w:r>
        <w:rPr>
          <w:rFonts w:ascii="Courier New" w:cs="Courier New" w:eastAsia="Courier New" w:hAnsi="Courier New"/>
          <w:sz w:val="18"/>
          <w:szCs w:val="18"/>
          <w:color w:val="auto"/>
        </w:rPr>
        <w:t>companies registered under Section 8 of the Investment</w:t>
      </w:r>
    </w:p>
    <w:p>
      <w:pPr>
        <w:spacing w:after="0"/>
        <w:rPr>
          <w:sz w:val="20"/>
          <w:szCs w:val="20"/>
          <w:color w:val="auto"/>
        </w:rPr>
      </w:pPr>
      <w:r>
        <w:rPr>
          <w:rFonts w:ascii="Courier New" w:cs="Courier New" w:eastAsia="Courier New" w:hAnsi="Courier New"/>
          <w:sz w:val="18"/>
          <w:szCs w:val="18"/>
          <w:color w:val="auto"/>
        </w:rPr>
        <w:t>Company Act of 1940.</w:t>
      </w:r>
    </w:p>
    <w:p>
      <w:pPr>
        <w:spacing w:after="0" w:line="169" w:lineRule="exact"/>
        <w:rPr>
          <w:sz w:val="20"/>
          <w:szCs w:val="20"/>
          <w:color w:val="auto"/>
        </w:rPr>
      </w:pPr>
    </w:p>
    <w:p>
      <w:pPr>
        <w:ind w:right="4199" w:firstLine="843"/>
        <w:spacing w:after="0" w:line="292"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39,484,031 shares owned by the Funds.</w:t>
      </w:r>
    </w:p>
    <w:p>
      <w:pPr>
        <w:spacing w:after="0" w:line="66" w:lineRule="exact"/>
        <w:rPr>
          <w:sz w:val="20"/>
          <w:szCs w:val="20"/>
          <w:color w:val="auto"/>
        </w:rPr>
      </w:pPr>
    </w:p>
    <w:p>
      <w:pPr>
        <w:ind w:right="3679" w:firstLine="843"/>
        <w:spacing w:after="0" w:line="260"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93" w:lineRule="exact"/>
        <w:rPr>
          <w:sz w:val="20"/>
          <w:szCs w:val="20"/>
          <w:color w:val="auto"/>
        </w:rPr>
      </w:pPr>
    </w:p>
    <w:p>
      <w:pPr>
        <w:ind w:right="3679" w:firstLine="843"/>
        <w:spacing w:after="0" w:line="256"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1,873,427 shares or 0.318% of the Common Stock outstanding of the Company as a result of its serving as investment manager of the institutional account(s).</w:t>
      </w:r>
    </w:p>
    <w:p>
      <w:pPr>
        <w:spacing w:after="0" w:line="9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control of Fidelity Management Trust Company, each has</w:t>
      </w:r>
    </w:p>
    <w:p>
      <w:pPr>
        <w:spacing w:after="0" w:line="238" w:lineRule="auto"/>
        <w:rPr>
          <w:sz w:val="20"/>
          <w:szCs w:val="20"/>
          <w:color w:val="auto"/>
        </w:rPr>
      </w:pPr>
      <w:r>
        <w:rPr>
          <w:rFonts w:ascii="Courier New" w:cs="Courier New" w:eastAsia="Courier New" w:hAnsi="Courier New"/>
          <w:sz w:val="18"/>
          <w:szCs w:val="18"/>
          <w:color w:val="auto"/>
        </w:rPr>
        <w:t>sole dispositive power over 1,873,427 shares and sole power</w:t>
      </w:r>
    </w:p>
    <w:p>
      <w:pPr>
        <w:spacing w:after="0"/>
        <w:rPr>
          <w:sz w:val="20"/>
          <w:szCs w:val="20"/>
          <w:color w:val="auto"/>
        </w:rPr>
      </w:pPr>
      <w:r>
        <w:rPr>
          <w:rFonts w:ascii="Courier New" w:cs="Courier New" w:eastAsia="Courier New" w:hAnsi="Courier New"/>
          <w:sz w:val="18"/>
          <w:szCs w:val="18"/>
          <w:color w:val="auto"/>
        </w:rPr>
        <w:t>to vote or to direct the voting of 1,609,387 shares, and no</w:t>
      </w:r>
    </w:p>
    <w:p>
      <w:pPr>
        <w:spacing w:after="0" w:line="238" w:lineRule="auto"/>
        <w:rPr>
          <w:sz w:val="20"/>
          <w:szCs w:val="20"/>
          <w:color w:val="auto"/>
        </w:rPr>
      </w:pPr>
      <w:r>
        <w:rPr>
          <w:rFonts w:ascii="Courier New" w:cs="Courier New" w:eastAsia="Courier New" w:hAnsi="Courier New"/>
          <w:sz w:val="18"/>
          <w:szCs w:val="18"/>
          <w:color w:val="auto"/>
        </w:rPr>
        <w:t>power to vote or to direct the voting of 264,040 shares of</w:t>
      </w:r>
    </w:p>
    <w:p>
      <w:pPr>
        <w:spacing w:after="0"/>
        <w:rPr>
          <w:sz w:val="20"/>
          <w:szCs w:val="20"/>
          <w:color w:val="auto"/>
        </w:rPr>
      </w:pPr>
      <w:r>
        <w:rPr>
          <w:rFonts w:ascii="Courier New" w:cs="Courier New" w:eastAsia="Courier New" w:hAnsi="Courier New"/>
          <w:sz w:val="18"/>
          <w:szCs w:val="18"/>
          <w:color w:val="auto"/>
        </w:rPr>
        <w:t>Common Stock owned by the institutional account(s) as</w:t>
      </w:r>
    </w:p>
    <w:p>
      <w:pPr>
        <w:spacing w:after="0"/>
        <w:rPr>
          <w:sz w:val="20"/>
          <w:szCs w:val="20"/>
          <w:color w:val="auto"/>
        </w:rPr>
      </w:pPr>
      <w:r>
        <w:rPr>
          <w:rFonts w:ascii="Courier New" w:cs="Courier New" w:eastAsia="Courier New" w:hAnsi="Courier New"/>
          <w:sz w:val="18"/>
          <w:szCs w:val="18"/>
          <w:color w:val="auto"/>
        </w:rPr>
        <w:t>reported above.</w:t>
      </w:r>
    </w:p>
    <w:p>
      <w:pPr>
        <w:spacing w:after="0" w:line="169" w:lineRule="exact"/>
        <w:rPr>
          <w:sz w:val="20"/>
          <w:szCs w:val="20"/>
          <w:color w:val="auto"/>
        </w:rPr>
      </w:pPr>
    </w:p>
    <w:p>
      <w:pPr>
        <w:ind w:right="4419" w:firstLine="843"/>
        <w:spacing w:after="0" w:line="289" w:lineRule="auto"/>
        <w:rPr>
          <w:sz w:val="20"/>
          <w:szCs w:val="20"/>
          <w:color w:val="auto"/>
        </w:rPr>
      </w:pPr>
      <w:r>
        <w:rPr>
          <w:rFonts w:ascii="Courier New" w:cs="Courier New" w:eastAsia="Courier New" w:hAnsi="Courier New"/>
          <w:sz w:val="16"/>
          <w:szCs w:val="16"/>
          <w:color w:val="auto"/>
        </w:rPr>
        <w:t>Strategic Advisers, Inc., 82 Devonshire Street, Boston, MA 02109, a wholly-owned subsidiary of FMR</w:t>
      </w:r>
    </w:p>
    <w:p>
      <w:pPr>
        <w:spacing w:after="0" w:line="1"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Corp. and an investment adviser registered under Section 203 of the Investment Advisers Act of 1940, provides investment advisory services to individuals. As such, FMR Corp.'s beneficial ownership includes 7,621 shares, or 0.001%, of the Common Stock stock outstanding of Schlumberger Limited, beneficially owned through Strategic Advisers, Inc.</w:t>
      </w:r>
    </w:p>
    <w:p>
      <w:pPr>
        <w:spacing w:after="0" w:line="72" w:lineRule="exact"/>
        <w:rPr>
          <w:sz w:val="20"/>
          <w:szCs w:val="20"/>
          <w:color w:val="auto"/>
        </w:rPr>
      </w:pPr>
    </w:p>
    <w:p>
      <w:pPr>
        <w:ind w:right="4099" w:firstLine="843"/>
        <w:spacing w:after="0" w:line="245"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ectPr>
          <w:pgSz w:w="11900" w:h="16838" w:orient="portrait"/>
          <w:cols w:equalWidth="0" w:num="1">
            <w:col w:w="10219"/>
          </w:cols>
          <w:pgMar w:left="240" w:top="312" w:right="1440" w:bottom="0" w:gutter="0" w:footer="0" w:header="0"/>
        </w:sectPr>
      </w:pPr>
    </w:p>
    <w:bookmarkStart w:id="3" w:name="page4"/>
    <w:bookmarkEnd w:id="3"/>
    <w:p>
      <w:pPr>
        <w:ind w:right="3779" w:firstLine="843"/>
        <w:spacing w:after="0" w:line="250"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1,049,130 shares or 0.178% of the Common Stock outstanding of the Company. Additional information with respect to the beneficial ownership of Fidelity International Limited is shown on Exhibit B.</w:t>
      </w:r>
    </w:p>
    <w:p>
      <w:pPr>
        <w:spacing w:after="0" w:line="3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169" w:lineRule="exact"/>
        <w:rPr>
          <w:sz w:val="20"/>
          <w:szCs w:val="20"/>
          <w:color w:val="auto"/>
        </w:rPr>
      </w:pPr>
    </w:p>
    <w:p>
      <w:pPr>
        <w:ind w:right="3459" w:firstLine="843"/>
        <w:spacing w:after="0" w:line="282"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line="250" w:lineRule="auto"/>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1,049,130 shares or 0.178% of the Common Stock outstanding of Schlumberger Limited.</w:t>
      </w:r>
    </w:p>
    <w:p>
      <w:pPr>
        <w:spacing w:after="0" w:line="314" w:lineRule="exact"/>
        <w:rPr>
          <w:sz w:val="20"/>
          <w:szCs w:val="20"/>
          <w:color w:val="auto"/>
        </w:rPr>
      </w:pPr>
    </w:p>
    <w:p>
      <w:pPr>
        <w:ind w:right="3479" w:firstLine="843"/>
        <w:spacing w:after="0" w:line="252"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99" w:lineRule="exact"/>
        <w:rPr>
          <w:sz w:val="20"/>
          <w:szCs w:val="20"/>
          <w:color w:val="auto"/>
        </w:rPr>
      </w:pPr>
    </w:p>
    <w:p>
      <w:pPr>
        <w:ind w:right="3899" w:firstLine="843"/>
        <w:spacing w:after="0" w:line="289"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spacing w:after="0" w:line="1" w:lineRule="exact"/>
        <w:rPr>
          <w:sz w:val="20"/>
          <w:szCs w:val="20"/>
          <w:color w:val="auto"/>
        </w:rPr>
      </w:pP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95"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7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line="238" w:lineRule="auto"/>
        <w:rPr>
          <w:sz w:val="20"/>
          <w:szCs w:val="20"/>
          <w:color w:val="auto"/>
        </w:rPr>
      </w:pPr>
      <w:r>
        <w:rPr>
          <w:rFonts w:ascii="Courier New" w:cs="Courier New" w:eastAsia="Courier New" w:hAnsi="Courier New"/>
          <w:sz w:val="18"/>
          <w:szCs w:val="18"/>
          <w:color w:val="auto"/>
        </w:rPr>
        <w:t>Securities Exchange Act of 1934 (the "1934" Act) and that</w:t>
      </w:r>
    </w:p>
    <w:p>
      <w:pPr>
        <w:spacing w:after="0"/>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8" w:lineRule="auto"/>
        <w:rPr>
          <w:sz w:val="20"/>
          <w:szCs w:val="20"/>
          <w:color w:val="auto"/>
        </w:rPr>
      </w:pPr>
      <w:r>
        <w:rPr>
          <w:rFonts w:ascii="Courier New" w:cs="Courier New" w:eastAsia="Courier New" w:hAnsi="Courier New"/>
          <w:sz w:val="18"/>
          <w:szCs w:val="18"/>
          <w:color w:val="auto"/>
        </w:rPr>
        <w:t>aggregated for purposes of Section 13(d). However, FMR</w:t>
      </w:r>
    </w:p>
    <w:p>
      <w:pPr>
        <w:ind w:right="3359"/>
        <w:spacing w:after="0" w:line="273"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82" w:lineRule="exact"/>
        <w:rPr>
          <w:sz w:val="20"/>
          <w:szCs w:val="20"/>
          <w:color w:val="auto"/>
        </w:rPr>
      </w:pPr>
    </w:p>
    <w:p>
      <w:pPr>
        <w:ind w:right="3579" w:firstLine="843"/>
        <w:spacing w:after="0" w:line="260"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93" w:lineRule="exact"/>
        <w:rPr>
          <w:sz w:val="20"/>
          <w:szCs w:val="20"/>
          <w:color w:val="auto"/>
        </w:rPr>
      </w:pPr>
    </w:p>
    <w:p>
      <w:pPr>
        <w:ind w:right="3679" w:firstLine="843"/>
        <w:spacing w:after="0" w:line="275"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w:t>
      </w:r>
    </w:p>
    <w:p>
      <w:pPr>
        <w:spacing w:after="0" w:line="1" w:lineRule="exact"/>
        <w:rPr>
          <w:sz w:val="20"/>
          <w:szCs w:val="20"/>
          <w:color w:val="auto"/>
        </w:rPr>
      </w:pPr>
    </w:p>
    <w:p>
      <w:pPr>
        <w:ind w:right="3679"/>
        <w:spacing w:after="0" w:line="262" w:lineRule="auto"/>
        <w:rPr>
          <w:sz w:val="20"/>
          <w:szCs w:val="20"/>
          <w:color w:val="auto"/>
        </w:rPr>
      </w:pPr>
      <w:r>
        <w:rPr>
          <w:rFonts w:ascii="Courier New" w:cs="Courier New" w:eastAsia="Courier New" w:hAnsi="Courier New"/>
          <w:sz w:val="18"/>
          <w:szCs w:val="18"/>
          <w:color w:val="auto"/>
        </w:rPr>
        <w:t>FIL may determine to cease making additional purchases of shares or to increase or decrease the equity interest in the Company by acquiring additional shares, or by disposing of all or a portion of the shares.</w:t>
      </w:r>
    </w:p>
    <w:p>
      <w:pPr>
        <w:spacing w:after="0" w:line="9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FIL does not have a present plan or proposal which</w:t>
      </w:r>
    </w:p>
    <w:p>
      <w:pPr>
        <w:sectPr>
          <w:pgSz w:w="11900" w:h="16838" w:orient="portrait"/>
          <w:cols w:equalWidth="0" w:num="1">
            <w:col w:w="10219"/>
          </w:cols>
          <w:pgMar w:left="240" w:top="312" w:right="1440" w:bottom="0" w:gutter="0" w:footer="0" w:header="0"/>
        </w:sectPr>
      </w:pPr>
    </w:p>
    <w:bookmarkStart w:id="4" w:name="page5"/>
    <w:bookmarkEnd w:id="4"/>
    <w:p>
      <w:pPr>
        <w:ind w:right="3679"/>
        <w:spacing w:after="0" w:line="276" w:lineRule="auto"/>
        <w:rPr>
          <w:sz w:val="20"/>
          <w:szCs w:val="20"/>
          <w:color w:val="auto"/>
        </w:rPr>
      </w:pPr>
      <w:r>
        <w:rPr>
          <w:rFonts w:ascii="Courier New" w:cs="Courier New" w:eastAsia="Courier New" w:hAnsi="Courier New"/>
          <w:sz w:val="16"/>
          <w:szCs w:val="16"/>
          <w:color w:val="auto"/>
        </w:rPr>
        <w:t>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3"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72" w:lineRule="exact"/>
        <w:rPr>
          <w:sz w:val="20"/>
          <w:szCs w:val="20"/>
          <w:color w:val="auto"/>
        </w:rPr>
      </w:pPr>
    </w:p>
    <w:p>
      <w:pPr>
        <w:ind w:right="4199" w:firstLine="843"/>
        <w:spacing w:after="0" w:line="347" w:lineRule="auto"/>
        <w:rPr>
          <w:sz w:val="20"/>
          <w:szCs w:val="20"/>
          <w:color w:val="auto"/>
        </w:rPr>
      </w:pPr>
      <w:r>
        <w:rPr>
          <w:rFonts w:ascii="Courier New" w:cs="Courier New" w:eastAsia="Courier New" w:hAnsi="Courier New"/>
          <w:sz w:val="18"/>
          <w:szCs w:val="18"/>
          <w:color w:val="auto"/>
        </w:rPr>
        <w:t>FIL has sole power to vote and the sole power to dispose of 1,049,130 shares.</w:t>
      </w:r>
    </w:p>
    <w:p>
      <w:pPr>
        <w:spacing w:after="0" w:line="22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w:t>
      </w:r>
    </w:p>
    <w:p>
      <w:pPr>
        <w:ind w:left="860"/>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169" w:lineRule="exact"/>
        <w:rPr>
          <w:sz w:val="20"/>
          <w:szCs w:val="20"/>
          <w:color w:val="auto"/>
        </w:rPr>
      </w:pPr>
    </w:p>
    <w:p>
      <w:pPr>
        <w:ind w:right="3479" w:firstLine="843"/>
        <w:spacing w:after="0" w:line="267" w:lineRule="auto"/>
        <w:rPr>
          <w:sz w:val="20"/>
          <w:szCs w:val="20"/>
          <w:color w:val="auto"/>
        </w:rPr>
      </w:pPr>
      <w:r>
        <w:rPr>
          <w:rFonts w:ascii="Courier New" w:cs="Courier New" w:eastAsia="Courier New" w:hAnsi="Courier New"/>
          <w:sz w:val="18"/>
          <w:szCs w:val="18"/>
          <w:color w:val="auto"/>
        </w:rPr>
        <w:t>The undersigned persons, on February 14, 2005, agree and consent to the joint filing on their behalf of this Schedule 13G in connection with their beneficial ownership of the Common Stock of Schlumberger Limited at December 31, 2004.</w:t>
      </w:r>
    </w:p>
    <w:p>
      <w:pPr>
        <w:spacing w:after="0" w:line="3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rPr>
          <w:sz w:val="20"/>
          <w:szCs w:val="20"/>
          <w:color w:val="auto"/>
        </w:rPr>
      </w:pPr>
      <w:r>
        <w:rPr>
          <w:rFonts w:ascii="Courier New" w:cs="Courier New" w:eastAsia="Courier New" w:hAnsi="Courier New"/>
          <w:sz w:val="18"/>
          <w:szCs w:val="18"/>
          <w:color w:val="auto"/>
        </w:rPr>
        <w:t>of Edward C. Johnson 3d</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rPr>
          <w:sz w:val="20"/>
          <w:szCs w:val="20"/>
          <w:color w:val="auto"/>
        </w:rPr>
      </w:pPr>
      <w:r>
        <w:rPr>
          <w:rFonts w:ascii="Courier New" w:cs="Courier New" w:eastAsia="Courier New" w:hAnsi="Courier New"/>
          <w:sz w:val="18"/>
          <w:szCs w:val="18"/>
          <w:color w:val="auto"/>
        </w:rPr>
        <w:t>of Abigail P. Johnson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2019-12-13T06:36:43Z</dcterms:created>
  <dcterms:modified xsi:type="dcterms:W3CDTF">2019-12-13T06:36:43Z</dcterms:modified>
</cp:coreProperties>
</file>