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April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u w:val="single" w:color="auto"/>
          <w:color w:val="auto"/>
        </w:rPr>
        <w:t>Submission of Matters to a Vote of Security Holders</w:t>
      </w:r>
      <w:r>
        <w:rPr>
          <w:rFonts w:ascii="Arial" w:cs="Arial" w:eastAsia="Arial" w:hAnsi="Arial"/>
          <w:sz w:val="16"/>
          <w:szCs w:val="16"/>
          <w:color w:val="auto"/>
        </w:rPr>
        <w:t>.</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2015 Annual General Meeting of Stockholders (the “Annual Meeting”) of Schlumberger Limited (Schlumberger N.V.), a Curaçao corporation (“Schlumberger”), was held on April 8, 2015. At the Annual Meeting, the stockholders of Schlumberger:</w:t>
      </w:r>
    </w:p>
    <w:p>
      <w:pPr>
        <w:spacing w:after="0" w:line="7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1—elected all 11 director nominees;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2—approved, on an advisory basis, Schlumberger’s executive compensation;</w:t>
      </w:r>
    </w:p>
    <w:p>
      <w:pPr>
        <w:spacing w:after="0" w:line="130"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3—approved Schlumberger’s Consolidated Balance Sheet as at December 31, 2014, its Consolidated Statement of Income for the year ended December 31, 2014, and the declarations of dividends by the Board of Directors in 2014 as reflected in Schlumberger’s 2014 Annual Report to Stockholders; and</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4—approved the appointment of PricewaterhouseCoopers LLP as the independent registered public accounting firm to audit the accounts of Schlumberger for 2015.</w:t>
      </w:r>
    </w:p>
    <w:p>
      <w:pPr>
        <w:spacing w:after="0" w:line="170"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The proposals are described in detail in Schlumberger’s definitive proxy statement for the Annual Meeting, which was filed with the SEC on February 19, 2015 (the “Definitive Proxy Statement”).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For</w:t>
            </w:r>
          </w:p>
        </w:tc>
        <w:tc>
          <w:tcPr>
            <w:tcW w:w="11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Against</w:t>
            </w:r>
          </w:p>
        </w:tc>
        <w:tc>
          <w:tcPr>
            <w:tcW w:w="10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Abstain</w:t>
            </w: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Broker Non-</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30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80" w:type="dxa"/>
            <w:vAlign w:val="bottom"/>
          </w:tcPr>
          <w:p>
            <w:pPr>
              <w:ind w:left="400"/>
              <w:spacing w:after="0"/>
              <w:rPr>
                <w:sz w:val="20"/>
                <w:szCs w:val="20"/>
                <w:color w:val="auto"/>
              </w:rPr>
            </w:pPr>
            <w:r>
              <w:rPr>
                <w:rFonts w:ascii="Arial" w:cs="Arial" w:eastAsia="Arial" w:hAnsi="Arial"/>
                <w:sz w:val="14"/>
                <w:szCs w:val="14"/>
                <w:b w:val="1"/>
                <w:bCs w:val="1"/>
                <w:color w:val="auto"/>
              </w:rPr>
              <w:t>votes</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Peter L.S. Currie</w:t>
            </w:r>
          </w:p>
        </w:tc>
        <w:tc>
          <w:tcPr>
            <w:tcW w:w="3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946,805,049</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1,298,830</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2,582,238</w:t>
            </w:r>
          </w:p>
        </w:tc>
        <w:tc>
          <w:tcPr>
            <w:tcW w:w="1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98,084,477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K. Vaman Kamath</w:t>
            </w:r>
          </w:p>
        </w:tc>
        <w:tc>
          <w:tcPr>
            <w:tcW w:w="3040" w:type="dxa"/>
            <w:vAlign w:val="bottom"/>
          </w:tcPr>
          <w:p>
            <w:pPr>
              <w:jc w:val="right"/>
              <w:ind w:right="91"/>
              <w:spacing w:after="0"/>
              <w:rPr>
                <w:sz w:val="20"/>
                <w:szCs w:val="20"/>
                <w:color w:val="auto"/>
              </w:rPr>
            </w:pPr>
            <w:r>
              <w:rPr>
                <w:rFonts w:ascii="Arial" w:cs="Arial" w:eastAsia="Arial" w:hAnsi="Arial"/>
                <w:sz w:val="18"/>
                <w:szCs w:val="18"/>
                <w:color w:val="auto"/>
              </w:rPr>
              <w:t>945,663,677</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2,419,115</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2,603,325</w:t>
            </w:r>
          </w:p>
        </w:tc>
        <w:tc>
          <w:tcPr>
            <w:tcW w:w="1080" w:type="dxa"/>
            <w:vAlign w:val="bottom"/>
          </w:tcPr>
          <w:p>
            <w:pPr>
              <w:ind w:left="180"/>
              <w:spacing w:after="0"/>
              <w:rPr>
                <w:sz w:val="20"/>
                <w:szCs w:val="20"/>
                <w:color w:val="auto"/>
              </w:rPr>
            </w:pPr>
            <w:r>
              <w:rPr>
                <w:rFonts w:ascii="Arial" w:cs="Arial" w:eastAsia="Arial" w:hAnsi="Arial"/>
                <w:sz w:val="18"/>
                <w:szCs w:val="18"/>
                <w:color w:val="auto"/>
                <w:w w:val="97"/>
              </w:rPr>
              <w:t>98,084,477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 Maureen Kempston Darkes</w:t>
            </w:r>
          </w:p>
        </w:tc>
        <w:tc>
          <w:tcPr>
            <w:tcW w:w="3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876,279,859</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71,833,932</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2,572,326</w:t>
            </w:r>
          </w:p>
        </w:tc>
        <w:tc>
          <w:tcPr>
            <w:tcW w:w="1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98,084,477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Paal Kibsgaard</w:t>
            </w:r>
          </w:p>
        </w:tc>
        <w:tc>
          <w:tcPr>
            <w:tcW w:w="3040" w:type="dxa"/>
            <w:vAlign w:val="bottom"/>
          </w:tcPr>
          <w:p>
            <w:pPr>
              <w:jc w:val="right"/>
              <w:ind w:right="91"/>
              <w:spacing w:after="0"/>
              <w:rPr>
                <w:sz w:val="20"/>
                <w:szCs w:val="20"/>
                <w:color w:val="auto"/>
              </w:rPr>
            </w:pPr>
            <w:r>
              <w:rPr>
                <w:rFonts w:ascii="Arial" w:cs="Arial" w:eastAsia="Arial" w:hAnsi="Arial"/>
                <w:sz w:val="18"/>
                <w:szCs w:val="18"/>
                <w:color w:val="auto"/>
              </w:rPr>
              <w:t>922,590,871</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22,260,446</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5,834,800</w:t>
            </w:r>
          </w:p>
        </w:tc>
        <w:tc>
          <w:tcPr>
            <w:tcW w:w="1080" w:type="dxa"/>
            <w:vAlign w:val="bottom"/>
          </w:tcPr>
          <w:p>
            <w:pPr>
              <w:ind w:left="180"/>
              <w:spacing w:after="0"/>
              <w:rPr>
                <w:sz w:val="20"/>
                <w:szCs w:val="20"/>
                <w:color w:val="auto"/>
              </w:rPr>
            </w:pPr>
            <w:r>
              <w:rPr>
                <w:rFonts w:ascii="Arial" w:cs="Arial" w:eastAsia="Arial" w:hAnsi="Arial"/>
                <w:sz w:val="18"/>
                <w:szCs w:val="18"/>
                <w:color w:val="auto"/>
                <w:w w:val="97"/>
              </w:rPr>
              <w:t>98,084,477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3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946,052,236</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1,998,470</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2,635,411</w:t>
            </w:r>
          </w:p>
        </w:tc>
        <w:tc>
          <w:tcPr>
            <w:tcW w:w="1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98,084,477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Michael E. Marks</w:t>
            </w:r>
          </w:p>
        </w:tc>
        <w:tc>
          <w:tcPr>
            <w:tcW w:w="3040" w:type="dxa"/>
            <w:vAlign w:val="bottom"/>
          </w:tcPr>
          <w:p>
            <w:pPr>
              <w:jc w:val="right"/>
              <w:ind w:right="91"/>
              <w:spacing w:after="0"/>
              <w:rPr>
                <w:sz w:val="20"/>
                <w:szCs w:val="20"/>
                <w:color w:val="auto"/>
              </w:rPr>
            </w:pPr>
            <w:r>
              <w:rPr>
                <w:rFonts w:ascii="Arial" w:cs="Arial" w:eastAsia="Arial" w:hAnsi="Arial"/>
                <w:sz w:val="18"/>
                <w:szCs w:val="18"/>
                <w:color w:val="auto"/>
              </w:rPr>
              <w:t>940,911,601</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7,187,045</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2,587,471</w:t>
            </w:r>
          </w:p>
        </w:tc>
        <w:tc>
          <w:tcPr>
            <w:tcW w:w="1080" w:type="dxa"/>
            <w:vAlign w:val="bottom"/>
          </w:tcPr>
          <w:p>
            <w:pPr>
              <w:ind w:left="180"/>
              <w:spacing w:after="0"/>
              <w:rPr>
                <w:sz w:val="20"/>
                <w:szCs w:val="20"/>
                <w:color w:val="auto"/>
              </w:rPr>
            </w:pPr>
            <w:r>
              <w:rPr>
                <w:rFonts w:ascii="Arial" w:cs="Arial" w:eastAsia="Arial" w:hAnsi="Arial"/>
                <w:sz w:val="18"/>
                <w:szCs w:val="18"/>
                <w:color w:val="auto"/>
                <w:w w:val="97"/>
              </w:rPr>
              <w:t>98,084,477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Indra K. Nooyi</w:t>
            </w:r>
          </w:p>
        </w:tc>
        <w:tc>
          <w:tcPr>
            <w:tcW w:w="3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945,469,320</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2,555,330</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2,661,467</w:t>
            </w:r>
          </w:p>
        </w:tc>
        <w:tc>
          <w:tcPr>
            <w:tcW w:w="1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98,084,477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Lubna S. Olayan</w:t>
            </w:r>
          </w:p>
        </w:tc>
        <w:tc>
          <w:tcPr>
            <w:tcW w:w="3040" w:type="dxa"/>
            <w:vAlign w:val="bottom"/>
          </w:tcPr>
          <w:p>
            <w:pPr>
              <w:jc w:val="right"/>
              <w:ind w:right="91"/>
              <w:spacing w:after="0"/>
              <w:rPr>
                <w:sz w:val="20"/>
                <w:szCs w:val="20"/>
                <w:color w:val="auto"/>
              </w:rPr>
            </w:pPr>
            <w:r>
              <w:rPr>
                <w:rFonts w:ascii="Arial" w:cs="Arial" w:eastAsia="Arial" w:hAnsi="Arial"/>
                <w:sz w:val="18"/>
                <w:szCs w:val="18"/>
                <w:color w:val="auto"/>
              </w:rPr>
              <w:t>944,293,590</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3,145,729</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3,246,798</w:t>
            </w:r>
          </w:p>
        </w:tc>
        <w:tc>
          <w:tcPr>
            <w:tcW w:w="1080" w:type="dxa"/>
            <w:vAlign w:val="bottom"/>
          </w:tcPr>
          <w:p>
            <w:pPr>
              <w:ind w:left="180"/>
              <w:spacing w:after="0"/>
              <w:rPr>
                <w:sz w:val="20"/>
                <w:szCs w:val="20"/>
                <w:color w:val="auto"/>
              </w:rPr>
            </w:pPr>
            <w:r>
              <w:rPr>
                <w:rFonts w:ascii="Arial" w:cs="Arial" w:eastAsia="Arial" w:hAnsi="Arial"/>
                <w:sz w:val="18"/>
                <w:szCs w:val="18"/>
                <w:color w:val="auto"/>
                <w:w w:val="97"/>
              </w:rPr>
              <w:t>98,084,477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3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938,535,758</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9,540,847</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2,609,512</w:t>
            </w:r>
          </w:p>
        </w:tc>
        <w:tc>
          <w:tcPr>
            <w:tcW w:w="1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98,084,477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Tore I. Sandvold</w:t>
            </w:r>
          </w:p>
        </w:tc>
        <w:tc>
          <w:tcPr>
            <w:tcW w:w="3040" w:type="dxa"/>
            <w:vAlign w:val="bottom"/>
          </w:tcPr>
          <w:p>
            <w:pPr>
              <w:jc w:val="right"/>
              <w:ind w:right="91"/>
              <w:spacing w:after="0"/>
              <w:rPr>
                <w:sz w:val="20"/>
                <w:szCs w:val="20"/>
                <w:color w:val="auto"/>
              </w:rPr>
            </w:pPr>
            <w:r>
              <w:rPr>
                <w:rFonts w:ascii="Arial" w:cs="Arial" w:eastAsia="Arial" w:hAnsi="Arial"/>
                <w:sz w:val="18"/>
                <w:szCs w:val="18"/>
                <w:color w:val="auto"/>
              </w:rPr>
              <w:t>937,869,385</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10,225,418</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2,591,314</w:t>
            </w:r>
          </w:p>
        </w:tc>
        <w:tc>
          <w:tcPr>
            <w:tcW w:w="1080" w:type="dxa"/>
            <w:vAlign w:val="bottom"/>
          </w:tcPr>
          <w:p>
            <w:pPr>
              <w:ind w:left="180"/>
              <w:spacing w:after="0"/>
              <w:rPr>
                <w:sz w:val="20"/>
                <w:szCs w:val="20"/>
                <w:color w:val="auto"/>
              </w:rPr>
            </w:pPr>
            <w:r>
              <w:rPr>
                <w:rFonts w:ascii="Arial" w:cs="Arial" w:eastAsia="Arial" w:hAnsi="Arial"/>
                <w:sz w:val="18"/>
                <w:szCs w:val="18"/>
                <w:color w:val="auto"/>
                <w:w w:val="97"/>
              </w:rPr>
              <w:t>98,084,477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Henri Seydoux</w:t>
            </w:r>
          </w:p>
        </w:tc>
        <w:tc>
          <w:tcPr>
            <w:tcW w:w="3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947,068,764</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1,026,119</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2,591,234</w:t>
            </w:r>
          </w:p>
        </w:tc>
        <w:tc>
          <w:tcPr>
            <w:tcW w:w="1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98,084,477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2—Advisory Resolution to Approve Executive Compensation</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advisory resolution to approve Schlumberger’s executive compensation, as described in the Definitive Proxy Statement, was approved with approximately 96.6% of the votes cast at the Annual Meeting voting in favor of the advisory resolution.</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1320" w:type="dxa"/>
            <w:vAlign w:val="bottom"/>
          </w:tcPr>
          <w:p>
            <w:pPr>
              <w:spacing w:after="0"/>
              <w:rPr>
                <w:sz w:val="14"/>
                <w:szCs w:val="14"/>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376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3"/>
              </w:rPr>
              <w:t>Abstain</w:t>
            </w:r>
          </w:p>
        </w:tc>
        <w:tc>
          <w:tcPr>
            <w:tcW w:w="1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Broker Non-votes</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90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w w:val="87"/>
              </w:rPr>
              <w:t>913,841,317</w:t>
            </w:r>
          </w:p>
        </w:tc>
        <w:tc>
          <w:tcPr>
            <w:tcW w:w="282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32,305,769</w:t>
            </w:r>
          </w:p>
        </w:tc>
        <w:tc>
          <w:tcPr>
            <w:tcW w:w="3760" w:type="dxa"/>
            <w:vAlign w:val="bottom"/>
            <w:gridSpan w:val="3"/>
            <w:shd w:val="clear" w:color="auto" w:fill="CCEEFF"/>
          </w:tcPr>
          <w:p>
            <w:pPr>
              <w:jc w:val="right"/>
              <w:ind w:right="2020"/>
              <w:spacing w:after="0"/>
              <w:rPr>
                <w:sz w:val="20"/>
                <w:szCs w:val="20"/>
                <w:color w:val="auto"/>
              </w:rPr>
            </w:pPr>
            <w:r>
              <w:rPr>
                <w:rFonts w:ascii="Arial" w:cs="Arial" w:eastAsia="Arial" w:hAnsi="Arial"/>
                <w:sz w:val="18"/>
                <w:szCs w:val="18"/>
                <w:color w:val="auto"/>
              </w:rPr>
              <w:t>4,539,031</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98,084,477</w:t>
            </w:r>
          </w:p>
        </w:tc>
        <w:tc>
          <w:tcPr>
            <w:tcW w:w="20" w:type="dxa"/>
            <w:vAlign w:val="bottom"/>
            <w:shd w:val="clear" w:color="auto" w:fill="CCEEFF"/>
          </w:tcPr>
          <w:p>
            <w:pPr>
              <w:spacing w:after="0"/>
              <w:rPr>
                <w:sz w:val="18"/>
                <w:szCs w:val="18"/>
                <w:color w:val="auto"/>
              </w:rPr>
            </w:pPr>
          </w:p>
        </w:tc>
      </w:tr>
    </w:tbl>
    <w:p>
      <w:pPr>
        <w:sectPr>
          <w:pgSz w:w="11900" w:h="16838" w:orient="portrait"/>
          <w:cols w:equalWidth="0" w:num="1">
            <w:col w:w="11360"/>
          </w:cols>
          <w:pgMar w:left="240" w:top="270"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3—Financial Statements and Dividends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proposal to approve Schlumberger’s Consolidated Balance Sheet as at December 31, 2014, its Consolidated Statement of Income for the year ended December 31, 2014, and the declarations of dividends by the Board of Directors in 2014 as reflected in Schlumberger’s 2014 Annual Report to Stockholders, as described in the Definitive Proxy Statement, was approved with approximately 99.9% of the votes cast at the Annual Meeting voting for the proposal.</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1380" w:type="dxa"/>
            <w:vAlign w:val="bottom"/>
          </w:tcPr>
          <w:p>
            <w:pPr>
              <w:spacing w:after="0"/>
              <w:rPr>
                <w:sz w:val="14"/>
                <w:szCs w:val="14"/>
                <w:color w:val="auto"/>
              </w:rPr>
            </w:pPr>
          </w:p>
        </w:tc>
        <w:tc>
          <w:tcPr>
            <w:tcW w:w="2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1160" w:type="dxa"/>
            <w:vAlign w:val="bottom"/>
          </w:tcPr>
          <w:p>
            <w:pPr>
              <w:spacing w:after="0"/>
              <w:rPr>
                <w:sz w:val="14"/>
                <w:szCs w:val="14"/>
                <w:color w:val="auto"/>
              </w:rPr>
            </w:pPr>
          </w:p>
        </w:tc>
        <w:tc>
          <w:tcPr>
            <w:tcW w:w="2700" w:type="dxa"/>
            <w:vAlign w:val="bottom"/>
            <w:gridSpan w:val="2"/>
          </w:tcPr>
          <w:p>
            <w:pPr>
              <w:jc w:val="center"/>
              <w:ind w:right="2220"/>
              <w:spacing w:after="0"/>
              <w:rPr>
                <w:sz w:val="20"/>
                <w:szCs w:val="20"/>
                <w:color w:val="auto"/>
              </w:rPr>
            </w:pPr>
            <w:r>
              <w:rPr>
                <w:rFonts w:ascii="Arial" w:cs="Arial" w:eastAsia="Arial" w:hAnsi="Arial"/>
                <w:sz w:val="14"/>
                <w:szCs w:val="14"/>
                <w:b w:val="1"/>
                <w:bCs w:val="1"/>
                <w:color w:val="auto"/>
                <w:w w:val="93"/>
              </w:rPr>
              <w:t>Abstain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10"/>
        </w:trPr>
        <w:tc>
          <w:tcPr>
            <w:tcW w:w="196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w w:val="87"/>
              </w:rPr>
              <w:t>944,527,666</w:t>
            </w:r>
          </w:p>
        </w:tc>
        <w:tc>
          <w:tcPr>
            <w:tcW w:w="26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757,293</w:t>
            </w:r>
          </w:p>
        </w:tc>
        <w:tc>
          <w:tcPr>
            <w:tcW w:w="3860" w:type="dxa"/>
            <w:vAlign w:val="bottom"/>
            <w:gridSpan w:val="3"/>
            <w:shd w:val="clear" w:color="auto" w:fill="CCEEFF"/>
          </w:tcPr>
          <w:p>
            <w:pPr>
              <w:jc w:val="right"/>
              <w:ind w:right="2100"/>
              <w:spacing w:after="0"/>
              <w:rPr>
                <w:sz w:val="20"/>
                <w:szCs w:val="20"/>
                <w:color w:val="auto"/>
              </w:rPr>
            </w:pPr>
            <w:r>
              <w:rPr>
                <w:rFonts w:ascii="Arial" w:cs="Arial" w:eastAsia="Arial" w:hAnsi="Arial"/>
                <w:sz w:val="18"/>
                <w:szCs w:val="18"/>
                <w:color w:val="auto"/>
              </w:rPr>
              <w:t>5,401,158</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98,084,477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4—Independent Registered Public Accounting Firm</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proposal to approve the appointment of PricewaterhouseCoopers LLP as the independent registered public accounting firm to audit the accounts of Schlumberger for 2015, as described in the Definitive Proxy Statement, was approved with approximately 99.1% of the votes cast at the Annual Meeting voting for the proposal.</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3"/>
              </w:rPr>
              <w:t>Against</w:t>
            </w:r>
          </w:p>
        </w:tc>
        <w:tc>
          <w:tcPr>
            <w:tcW w:w="1120" w:type="dxa"/>
            <w:vAlign w:val="bottom"/>
          </w:tcPr>
          <w:p>
            <w:pPr>
              <w:spacing w:after="0"/>
              <w:rPr>
                <w:sz w:val="14"/>
                <w:szCs w:val="14"/>
                <w:color w:val="auto"/>
              </w:rPr>
            </w:pPr>
          </w:p>
        </w:tc>
        <w:tc>
          <w:tcPr>
            <w:tcW w:w="2600" w:type="dxa"/>
            <w:vAlign w:val="bottom"/>
            <w:gridSpan w:val="2"/>
          </w:tcPr>
          <w:p>
            <w:pPr>
              <w:jc w:val="center"/>
              <w:ind w:right="2120"/>
              <w:spacing w:after="0"/>
              <w:rPr>
                <w:sz w:val="20"/>
                <w:szCs w:val="20"/>
                <w:color w:val="auto"/>
              </w:rPr>
            </w:pPr>
            <w:r>
              <w:rPr>
                <w:rFonts w:ascii="Arial" w:cs="Arial" w:eastAsia="Arial" w:hAnsi="Arial"/>
                <w:sz w:val="14"/>
                <w:szCs w:val="14"/>
                <w:b w:val="1"/>
                <w:bCs w:val="1"/>
                <w:color w:val="auto"/>
                <w:w w:val="93"/>
              </w:rPr>
              <w:t>Abstain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10"/>
        </w:trPr>
        <w:tc>
          <w:tcPr>
            <w:tcW w:w="204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w w:val="88"/>
              </w:rPr>
              <w:t>1,037,119,826</w:t>
            </w:r>
          </w:p>
        </w:tc>
        <w:tc>
          <w:tcPr>
            <w:tcW w:w="272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8,990,039</w:t>
            </w:r>
          </w:p>
        </w:tc>
        <w:tc>
          <w:tcPr>
            <w:tcW w:w="3720" w:type="dxa"/>
            <w:vAlign w:val="bottom"/>
            <w:gridSpan w:val="3"/>
            <w:shd w:val="clear" w:color="auto" w:fill="CCEEFF"/>
          </w:tcPr>
          <w:p>
            <w:pPr>
              <w:jc w:val="right"/>
              <w:ind w:right="2000"/>
              <w:spacing w:after="0"/>
              <w:rPr>
                <w:sz w:val="20"/>
                <w:szCs w:val="20"/>
                <w:color w:val="auto"/>
              </w:rPr>
            </w:pPr>
            <w:r>
              <w:rPr>
                <w:rFonts w:ascii="Arial" w:cs="Arial" w:eastAsia="Arial" w:hAnsi="Arial"/>
                <w:sz w:val="18"/>
                <w:szCs w:val="18"/>
                <w:color w:val="auto"/>
              </w:rPr>
              <w:t>2,660,729</w:t>
            </w:r>
          </w:p>
        </w:tc>
        <w:tc>
          <w:tcPr>
            <w:tcW w:w="11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Secretary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Deputy General Counsel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2015</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2019-12-05T14:16:34Z</dcterms:created>
  <dcterms:modified xsi:type="dcterms:W3CDTF">2019-12-05T14:16:34Z</dcterms:modified>
</cp:coreProperties>
</file>