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6"/>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276860</wp:posOffset>
            </wp:positionH>
            <wp:positionV relativeFrom="page">
              <wp:posOffset>166370</wp:posOffset>
            </wp:positionV>
            <wp:extent cx="699516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6995160" cy="8255"/>
                    </a:xfrm>
                    <a:prstGeom prst="rect">
                      <a:avLst/>
                    </a:prstGeom>
                    <a:noFill/>
                  </pic:spPr>
                </pic:pic>
              </a:graphicData>
            </a:graphic>
          </wp:anchor>
        </w:drawing>
        <w:drawing>
          <wp:anchor simplePos="0" relativeHeight="251657728" behindDoc="1" locked="0" layoutInCell="0" allowOverlap="1">
            <wp:simplePos x="0" y="0"/>
            <wp:positionH relativeFrom="page">
              <wp:posOffset>276860</wp:posOffset>
            </wp:positionH>
            <wp:positionV relativeFrom="page">
              <wp:posOffset>208915</wp:posOffset>
            </wp:positionV>
            <wp:extent cx="699516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6995160" cy="8255"/>
                    </a:xfrm>
                    <a:prstGeom prst="rect">
                      <a:avLst/>
                    </a:prstGeom>
                    <a:noFill/>
                  </pic:spPr>
                </pic:pic>
              </a:graphicData>
            </a:graphic>
          </wp:anchor>
        </w:drawing>
        <w:t>UNITED STATES</w:t>
      </w:r>
    </w:p>
    <w:p>
      <w:pPr>
        <w:spacing w:after="0" w:line="44"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SECURITIES AND EXCHANGE COMMISSION</w:t>
      </w:r>
    </w:p>
    <w:p>
      <w:pPr>
        <w:jc w:val="center"/>
        <w:ind w:right="16"/>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203835</wp:posOffset>
            </wp:positionV>
            <wp:extent cx="147447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73" w:lineRule="exact"/>
        <w:rPr>
          <w:sz w:val="24"/>
          <w:szCs w:val="24"/>
          <w:color w:val="auto"/>
        </w:rPr>
      </w:pPr>
    </w:p>
    <w:p>
      <w:pPr>
        <w:jc w:val="center"/>
        <w:ind w:right="16"/>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231140</wp:posOffset>
            </wp:positionV>
            <wp:extent cx="1474470"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305"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CURRENT REPORT</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Pursuant to Section 13 or 15(d)</w:t>
      </w:r>
    </w:p>
    <w:p>
      <w:pPr>
        <w:jc w:val="center"/>
        <w:ind w:right="16"/>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57" w:lineRule="exact"/>
        <w:rPr>
          <w:sz w:val="24"/>
          <w:szCs w:val="24"/>
          <w:color w:val="auto"/>
        </w:rPr>
      </w:pPr>
    </w:p>
    <w:p>
      <w:pPr>
        <w:jc w:val="center"/>
        <w:ind w:right="16"/>
        <w:spacing w:after="0"/>
        <w:rPr>
          <w:sz w:val="20"/>
          <w:szCs w:val="20"/>
          <w:color w:val="auto"/>
        </w:rPr>
      </w:pPr>
      <w:r>
        <w:rPr>
          <w:rFonts w:ascii="Arial" w:cs="Arial" w:eastAsia="Arial" w:hAnsi="Arial"/>
          <w:sz w:val="22"/>
          <w:szCs w:val="22"/>
          <w:b w:val="1"/>
          <w:bCs w:val="1"/>
          <w:color w:val="auto"/>
        </w:rPr>
        <w:t>Date of Report (Date of earliest event reported): April 24, 2026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217805</wp:posOffset>
            </wp:positionV>
            <wp:extent cx="147447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pacing w:after="0" w:line="200" w:lineRule="exact"/>
        <w:rPr>
          <w:sz w:val="24"/>
          <w:szCs w:val="24"/>
          <w:color w:val="auto"/>
        </w:rPr>
      </w:pPr>
    </w:p>
    <w:p>
      <w:pPr>
        <w:spacing w:after="0" w:line="268" w:lineRule="exact"/>
        <w:rPr>
          <w:sz w:val="24"/>
          <w:szCs w:val="24"/>
          <w:color w:val="auto"/>
        </w:rPr>
      </w:pPr>
    </w:p>
    <w:p>
      <w:pPr>
        <w:jc w:val="center"/>
        <w:ind w:right="16"/>
        <w:spacing w:after="0"/>
        <w:rPr>
          <w:sz w:val="20"/>
          <w:szCs w:val="20"/>
          <w:color w:val="auto"/>
        </w:rPr>
      </w:pPr>
      <w:r>
        <w:rPr>
          <w:rFonts w:ascii="Arial" w:cs="Arial" w:eastAsia="Arial" w:hAnsi="Arial"/>
          <w:sz w:val="43"/>
          <w:szCs w:val="43"/>
          <w:b w:val="1"/>
          <w:bCs w:val="1"/>
          <w:color w:val="auto"/>
        </w:rPr>
        <w:t>SLB N.V. (SLB LIMITED)</w:t>
      </w:r>
    </w:p>
    <w:p>
      <w:pPr>
        <w:spacing w:after="0" w:line="48"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212090</wp:posOffset>
            </wp:positionV>
            <wp:extent cx="1474470" cy="82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474470" cy="8255"/>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sectPr>
      </w:pPr>
    </w:p>
    <w:p>
      <w:pPr>
        <w:spacing w:after="0" w:line="200" w:lineRule="exact"/>
        <w:rPr>
          <w:sz w:val="24"/>
          <w:szCs w:val="24"/>
          <w:color w:val="auto"/>
        </w:rPr>
      </w:pPr>
    </w:p>
    <w:p>
      <w:pPr>
        <w:spacing w:after="0" w:line="372" w:lineRule="exact"/>
        <w:rPr>
          <w:sz w:val="24"/>
          <w:szCs w:val="24"/>
          <w:color w:val="auto"/>
        </w:rPr>
      </w:pPr>
    </w:p>
    <w:p>
      <w:pPr>
        <w:ind w:left="1504"/>
        <w:spacing w:after="0"/>
        <w:rPr>
          <w:sz w:val="20"/>
          <w:szCs w:val="20"/>
          <w:color w:val="auto"/>
        </w:rPr>
      </w:pPr>
      <w:r>
        <w:rPr>
          <w:rFonts w:ascii="Arial" w:cs="Arial" w:eastAsia="Arial" w:hAnsi="Arial"/>
          <w:sz w:val="17"/>
          <w:szCs w:val="17"/>
          <w:b w:val="1"/>
          <w:bCs w:val="1"/>
          <w:color w:val="auto"/>
        </w:rPr>
        <w:t>Curaçao</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jc w:val="center"/>
        <w:ind w:right="2160"/>
        <w:spacing w:after="0"/>
        <w:rPr>
          <w:sz w:val="20"/>
          <w:szCs w:val="20"/>
          <w:color w:val="auto"/>
        </w:rPr>
      </w:pPr>
      <w:r>
        <w:rPr>
          <w:rFonts w:ascii="Arial" w:cs="Arial" w:eastAsia="Arial" w:hAnsi="Arial"/>
          <w:sz w:val="17"/>
          <w:szCs w:val="17"/>
          <w:b w:val="1"/>
          <w:bCs w:val="1"/>
          <w:color w:val="auto"/>
        </w:rPr>
        <w:t>1-4601</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352" w:lineRule="exact"/>
        <w:rPr>
          <w:sz w:val="24"/>
          <w:szCs w:val="24"/>
          <w:color w:val="auto"/>
        </w:rPr>
      </w:pPr>
    </w:p>
    <w:p>
      <w:pPr>
        <w:spacing w:after="0"/>
        <w:rPr>
          <w:sz w:val="20"/>
          <w:szCs w:val="20"/>
          <w:color w:val="auto"/>
        </w:rPr>
      </w:pPr>
      <w:r>
        <w:rPr>
          <w:rFonts w:ascii="Arial" w:cs="Arial" w:eastAsia="Arial" w:hAnsi="Arial"/>
          <w:sz w:val="17"/>
          <w:szCs w:val="17"/>
          <w:b w:val="1"/>
          <w:bCs w:val="1"/>
          <w:color w:val="auto"/>
        </w:rPr>
        <w:t>52-0684746</w:t>
      </w:r>
    </w:p>
    <w:p>
      <w:pPr>
        <w:spacing w:after="0" w:line="45" w:lineRule="exact"/>
        <w:rPr>
          <w:sz w:val="24"/>
          <w:szCs w:val="24"/>
          <w:color w:val="auto"/>
        </w:rPr>
      </w:pPr>
    </w:p>
    <w:p>
      <w:pPr>
        <w:sectPr>
          <w:pgSz w:w="11900" w:h="16838" w:orient="portrait"/>
          <w:cols w:equalWidth="0" w:num="3">
            <w:col w:w="4624" w:space="720"/>
            <w:col w:w="2720" w:space="720"/>
            <w:col w:w="2240"/>
          </w:cols>
          <w:pgMar w:left="436" w:top="460" w:right="439" w:bottom="1440" w:gutter="0" w:footer="0" w:header="0"/>
          <w:type w:val="continuous"/>
        </w:sectPr>
      </w:pPr>
    </w:p>
    <w:p>
      <w:pPr>
        <w:jc w:val="center"/>
        <w:ind w:right="716"/>
        <w:spacing w:after="0"/>
        <w:rPr>
          <w:sz w:val="20"/>
          <w:szCs w:val="20"/>
          <w:color w:val="auto"/>
        </w:rPr>
      </w:pPr>
      <w:r>
        <w:rPr>
          <w:rFonts w:ascii="Arial" w:cs="Arial" w:eastAsia="Arial" w:hAnsi="Arial"/>
          <w:sz w:val="14"/>
          <w:szCs w:val="14"/>
          <w:b w:val="1"/>
          <w:bCs w:val="1"/>
          <w:color w:val="auto"/>
        </w:rPr>
        <w:t>(State or other jurisdiction</w:t>
      </w:r>
    </w:p>
    <w:p>
      <w:pPr>
        <w:jc w:val="center"/>
        <w:ind w:right="716"/>
        <w:spacing w:after="0"/>
        <w:rPr>
          <w:sz w:val="20"/>
          <w:szCs w:val="20"/>
          <w:color w:val="auto"/>
        </w:rPr>
      </w:pPr>
      <w:r>
        <w:rPr>
          <w:rFonts w:ascii="Arial" w:cs="Arial" w:eastAsia="Arial" w:hAnsi="Arial"/>
          <w:sz w:val="14"/>
          <w:szCs w:val="14"/>
          <w:b w:val="1"/>
          <w:bCs w:val="1"/>
          <w:color w:val="auto"/>
        </w:rPr>
        <w:t>of incorporation)</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b w:val="1"/>
          <w:bCs w:val="1"/>
          <w:color w:val="auto"/>
        </w:rPr>
        <w:t>(Commission</w:t>
      </w:r>
    </w:p>
    <w:p>
      <w:pPr>
        <w:ind w:left="20"/>
        <w:spacing w:after="0"/>
        <w:rPr>
          <w:sz w:val="20"/>
          <w:szCs w:val="20"/>
          <w:color w:val="auto"/>
        </w:rPr>
      </w:pPr>
      <w:r>
        <w:rPr>
          <w:rFonts w:ascii="Arial" w:cs="Arial" w:eastAsia="Arial" w:hAnsi="Arial"/>
          <w:sz w:val="14"/>
          <w:szCs w:val="14"/>
          <w:b w:val="1"/>
          <w:bCs w:val="1"/>
          <w:color w:val="auto"/>
        </w:rPr>
        <w:t>File Number)</w:t>
      </w:r>
    </w:p>
    <w:p>
      <w:pPr>
        <w:spacing w:after="0" w:line="20" w:lineRule="exact"/>
        <w:rPr>
          <w:sz w:val="24"/>
          <w:szCs w:val="24"/>
          <w:color w:val="auto"/>
        </w:rPr>
      </w:pPr>
      <w:r>
        <w:rPr>
          <w:sz w:val="24"/>
          <w:szCs w:val="24"/>
          <w:color w:val="auto"/>
        </w:rPr>
        <w:br w:type="column"/>
      </w:r>
    </w:p>
    <w:p>
      <w:pPr>
        <w:jc w:val="center"/>
        <w:ind w:right="1160"/>
        <w:spacing w:after="0"/>
        <w:rPr>
          <w:sz w:val="20"/>
          <w:szCs w:val="20"/>
          <w:color w:val="auto"/>
        </w:rPr>
      </w:pPr>
      <w:r>
        <w:rPr>
          <w:rFonts w:ascii="Arial" w:cs="Arial" w:eastAsia="Arial" w:hAnsi="Arial"/>
          <w:sz w:val="14"/>
          <w:szCs w:val="14"/>
          <w:b w:val="1"/>
          <w:bCs w:val="1"/>
          <w:color w:val="auto"/>
        </w:rPr>
        <w:t>(IRS Employer</w:t>
      </w:r>
    </w:p>
    <w:p>
      <w:pPr>
        <w:jc w:val="center"/>
        <w:ind w:right="1160"/>
        <w:spacing w:after="0"/>
        <w:rPr>
          <w:sz w:val="20"/>
          <w:szCs w:val="20"/>
          <w:color w:val="auto"/>
        </w:rPr>
      </w:pPr>
      <w:r>
        <w:rPr>
          <w:rFonts w:ascii="Arial" w:cs="Arial" w:eastAsia="Arial" w:hAnsi="Arial"/>
          <w:sz w:val="14"/>
          <w:szCs w:val="14"/>
          <w:b w:val="1"/>
          <w:bCs w:val="1"/>
          <w:color w:val="auto"/>
        </w:rPr>
        <w:t>Identification No.)</w:t>
      </w:r>
    </w:p>
    <w:p>
      <w:pPr>
        <w:spacing w:after="0" w:line="180" w:lineRule="exact"/>
        <w:rPr>
          <w:sz w:val="24"/>
          <w:szCs w:val="24"/>
          <w:color w:val="auto"/>
        </w:rPr>
      </w:pPr>
    </w:p>
    <w:p>
      <w:pPr>
        <w:sectPr>
          <w:pgSz w:w="11900" w:h="16838" w:orient="portrait"/>
          <w:cols w:equalWidth="0" w:num="3">
            <w:col w:w="4444" w:space="720"/>
            <w:col w:w="2760" w:space="720"/>
            <w:col w:w="2380"/>
          </w:cols>
          <w:pgMar w:left="436" w:top="460" w:right="439" w:bottom="1440" w:gutter="0" w:footer="0" w:header="0"/>
          <w:type w:val="continuous"/>
        </w:sectPr>
      </w:pPr>
    </w:p>
    <w:p>
      <w:pPr>
        <w:jc w:val="center"/>
        <w:ind w:right="16"/>
        <w:spacing w:after="0"/>
        <w:rPr>
          <w:sz w:val="20"/>
          <w:szCs w:val="20"/>
          <w:color w:val="auto"/>
        </w:rPr>
      </w:pPr>
      <w:r>
        <w:rPr>
          <w:rFonts w:ascii="Arial" w:cs="Arial" w:eastAsia="Arial" w:hAnsi="Arial"/>
          <w:sz w:val="18"/>
          <w:szCs w:val="18"/>
          <w:b w:val="1"/>
          <w:bCs w:val="1"/>
          <w:color w:val="auto"/>
        </w:rPr>
        <w:t>42 rue Saint-Dominique, Paris, France 75007</w:t>
      </w:r>
    </w:p>
    <w:p>
      <w:pPr>
        <w:spacing w:after="0" w:line="14"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5599 San Felipe, Houston, Texas , U.S.A. 77056</w:t>
      </w:r>
    </w:p>
    <w:p>
      <w:pPr>
        <w:spacing w:after="0" w:line="22" w:lineRule="exact"/>
        <w:rPr>
          <w:sz w:val="24"/>
          <w:szCs w:val="24"/>
          <w:color w:val="auto"/>
        </w:rPr>
      </w:pPr>
    </w:p>
    <w:p>
      <w:pPr>
        <w:jc w:val="center"/>
        <w:ind w:right="16"/>
        <w:spacing w:after="0"/>
        <w:rPr>
          <w:sz w:val="20"/>
          <w:szCs w:val="20"/>
          <w:color w:val="auto"/>
        </w:rPr>
      </w:pPr>
      <w:r>
        <w:rPr>
          <w:rFonts w:ascii="Arial" w:cs="Arial" w:eastAsia="Arial" w:hAnsi="Arial"/>
          <w:sz w:val="18"/>
          <w:szCs w:val="18"/>
          <w:b w:val="1"/>
          <w:bCs w:val="1"/>
          <w:color w:val="auto"/>
        </w:rPr>
        <w:t>Parkstraat 83, The Hague, The Netherlands 2514 JG</w:t>
      </w:r>
    </w:p>
    <w:p>
      <w:pPr>
        <w:spacing w:after="0" w:line="2" w:lineRule="exact"/>
        <w:rPr>
          <w:sz w:val="24"/>
          <w:szCs w:val="24"/>
          <w:color w:val="auto"/>
        </w:rPr>
      </w:pPr>
    </w:p>
    <w:p>
      <w:pPr>
        <w:jc w:val="center"/>
        <w:ind w:right="16"/>
        <w:spacing w:after="0"/>
        <w:rPr>
          <w:sz w:val="20"/>
          <w:szCs w:val="20"/>
          <w:color w:val="auto"/>
        </w:rPr>
      </w:pPr>
      <w:r>
        <w:rPr>
          <w:rFonts w:ascii="Arial" w:cs="Arial" w:eastAsia="Arial" w:hAnsi="Arial"/>
          <w:sz w:val="14"/>
          <w:szCs w:val="14"/>
          <w:b w:val="1"/>
          <w:bCs w:val="1"/>
          <w:color w:val="auto"/>
        </w:rPr>
        <w:t>(Addresses of principal executive offices and zip or postal codes)</w:t>
      </w:r>
    </w:p>
    <w:p>
      <w:pPr>
        <w:sectPr>
          <w:pgSz w:w="11900" w:h="16838" w:orient="portrait"/>
          <w:cols w:equalWidth="0" w:num="1">
            <w:col w:w="11024"/>
          </w:cols>
          <w:pgMar w:left="436" w:top="460" w:right="439" w:bottom="1440" w:gutter="0" w:footer="0" w:header="0"/>
          <w:type w:val="continuous"/>
        </w:sectPr>
      </w:pPr>
    </w:p>
    <w:p>
      <w:pPr>
        <w:spacing w:after="0" w:line="153" w:lineRule="exact"/>
        <w:rPr>
          <w:sz w:val="24"/>
          <w:szCs w:val="24"/>
          <w:color w:val="auto"/>
        </w:rPr>
      </w:pPr>
    </w:p>
    <w:p>
      <w:pPr>
        <w:jc w:val="center"/>
        <w:ind w:right="-3"/>
        <w:spacing w:after="0"/>
        <w:rPr>
          <w:sz w:val="20"/>
          <w:szCs w:val="20"/>
          <w:color w:val="auto"/>
        </w:rPr>
      </w:pPr>
      <w:r>
        <w:rPr>
          <w:rFonts w:ascii="Arial" w:cs="Arial" w:eastAsia="Arial" w:hAnsi="Arial"/>
          <w:sz w:val="18"/>
          <w:szCs w:val="18"/>
          <w:b w:val="1"/>
          <w:bCs w:val="1"/>
          <w:color w:val="auto"/>
        </w:rPr>
        <w:t>Registrant’s telephone number in the United States, including area code: (713) 513-2000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2760345</wp:posOffset>
            </wp:positionH>
            <wp:positionV relativeFrom="paragraph">
              <wp:posOffset>223520</wp:posOffset>
            </wp:positionV>
            <wp:extent cx="147447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474470" cy="8890"/>
                    </a:xfrm>
                    <a:prstGeom prst="rect">
                      <a:avLst/>
                    </a:prstGeom>
                    <a:noFill/>
                  </pic:spPr>
                </pic:pic>
              </a:graphicData>
            </a:graphic>
          </wp:anchor>
        </w:drawing>
      </w:r>
    </w:p>
    <w:p>
      <w:pPr>
        <w:spacing w:after="0" w:line="200" w:lineRule="exact"/>
        <w:rPr>
          <w:sz w:val="24"/>
          <w:szCs w:val="24"/>
          <w:color w:val="auto"/>
        </w:rPr>
      </w:pPr>
    </w:p>
    <w:p>
      <w:pPr>
        <w:spacing w:after="0" w:line="302" w:lineRule="exact"/>
        <w:rPr>
          <w:sz w:val="24"/>
          <w:szCs w:val="24"/>
          <w:color w:val="auto"/>
        </w:rPr>
      </w:pPr>
    </w:p>
    <w:p>
      <w:pPr>
        <w:ind w:left="4" w:right="120"/>
        <w:spacing w:after="0" w:line="271"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 (</w:t>
      </w:r>
      <w:r>
        <w:rPr>
          <w:rFonts w:ascii="Arial" w:cs="Arial" w:eastAsia="Arial" w:hAnsi="Arial"/>
          <w:sz w:val="18"/>
          <w:szCs w:val="18"/>
          <w:i w:val="1"/>
          <w:iCs w:val="1"/>
          <w:color w:val="auto"/>
        </w:rPr>
        <w:t>see</w:t>
      </w:r>
      <w:r>
        <w:rPr>
          <w:rFonts w:ascii="Arial" w:cs="Arial" w:eastAsia="Arial" w:hAnsi="Arial"/>
          <w:sz w:val="18"/>
          <w:szCs w:val="18"/>
          <w:color w:val="auto"/>
        </w:rPr>
        <w:t xml:space="preserve"> General Instruction A.2. below):</w:t>
      </w:r>
    </w:p>
    <w:p>
      <w:pPr>
        <w:spacing w:after="0" w:line="59" w:lineRule="exact"/>
        <w:rPr>
          <w:sz w:val="24"/>
          <w:szCs w:val="24"/>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24" w:hanging="424"/>
        <w:spacing w:after="0"/>
        <w:tabs>
          <w:tab w:leader="none" w:pos="424"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185" w:lineRule="exact"/>
        <w:rPr>
          <w:sz w:val="24"/>
          <w:szCs w:val="24"/>
          <w:color w:val="auto"/>
        </w:rPr>
      </w:pPr>
    </w:p>
    <w:p>
      <w:pPr>
        <w:ind w:left="4"/>
        <w:spacing w:after="0"/>
        <w:rPr>
          <w:sz w:val="20"/>
          <w:szCs w:val="20"/>
          <w:color w:val="auto"/>
        </w:rPr>
      </w:pPr>
      <w:r>
        <w:rPr>
          <w:rFonts w:ascii="Arial" w:cs="Arial" w:eastAsia="Arial" w:hAnsi="Arial"/>
          <w:sz w:val="18"/>
          <w:szCs w:val="18"/>
          <w:color w:val="auto"/>
        </w:rPr>
        <w:t>Securities registered pursuant to Section 12(b) of the Act:</w:t>
      </w:r>
    </w:p>
    <w:p>
      <w:pPr>
        <w:spacing w:after="0" w:line="221" w:lineRule="exact"/>
        <w:rPr>
          <w:sz w:val="24"/>
          <w:szCs w:val="24"/>
          <w:color w:val="auto"/>
        </w:rPr>
      </w:pPr>
    </w:p>
    <w:tbl>
      <w:tblPr>
        <w:tblLayout w:type="fixed"/>
        <w:tblInd w:w="4" w:type="dxa"/>
        <w:tblCellMar>
          <w:top w:w="0" w:type="dxa"/>
          <w:left w:w="0" w:type="dxa"/>
          <w:bottom w:w="0" w:type="dxa"/>
          <w:right w:w="0" w:type="dxa"/>
        </w:tblCellMar>
      </w:tblPr>
      <w:tr>
        <w:trPr>
          <w:trHeight w:val="162"/>
        </w:trPr>
        <w:tc>
          <w:tcPr>
            <w:tcW w:w="37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Trading</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Name of each exchange</w:t>
            </w:r>
          </w:p>
        </w:tc>
      </w:tr>
      <w:tr>
        <w:trPr>
          <w:trHeight w:val="185"/>
        </w:trPr>
        <w:tc>
          <w:tcPr>
            <w:tcW w:w="3860" w:type="dxa"/>
            <w:vAlign w:val="bottom"/>
            <w:gridSpan w:val="2"/>
          </w:tcPr>
          <w:p>
            <w:pPr>
              <w:jc w:val="center"/>
              <w:ind w:right="140"/>
              <w:spacing w:after="0"/>
              <w:rPr>
                <w:sz w:val="20"/>
                <w:szCs w:val="20"/>
                <w:color w:val="auto"/>
              </w:rPr>
            </w:pPr>
            <w:r>
              <w:rPr>
                <w:rFonts w:ascii="Arial" w:cs="Arial" w:eastAsia="Arial" w:hAnsi="Arial"/>
                <w:sz w:val="14"/>
                <w:szCs w:val="14"/>
                <w:b w:val="1"/>
                <w:bCs w:val="1"/>
                <w:color w:val="auto"/>
              </w:rPr>
              <w:t>Title of each class</w:t>
            </w:r>
          </w:p>
        </w:tc>
        <w:tc>
          <w:tcPr>
            <w:tcW w:w="3620" w:type="dxa"/>
            <w:vAlign w:val="bottom"/>
            <w:gridSpan w:val="2"/>
          </w:tcPr>
          <w:p>
            <w:pPr>
              <w:jc w:val="center"/>
              <w:ind w:right="100"/>
              <w:spacing w:after="0"/>
              <w:rPr>
                <w:sz w:val="20"/>
                <w:szCs w:val="20"/>
                <w:color w:val="auto"/>
              </w:rPr>
            </w:pPr>
            <w:r>
              <w:rPr>
                <w:rFonts w:ascii="Arial" w:cs="Arial" w:eastAsia="Arial" w:hAnsi="Arial"/>
                <w:sz w:val="14"/>
                <w:szCs w:val="14"/>
                <w:b w:val="1"/>
                <w:bCs w:val="1"/>
                <w:color w:val="auto"/>
              </w:rPr>
              <w:t>Symbol(s)</w:t>
            </w:r>
          </w:p>
        </w:tc>
        <w:tc>
          <w:tcPr>
            <w:tcW w:w="3540" w:type="dxa"/>
            <w:vAlign w:val="bottom"/>
          </w:tcPr>
          <w:p>
            <w:pPr>
              <w:jc w:val="center"/>
              <w:spacing w:after="0"/>
              <w:rPr>
                <w:sz w:val="20"/>
                <w:szCs w:val="20"/>
                <w:color w:val="auto"/>
              </w:rPr>
            </w:pPr>
            <w:r>
              <w:rPr>
                <w:rFonts w:ascii="Arial" w:cs="Arial" w:eastAsia="Arial" w:hAnsi="Arial"/>
                <w:sz w:val="14"/>
                <w:szCs w:val="14"/>
                <w:b w:val="1"/>
                <w:bCs w:val="1"/>
                <w:color w:val="auto"/>
              </w:rPr>
              <w:t>on which registered</w:t>
            </w:r>
          </w:p>
        </w:tc>
      </w:tr>
      <w:tr>
        <w:trPr>
          <w:trHeight w:val="232"/>
        </w:trPr>
        <w:tc>
          <w:tcPr>
            <w:tcW w:w="37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common stock, par value $0.01 per share</w:t>
            </w:r>
          </w:p>
        </w:tc>
        <w:tc>
          <w:tcPr>
            <w:tcW w:w="120" w:type="dxa"/>
            <w:vAlign w:val="bottom"/>
          </w:tcPr>
          <w:p>
            <w:pPr>
              <w:spacing w:after="0"/>
              <w:rPr>
                <w:sz w:val="20"/>
                <w:szCs w:val="20"/>
                <w:color w:val="auto"/>
              </w:rPr>
            </w:pPr>
          </w:p>
        </w:tc>
        <w:tc>
          <w:tcPr>
            <w:tcW w:w="352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9"/>
              </w:rPr>
              <w:t>SLB</w:t>
            </w:r>
          </w:p>
        </w:tc>
        <w:tc>
          <w:tcPr>
            <w:tcW w:w="100" w:type="dxa"/>
            <w:vAlign w:val="bottom"/>
          </w:tcPr>
          <w:p>
            <w:pPr>
              <w:spacing w:after="0"/>
              <w:rPr>
                <w:sz w:val="20"/>
                <w:szCs w:val="20"/>
                <w:color w:val="auto"/>
              </w:rPr>
            </w:pPr>
          </w:p>
        </w:tc>
        <w:tc>
          <w:tcPr>
            <w:tcW w:w="3540" w:type="dxa"/>
            <w:vAlign w:val="bottom"/>
            <w:tcBorders>
              <w:top w:val="single" w:sz="8" w:color="auto"/>
            </w:tcBorders>
          </w:tcPr>
          <w:p>
            <w:pPr>
              <w:jc w:val="center"/>
              <w:spacing w:after="0"/>
              <w:rPr>
                <w:sz w:val="20"/>
                <w:szCs w:val="20"/>
                <w:color w:val="auto"/>
              </w:rPr>
            </w:pPr>
            <w:r>
              <w:rPr>
                <w:rFonts w:ascii="Arial" w:cs="Arial" w:eastAsia="Arial" w:hAnsi="Arial"/>
                <w:sz w:val="18"/>
                <w:szCs w:val="18"/>
                <w:color w:val="auto"/>
                <w:w w:val="98"/>
              </w:rPr>
              <w:t>New York Stock Exchange</w:t>
            </w:r>
          </w:p>
        </w:tc>
      </w:tr>
    </w:tbl>
    <w:p>
      <w:pPr>
        <w:spacing w:after="0" w:line="134" w:lineRule="exact"/>
        <w:rPr>
          <w:sz w:val="24"/>
          <w:szCs w:val="24"/>
          <w:color w:val="auto"/>
        </w:rPr>
      </w:pPr>
    </w:p>
    <w:p>
      <w:pPr>
        <w:ind w:left="4" w:right="660"/>
        <w:spacing w:after="0" w:line="271"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spacing w:after="0" w:line="73" w:lineRule="exact"/>
        <w:rPr>
          <w:sz w:val="24"/>
          <w:szCs w:val="24"/>
          <w:color w:val="auto"/>
        </w:rPr>
      </w:pPr>
    </w:p>
    <w:p>
      <w:pPr>
        <w:ind w:left="4"/>
        <w:spacing w:after="0" w:line="207" w:lineRule="exact"/>
        <w:rPr>
          <w:sz w:val="20"/>
          <w:szCs w:val="20"/>
          <w:color w:val="auto"/>
        </w:rPr>
      </w:pPr>
      <w:r>
        <w:rPr>
          <w:rFonts w:ascii="Arial" w:cs="Arial" w:eastAsia="Arial" w:hAnsi="Arial"/>
          <w:sz w:val="18"/>
          <w:szCs w:val="18"/>
          <w:color w:val="auto"/>
        </w:rPr>
        <w:t xml:space="preserve">Emerging growth company  </w:t>
      </w:r>
      <w:r>
        <w:rPr>
          <w:rFonts w:ascii="MS PGothic" w:cs="MS PGothic" w:eastAsia="MS PGothic" w:hAnsi="MS PGothic"/>
          <w:sz w:val="18"/>
          <w:szCs w:val="18"/>
          <w:color w:val="auto"/>
        </w:rPr>
        <w:t>☐</w:t>
      </w:r>
    </w:p>
    <w:p>
      <w:pPr>
        <w:spacing w:after="0" w:line="225" w:lineRule="exact"/>
        <w:rPr>
          <w:sz w:val="24"/>
          <w:szCs w:val="24"/>
          <w:color w:val="auto"/>
        </w:rPr>
      </w:pPr>
    </w:p>
    <w:p>
      <w:pPr>
        <w:ind w:left="4" w:right="860"/>
        <w:spacing w:after="0" w:line="233" w:lineRule="exact"/>
        <w:rPr>
          <w:sz w:val="20"/>
          <w:szCs w:val="20"/>
          <w:color w:val="auto"/>
        </w:rPr>
      </w:pPr>
      <w:r>
        <w:rPr>
          <w:rFonts w:ascii="Arial" w:cs="Arial" w:eastAsia="Arial" w:hAnsi="Arial"/>
          <w:sz w:val="17"/>
          <w:szCs w:val="17"/>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7"/>
          <w:szCs w:val="17"/>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0</wp:posOffset>
            </wp:positionH>
            <wp:positionV relativeFrom="paragraph">
              <wp:posOffset>137160</wp:posOffset>
            </wp:positionV>
            <wp:extent cx="699516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6995160" cy="8890"/>
                    </a:xfrm>
                    <a:prstGeom prst="rect">
                      <a:avLst/>
                    </a:prstGeom>
                    <a:noFill/>
                  </pic:spPr>
                </pic:pic>
              </a:graphicData>
            </a:graphic>
          </wp:anchor>
        </w:drawing>
        <w:drawing>
          <wp:anchor simplePos="0" relativeHeight="251657728" behindDoc="1" locked="0" layoutInCell="0" allowOverlap="1">
            <wp:simplePos x="0" y="0"/>
            <wp:positionH relativeFrom="column">
              <wp:posOffset>0</wp:posOffset>
            </wp:positionH>
            <wp:positionV relativeFrom="paragraph">
              <wp:posOffset>180340</wp:posOffset>
            </wp:positionV>
            <wp:extent cx="699516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995160" cy="8890"/>
                    </a:xfrm>
                    <a:prstGeom prst="rect">
                      <a:avLst/>
                    </a:prstGeom>
                    <a:noFill/>
                  </pic:spPr>
                </pic:pic>
              </a:graphicData>
            </a:graphic>
          </wp:anchor>
        </w:drawing>
      </w:r>
    </w:p>
    <w:p>
      <w:pPr>
        <w:sectPr>
          <w:pgSz w:w="11900" w:h="16838" w:orient="portrait"/>
          <w:cols w:equalWidth="0" w:num="1">
            <w:col w:w="11024"/>
          </w:cols>
          <w:pgMar w:left="436" w:top="460" w:right="439" w:bottom="1440" w:gutter="0" w:footer="0" w:header="0"/>
          <w:type w:val="continuous"/>
        </w:sectPr>
      </w:pPr>
    </w:p>
    <w:bookmarkStart w:id="1" w:name="page2"/>
    <w:bookmarkEnd w:id="1"/>
    <w:p>
      <w:pPr>
        <w:ind w:left="4"/>
        <w:spacing w:after="0"/>
        <w:tabs>
          <w:tab w:leader="none" w:pos="1184" w:val="left"/>
        </w:tabs>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88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74865" cy="55880"/>
                    </a:xfrm>
                    <a:prstGeom prst="rect">
                      <a:avLst/>
                    </a:prstGeom>
                    <a:noFill/>
                  </pic:spPr>
                </pic:pic>
              </a:graphicData>
            </a:graphic>
          </wp:anchor>
        </w:drawing>
        <w:t>Item 2.02</w:t>
      </w:r>
      <w:r>
        <w:rPr>
          <w:sz w:val="20"/>
          <w:szCs w:val="20"/>
          <w:color w:val="auto"/>
        </w:rPr>
        <w:tab/>
      </w:r>
      <w:r>
        <w:rPr>
          <w:rFonts w:ascii="Arial" w:cs="Arial" w:eastAsia="Arial" w:hAnsi="Arial"/>
          <w:sz w:val="18"/>
          <w:szCs w:val="18"/>
          <w:b w:val="1"/>
          <w:bCs w:val="1"/>
          <w:color w:val="auto"/>
        </w:rPr>
        <w:t>Results of Operations and Financial Condition.</w:t>
      </w:r>
    </w:p>
    <w:p>
      <w:pPr>
        <w:spacing w:after="0" w:line="104" w:lineRule="exact"/>
        <w:rPr>
          <w:sz w:val="20"/>
          <w:szCs w:val="20"/>
          <w:color w:val="auto"/>
        </w:rPr>
      </w:pPr>
    </w:p>
    <w:p>
      <w:pPr>
        <w:ind w:left="4" w:firstLine="440"/>
        <w:spacing w:after="0" w:line="244" w:lineRule="auto"/>
        <w:rPr>
          <w:sz w:val="20"/>
          <w:szCs w:val="20"/>
          <w:color w:val="auto"/>
        </w:rPr>
      </w:pPr>
      <w:r>
        <w:rPr>
          <w:rFonts w:ascii="Arial" w:cs="Arial" w:eastAsia="Arial" w:hAnsi="Arial"/>
          <w:sz w:val="18"/>
          <w:szCs w:val="18"/>
          <w:color w:val="auto"/>
        </w:rPr>
        <w:t>The First-Quarter 2026 Earnings Release furnished as Exhibit 99 hereto, which is incorporated by reference into this Item 2.02, was posted on the SLB internet website (</w:t>
      </w:r>
      <w:r>
        <w:rPr>
          <w:rFonts w:ascii="Arial" w:cs="Arial" w:eastAsia="Arial" w:hAnsi="Arial"/>
          <w:sz w:val="18"/>
          <w:szCs w:val="18"/>
          <w:u w:val="single" w:color="auto"/>
          <w:color w:val="auto"/>
        </w:rPr>
        <w:t>https://investorcenter.slb.com/financial-information/quarterly-results</w:t>
      </w:r>
      <w:r>
        <w:rPr>
          <w:rFonts w:ascii="Arial" w:cs="Arial" w:eastAsia="Arial" w:hAnsi="Arial"/>
          <w:sz w:val="18"/>
          <w:szCs w:val="18"/>
          <w:color w:val="auto"/>
        </w:rPr>
        <w:t>) on April 24, 2026. In accordance with General Instructions B.2. of Form 8-K, the information will not be deemed “filed” for purposes of Section 18 of the Securities Exchange Act of 1934, as amended (the “Exchange Act”), nor will it be deemed incorporated by reference in any filing under the Securities Act of 1933, as amended (the “Securities Act”), except as expressly set forth by specific reference in such a filing.</w:t>
      </w:r>
    </w:p>
    <w:p>
      <w:pPr>
        <w:spacing w:after="0" w:line="325"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7.01</w:t>
      </w:r>
      <w:r>
        <w:rPr>
          <w:sz w:val="20"/>
          <w:szCs w:val="20"/>
          <w:color w:val="auto"/>
        </w:rPr>
        <w:tab/>
      </w:r>
      <w:r>
        <w:rPr>
          <w:rFonts w:ascii="Arial" w:cs="Arial" w:eastAsia="Arial" w:hAnsi="Arial"/>
          <w:sz w:val="18"/>
          <w:szCs w:val="18"/>
          <w:b w:val="1"/>
          <w:bCs w:val="1"/>
          <w:color w:val="auto"/>
        </w:rPr>
        <w:t>Regulation FD Disclosure.</w:t>
      </w:r>
    </w:p>
    <w:p>
      <w:pPr>
        <w:spacing w:after="0" w:line="104" w:lineRule="exact"/>
        <w:rPr>
          <w:sz w:val="20"/>
          <w:szCs w:val="20"/>
          <w:color w:val="auto"/>
        </w:rPr>
      </w:pPr>
    </w:p>
    <w:p>
      <w:pPr>
        <w:ind w:left="4" w:right="120" w:firstLine="440"/>
        <w:spacing w:after="0" w:line="247" w:lineRule="auto"/>
        <w:rPr>
          <w:sz w:val="20"/>
          <w:szCs w:val="20"/>
          <w:color w:val="auto"/>
        </w:rPr>
      </w:pPr>
      <w:r>
        <w:rPr>
          <w:rFonts w:ascii="Arial" w:cs="Arial" w:eastAsia="Arial" w:hAnsi="Arial"/>
          <w:sz w:val="18"/>
          <w:szCs w:val="18"/>
          <w:color w:val="auto"/>
        </w:rPr>
        <w:t>On April 24, 2026, SLB issued a press release, a copy of which is furnished with this Form 8-K as Exhibit 99 and incorporated into this Item 7.01 by reference. In accordance with General Instruction B.2. of Form 8-K, the information will not be deemed “filed” for purposes of Section 18 of the Exchange Act, nor will it be deemed incorporated by reference in any filing under the Securities Act, except as expressly set forth by specific reference in such a filing.</w:t>
      </w:r>
    </w:p>
    <w:p>
      <w:pPr>
        <w:spacing w:after="0" w:line="174" w:lineRule="exact"/>
        <w:rPr>
          <w:sz w:val="20"/>
          <w:szCs w:val="20"/>
          <w:color w:val="auto"/>
        </w:rPr>
      </w:pPr>
    </w:p>
    <w:p>
      <w:pPr>
        <w:ind w:left="444"/>
        <w:spacing w:after="0"/>
        <w:rPr>
          <w:sz w:val="20"/>
          <w:szCs w:val="20"/>
          <w:color w:val="auto"/>
        </w:rPr>
      </w:pPr>
      <w:r>
        <w:rPr>
          <w:rFonts w:ascii="Arial" w:cs="Arial" w:eastAsia="Arial" w:hAnsi="Arial"/>
          <w:sz w:val="18"/>
          <w:szCs w:val="18"/>
          <w:color w:val="auto"/>
        </w:rPr>
        <w:t>Also, see Item 2.02, “Results of Operations and Financial Condition.”</w:t>
      </w:r>
    </w:p>
    <w:p>
      <w:pPr>
        <w:spacing w:after="0" w:line="360" w:lineRule="exact"/>
        <w:rPr>
          <w:sz w:val="20"/>
          <w:szCs w:val="20"/>
          <w:color w:val="auto"/>
        </w:rPr>
      </w:pPr>
    </w:p>
    <w:p>
      <w:pPr>
        <w:ind w:left="4"/>
        <w:spacing w:after="0"/>
        <w:tabs>
          <w:tab w:leader="none" w:pos="1184"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8"/>
          <w:szCs w:val="18"/>
          <w:b w:val="1"/>
          <w:bCs w:val="1"/>
          <w:color w:val="auto"/>
        </w:rPr>
        <w:t>Financial Statements and Exhibits.</w:t>
      </w:r>
    </w:p>
    <w:p>
      <w:pPr>
        <w:spacing w:after="0" w:line="117" w:lineRule="exact"/>
        <w:rPr>
          <w:sz w:val="20"/>
          <w:szCs w:val="20"/>
          <w:color w:val="auto"/>
        </w:rPr>
      </w:pPr>
    </w:p>
    <w:p>
      <w:pPr>
        <w:ind w:left="424" w:hanging="424"/>
        <w:spacing w:after="0"/>
        <w:tabs>
          <w:tab w:leader="none" w:pos="424" w:val="left"/>
        </w:tabs>
        <w:numPr>
          <w:ilvl w:val="0"/>
          <w:numId w:val="2"/>
        </w:numPr>
        <w:rPr>
          <w:rFonts w:ascii="Arial" w:cs="Arial" w:eastAsia="Arial" w:hAnsi="Arial"/>
          <w:sz w:val="18"/>
          <w:szCs w:val="18"/>
          <w:color w:val="auto"/>
        </w:rPr>
      </w:pPr>
      <w:r>
        <w:rPr>
          <w:rFonts w:ascii="Arial" w:cs="Arial" w:eastAsia="Arial" w:hAnsi="Arial"/>
          <w:sz w:val="18"/>
          <w:szCs w:val="18"/>
          <w:color w:val="auto"/>
        </w:rPr>
        <w:t>Exhibits</w:t>
      </w:r>
    </w:p>
    <w:p>
      <w:pPr>
        <w:spacing w:after="0" w:line="211" w:lineRule="exact"/>
        <w:rPr>
          <w:rFonts w:ascii="Arial" w:cs="Arial" w:eastAsia="Arial" w:hAnsi="Arial"/>
          <w:sz w:val="18"/>
          <w:szCs w:val="18"/>
          <w:color w:val="auto"/>
        </w:rPr>
      </w:pPr>
    </w:p>
    <w:p>
      <w:pPr>
        <w:ind w:left="444"/>
        <w:spacing w:after="0"/>
        <w:rPr>
          <w:rFonts w:ascii="Arial" w:cs="Arial" w:eastAsia="Arial" w:hAnsi="Arial"/>
          <w:sz w:val="18"/>
          <w:szCs w:val="18"/>
          <w:color w:val="auto"/>
        </w:rPr>
      </w:pPr>
      <w:r>
        <w:rPr>
          <w:rFonts w:ascii="Arial" w:cs="Arial" w:eastAsia="Arial" w:hAnsi="Arial"/>
          <w:sz w:val="18"/>
          <w:szCs w:val="18"/>
          <w:color w:val="auto"/>
        </w:rPr>
        <w:t>The exhibit listed below is furnished pursuant to Item 9.01 of this Form 8-K.</w:t>
      </w:r>
    </w:p>
    <w:p>
      <w:pPr>
        <w:spacing w:after="0" w:line="239" w:lineRule="exact"/>
        <w:rPr>
          <w:sz w:val="20"/>
          <w:szCs w:val="20"/>
          <w:color w:val="auto"/>
        </w:rPr>
      </w:pPr>
    </w:p>
    <w:p>
      <w:pPr>
        <w:ind w:left="84" w:hanging="84"/>
        <w:spacing w:after="0"/>
        <w:tabs>
          <w:tab w:leader="none" w:pos="84" w:val="left"/>
        </w:tabs>
        <w:numPr>
          <w:ilvl w:val="0"/>
          <w:numId w:val="3"/>
        </w:numPr>
        <w:rPr>
          <w:rFonts w:ascii="Arial" w:cs="Arial" w:eastAsia="Arial" w:hAnsi="Arial"/>
          <w:sz w:val="16"/>
          <w:szCs w:val="16"/>
          <w:color w:val="auto"/>
        </w:rPr>
      </w:pPr>
      <w:r>
        <w:rPr>
          <w:rFonts w:ascii="Arial" w:cs="Arial" w:eastAsia="Arial" w:hAnsi="Arial"/>
          <w:sz w:val="16"/>
          <w:szCs w:val="16"/>
          <w:color w:val="auto"/>
        </w:rPr>
        <w:t xml:space="preserve">99   </w:t>
      </w:r>
      <w:r>
        <w:rPr>
          <w:rFonts w:ascii="Arial" w:cs="Arial" w:eastAsia="Arial" w:hAnsi="Arial"/>
          <w:sz w:val="16"/>
          <w:szCs w:val="16"/>
          <w:u w:val="single" w:color="auto"/>
          <w:color w:val="0000EE"/>
        </w:rPr>
        <w:t>First-Quarter 2026 Earnings Release.</w:t>
      </w:r>
    </w:p>
    <w:p>
      <w:pPr>
        <w:spacing w:after="0" w:line="140" w:lineRule="exact"/>
        <w:rPr>
          <w:sz w:val="20"/>
          <w:szCs w:val="20"/>
          <w:color w:val="auto"/>
        </w:rPr>
      </w:pPr>
    </w:p>
    <w:p>
      <w:pPr>
        <w:ind w:left="4"/>
        <w:spacing w:after="0"/>
        <w:tabs>
          <w:tab w:leader="none" w:pos="644" w:val="left"/>
        </w:tabs>
        <w:rPr>
          <w:sz w:val="20"/>
          <w:szCs w:val="20"/>
          <w:color w:val="auto"/>
        </w:rPr>
      </w:pPr>
      <w:r>
        <w:rPr>
          <w:rFonts w:ascii="Arial" w:cs="Arial" w:eastAsia="Arial" w:hAnsi="Arial"/>
          <w:sz w:val="18"/>
          <w:szCs w:val="18"/>
          <w:color w:val="auto"/>
        </w:rPr>
        <w:t>104</w:t>
        <w:tab/>
        <w:t>Cover Page Interactive Data File (embedded within the Inline XBRL document).</w:t>
      </w:r>
    </w:p>
    <w:p>
      <w:pPr>
        <w:sectPr>
          <w:pgSz w:w="11900" w:h="16838" w:orient="portrait"/>
          <w:cols w:equalWidth="0" w:num="1">
            <w:col w:w="11004"/>
          </w:cols>
          <w:pgMar w:left="436" w:top="296" w:right="45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5524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74865" cy="55245"/>
                    </a:xfrm>
                    <a:prstGeom prst="rect">
                      <a:avLst/>
                    </a:prstGeom>
                    <a:noFill/>
                  </pic:spPr>
                </pic:pic>
              </a:graphicData>
            </a:graphic>
          </wp:anchor>
        </w:drawing>
        <w:t>SIGNATURES</w:t>
      </w:r>
    </w:p>
    <w:p>
      <w:pPr>
        <w:spacing w:after="0" w:line="212" w:lineRule="exact"/>
        <w:rPr>
          <w:sz w:val="20"/>
          <w:szCs w:val="20"/>
          <w:color w:val="auto"/>
        </w:rPr>
      </w:pPr>
    </w:p>
    <w:p>
      <w:pPr>
        <w:ind w:firstLine="440"/>
        <w:spacing w:after="0" w:line="271"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8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SLB LIMITED</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 Howard Guild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8890</wp:posOffset>
            </wp:positionV>
            <wp:extent cx="2794635"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2794635" cy="8255"/>
                    </a:xfrm>
                    <a:prstGeom prst="rect">
                      <a:avLst/>
                    </a:prstGeom>
                    <a:noFill/>
                  </pic:spPr>
                </pic:pic>
              </a:graphicData>
            </a:graphic>
          </wp:anchor>
        </w:drawing>
      </w:r>
    </w:p>
    <w:p>
      <w:pPr>
        <w:spacing w:after="0" w:line="12" w:lineRule="exact"/>
        <w:rPr>
          <w:sz w:val="20"/>
          <w:szCs w:val="20"/>
          <w:color w:val="auto"/>
        </w:rPr>
      </w:pPr>
    </w:p>
    <w:p>
      <w:pPr>
        <w:spacing w:after="0"/>
        <w:rPr>
          <w:sz w:val="20"/>
          <w:szCs w:val="20"/>
          <w:color w:val="auto"/>
        </w:rPr>
      </w:pPr>
      <w:r>
        <w:rPr>
          <w:rFonts w:ascii="Arial" w:cs="Arial" w:eastAsia="Arial" w:hAnsi="Arial"/>
          <w:sz w:val="18"/>
          <w:szCs w:val="18"/>
          <w:color w:val="auto"/>
        </w:rPr>
        <w:t>Howard Guild</w:t>
      </w:r>
    </w:p>
    <w:p>
      <w:pPr>
        <w:spacing w:after="0" w:line="4" w:lineRule="exact"/>
        <w:rPr>
          <w:sz w:val="20"/>
          <w:szCs w:val="20"/>
          <w:color w:val="auto"/>
        </w:rPr>
      </w:pPr>
    </w:p>
    <w:p>
      <w:pPr>
        <w:spacing w:after="0"/>
        <w:rPr>
          <w:sz w:val="20"/>
          <w:szCs w:val="20"/>
          <w:color w:val="auto"/>
        </w:rPr>
      </w:pPr>
      <w:r>
        <w:rPr>
          <w:rFonts w:ascii="Arial" w:cs="Arial" w:eastAsia="Arial" w:hAnsi="Arial"/>
          <w:sz w:val="18"/>
          <w:szCs w:val="18"/>
          <w:color w:val="auto"/>
        </w:rPr>
        <w:t>Chief Accounting Officer</w:t>
      </w:r>
    </w:p>
    <w:p>
      <w:pPr>
        <w:spacing w:after="0" w:line="194" w:lineRule="exact"/>
        <w:rPr>
          <w:sz w:val="20"/>
          <w:szCs w:val="20"/>
          <w:color w:val="auto"/>
        </w:rPr>
      </w:pPr>
    </w:p>
    <w:p>
      <w:pPr>
        <w:spacing w:after="0"/>
        <w:rPr>
          <w:sz w:val="20"/>
          <w:szCs w:val="20"/>
          <w:color w:val="auto"/>
        </w:rPr>
      </w:pPr>
      <w:r>
        <w:rPr>
          <w:rFonts w:ascii="Arial" w:cs="Arial" w:eastAsia="Arial" w:hAnsi="Arial"/>
          <w:sz w:val="18"/>
          <w:szCs w:val="18"/>
          <w:color w:val="auto"/>
        </w:rPr>
        <w:t>Date: April 24, 2026</w:t>
      </w:r>
    </w:p>
    <w:p>
      <w:pPr>
        <w:sectPr>
          <w:pgSz w:w="11900" w:h="16838" w:orient="portrait"/>
          <w:cols w:equalWidth="0" w:num="1">
            <w:col w:w="10840"/>
          </w:cols>
          <w:pgMar w:left="440" w:top="296" w:right="619" w:bottom="1440" w:gutter="0" w:footer="0" w:header="0"/>
        </w:sectPr>
      </w:pPr>
    </w:p>
    <w:bookmarkStart w:id="3" w:name="page4"/>
    <w:bookmarkEnd w:id="3"/>
    <w:p>
      <w:pPr>
        <w:jc w:val="right"/>
        <w:spacing w:after="0"/>
        <w:rPr>
          <w:sz w:val="20"/>
          <w:szCs w:val="20"/>
          <w:color w:val="auto"/>
        </w:rPr>
      </w:pPr>
      <w:r>
        <w:rPr>
          <w:rFonts w:ascii="Arial" w:cs="Arial" w:eastAsia="Arial" w:hAnsi="Arial"/>
          <w:sz w:val="18"/>
          <w:szCs w:val="18"/>
          <w:b w:val="1"/>
          <w:bCs w:val="1"/>
          <w:color w:val="auto"/>
        </w:rPr>
        <w:t>Exhibit 99</w:t>
      </w:r>
    </w:p>
    <w:p>
      <w:pPr>
        <w:spacing w:after="0" w:line="238"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News Release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5906135</wp:posOffset>
            </wp:positionH>
            <wp:positionV relativeFrom="paragraph">
              <wp:posOffset>-118745</wp:posOffset>
            </wp:positionV>
            <wp:extent cx="1089025" cy="6172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089025" cy="61722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61"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SLB Announces First-Quarter 2026 Results</w:t>
      </w:r>
    </w:p>
    <w:p>
      <w:pPr>
        <w:spacing w:after="0" w:line="117" w:lineRule="exact"/>
        <w:rPr>
          <w:sz w:val="20"/>
          <w:szCs w:val="20"/>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Revenue of $8.72 billion increased 3%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GAAP EPS of $0.50 decreased 14%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EPS, excluding charges and credits, of $0.52 decreased 28%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Net income attributable to SLB of $752 million decreased 6%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Adjusted EBITDA of $1.77 billion decreased 12% year on year</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Cash flow from operations was $487 million</w:t>
      </w:r>
    </w:p>
    <w:p>
      <w:pPr>
        <w:spacing w:after="0" w:line="117" w:lineRule="exact"/>
        <w:rPr>
          <w:rFonts w:ascii="Arial" w:cs="Arial" w:eastAsia="Arial" w:hAnsi="Arial"/>
          <w:sz w:val="18"/>
          <w:szCs w:val="18"/>
          <w:color w:val="auto"/>
        </w:rPr>
      </w:pPr>
    </w:p>
    <w:p>
      <w:pPr>
        <w:ind w:left="424" w:hanging="316"/>
        <w:spacing w:after="0"/>
        <w:tabs>
          <w:tab w:leader="none" w:pos="424" w:val="left"/>
        </w:tabs>
        <w:numPr>
          <w:ilvl w:val="0"/>
          <w:numId w:val="4"/>
        </w:numPr>
        <w:rPr>
          <w:rFonts w:ascii="Arial" w:cs="Arial" w:eastAsia="Arial" w:hAnsi="Arial"/>
          <w:sz w:val="18"/>
          <w:szCs w:val="18"/>
          <w:color w:val="auto"/>
        </w:rPr>
      </w:pPr>
      <w:r>
        <w:rPr>
          <w:rFonts w:ascii="Arial" w:cs="Arial" w:eastAsia="Arial" w:hAnsi="Arial"/>
          <w:sz w:val="18"/>
          <w:szCs w:val="18"/>
          <w:color w:val="auto"/>
        </w:rPr>
        <w:t>Board approved quarterly cash dividend of $0.295 per share</w:t>
      </w:r>
    </w:p>
    <w:p>
      <w:pPr>
        <w:spacing w:after="0" w:line="320"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 xml:space="preserve">HOUSTON, April 24, 2026 — </w:t>
      </w:r>
      <w:r>
        <w:rPr>
          <w:rFonts w:ascii="Arial" w:cs="Arial" w:eastAsia="Arial" w:hAnsi="Arial"/>
          <w:sz w:val="18"/>
          <w:szCs w:val="18"/>
          <w:color w:val="auto"/>
        </w:rPr>
        <w:t>SLB (NYSE: SLB) today announced results for the first-quarter 2026.</w:t>
      </w:r>
    </w:p>
    <w:p>
      <w:pPr>
        <w:spacing w:after="0" w:line="21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First-Quarter Results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r>
      <w:tr>
        <w:trPr>
          <w:trHeight w:val="162"/>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4"/>
          </w:tcPr>
          <w:p>
            <w:pPr>
              <w:jc w:val="right"/>
              <w:ind w:right="220"/>
              <w:spacing w:after="0"/>
              <w:rPr>
                <w:sz w:val="20"/>
                <w:szCs w:val="20"/>
                <w:color w:val="auto"/>
              </w:rPr>
            </w:pPr>
            <w:r>
              <w:rPr>
                <w:rFonts w:ascii="Arial" w:cs="Arial" w:eastAsia="Arial" w:hAnsi="Arial"/>
                <w:sz w:val="14"/>
                <w:szCs w:val="14"/>
                <w:color w:val="auto"/>
              </w:rPr>
              <w:t>except per share amounts)</w:t>
            </w:r>
          </w:p>
        </w:tc>
      </w:tr>
      <w:tr>
        <w:trPr>
          <w:trHeight w:val="171"/>
        </w:trPr>
        <w:tc>
          <w:tcPr>
            <w:tcW w:w="58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960" w:type="dxa"/>
            <w:vAlign w:val="bottom"/>
            <w:gridSpan w:val="9"/>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58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840" w:type="dxa"/>
            <w:vAlign w:val="bottom"/>
            <w:tcBorders>
              <w:top w:val="single" w:sz="8" w:color="auto"/>
            </w:tcBorders>
            <w:gridSpan w:val="4"/>
          </w:tcPr>
          <w:p>
            <w:pPr>
              <w:spacing w:after="0" w:line="147" w:lineRule="exact"/>
              <w:rPr>
                <w:sz w:val="20"/>
                <w:szCs w:val="20"/>
                <w:color w:val="auto"/>
              </w:rPr>
            </w:pPr>
            <w:r>
              <w:rPr>
                <w:rFonts w:ascii="Arial" w:cs="Arial" w:eastAsia="Arial" w:hAnsi="Arial"/>
                <w:sz w:val="14"/>
                <w:szCs w:val="14"/>
                <w:b w:val="1"/>
                <w:bCs w:val="1"/>
                <w:color w:val="auto"/>
              </w:rPr>
              <w:t>Mar. 31,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584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CCEEFF"/>
            </w:tcBorders>
          </w:tcPr>
          <w:p>
            <w:pPr>
              <w:spacing w:after="0"/>
              <w:rPr>
                <w:sz w:val="14"/>
                <w:szCs w:val="14"/>
                <w:color w:val="auto"/>
              </w:rPr>
            </w:pP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2025</w:t>
            </w:r>
          </w:p>
        </w:tc>
        <w:tc>
          <w:tcPr>
            <w:tcW w:w="280" w:type="dxa"/>
            <w:vAlign w:val="bottom"/>
            <w:tcBorders>
              <w:bottom w:val="single" w:sz="8" w:color="CCEEFF"/>
            </w:tcBorders>
          </w:tcPr>
          <w:p>
            <w:pPr>
              <w:spacing w:after="0"/>
              <w:rPr>
                <w:sz w:val="14"/>
                <w:szCs w:val="14"/>
                <w:color w:val="auto"/>
              </w:rPr>
            </w:pPr>
          </w:p>
        </w:tc>
        <w:tc>
          <w:tcPr>
            <w:tcW w:w="1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51"/>
              <w:spacing w:after="0"/>
              <w:rPr>
                <w:sz w:val="20"/>
                <w:szCs w:val="20"/>
                <w:color w:val="auto"/>
              </w:rPr>
            </w:pPr>
            <w:r>
              <w:rPr>
                <w:rFonts w:ascii="Arial" w:cs="Arial" w:eastAsia="Arial" w:hAnsi="Arial"/>
                <w:sz w:val="14"/>
                <w:szCs w:val="14"/>
                <w:color w:val="auto"/>
                <w:w w:val="96"/>
              </w:rPr>
              <w:t>2025</w:t>
            </w:r>
          </w:p>
        </w:tc>
        <w:tc>
          <w:tcPr>
            <w:tcW w:w="400" w:type="dxa"/>
            <w:vAlign w:val="bottom"/>
            <w:tcBorders>
              <w:bottom w:val="single" w:sz="8" w:color="CCEEFF"/>
            </w:tcBorders>
          </w:tcPr>
          <w:p>
            <w:pPr>
              <w:spacing w:after="0"/>
              <w:rPr>
                <w:sz w:val="14"/>
                <w:szCs w:val="14"/>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400" w:type="dxa"/>
            <w:vAlign w:val="bottom"/>
            <w:tcBorders>
              <w:bottom w:val="single" w:sz="8" w:color="CCEEFF"/>
            </w:tcBorders>
          </w:tcPr>
          <w:p>
            <w:pPr>
              <w:spacing w:after="0"/>
              <w:rPr>
                <w:sz w:val="14"/>
                <w:szCs w:val="14"/>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584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0" w:type="dxa"/>
            <w:vAlign w:val="bottom"/>
            <w:shd w:val="clear" w:color="auto" w:fill="CCEEFF"/>
          </w:tcPr>
          <w:p>
            <w:pPr>
              <w:spacing w:after="0"/>
              <w:rPr>
                <w:sz w:val="17"/>
                <w:szCs w:val="17"/>
                <w:color w:val="auto"/>
              </w:rPr>
            </w:pPr>
          </w:p>
        </w:tc>
        <w:tc>
          <w:tcPr>
            <w:tcW w:w="80" w:type="dxa"/>
            <w:vAlign w:val="bottom"/>
            <w:shd w:val="clear" w:color="auto" w:fill="CCEEFF"/>
          </w:tcPr>
          <w:p>
            <w:pPr>
              <w:spacing w:after="0"/>
              <w:rPr>
                <w:sz w:val="20"/>
                <w:szCs w:val="20"/>
                <w:color w:val="auto"/>
              </w:rPr>
            </w:pPr>
            <w:r>
              <w:rPr>
                <w:rFonts w:ascii="Arial" w:cs="Arial" w:eastAsia="Arial" w:hAnsi="Arial"/>
                <w:sz w:val="15"/>
                <w:szCs w:val="15"/>
                <w:b w:val="1"/>
                <w:bCs w:val="1"/>
                <w:color w:val="auto"/>
                <w:w w:val="71"/>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8,721</w:t>
            </w:r>
          </w:p>
        </w:tc>
        <w:tc>
          <w:tcPr>
            <w:tcW w:w="20" w:type="dxa"/>
            <w:vAlign w:val="bottom"/>
            <w:shd w:val="clear" w:color="auto" w:fill="CCEEFF"/>
          </w:tcPr>
          <w:p>
            <w:pPr>
              <w:spacing w:after="0"/>
              <w:rPr>
                <w:sz w:val="17"/>
                <w:szCs w:val="17"/>
                <w:color w:val="auto"/>
              </w:rPr>
            </w:pP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9,745</w:t>
            </w:r>
          </w:p>
        </w:tc>
        <w:tc>
          <w:tcPr>
            <w:tcW w:w="28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rPr>
                <w:sz w:val="17"/>
                <w:szCs w:val="17"/>
                <w:color w:val="auto"/>
              </w:rPr>
            </w:pPr>
          </w:p>
        </w:tc>
        <w:tc>
          <w:tcPr>
            <w:tcW w:w="12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7"/>
              </w:rPr>
              <w:t>8,490</w:t>
            </w:r>
          </w:p>
        </w:tc>
        <w:tc>
          <w:tcPr>
            <w:tcW w:w="400" w:type="dxa"/>
            <w:vAlign w:val="bottom"/>
            <w:shd w:val="clear" w:color="auto" w:fill="CCEEFF"/>
          </w:tcPr>
          <w:p>
            <w:pPr>
              <w:spacing w:after="0"/>
              <w:rPr>
                <w:sz w:val="17"/>
                <w:szCs w:val="17"/>
                <w:color w:val="auto"/>
              </w:rPr>
            </w:pPr>
          </w:p>
        </w:tc>
        <w:tc>
          <w:tcPr>
            <w:tcW w:w="1200" w:type="dxa"/>
            <w:vAlign w:val="bottom"/>
            <w:gridSpan w:val="2"/>
            <w:shd w:val="clear" w:color="auto" w:fill="CCEEFF"/>
          </w:tcPr>
          <w:p>
            <w:pPr>
              <w:jc w:val="right"/>
              <w:ind w:right="168"/>
              <w:spacing w:after="0" w:line="196" w:lineRule="exact"/>
              <w:rPr>
                <w:sz w:val="20"/>
                <w:szCs w:val="20"/>
                <w:color w:val="auto"/>
              </w:rPr>
            </w:pPr>
            <w:r>
              <w:rPr>
                <w:rFonts w:ascii="Arial" w:cs="Arial" w:eastAsia="Arial" w:hAnsi="Arial"/>
                <w:sz w:val="18"/>
                <w:szCs w:val="18"/>
                <w:b w:val="1"/>
                <w:bCs w:val="1"/>
                <w:color w:val="auto"/>
              </w:rPr>
              <w:t>-11%</w:t>
            </w:r>
          </w:p>
        </w:tc>
        <w:tc>
          <w:tcPr>
            <w:tcW w:w="106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3%</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Income before taxes - GAAP basis</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956</w:t>
            </w:r>
          </w:p>
        </w:tc>
        <w:tc>
          <w:tcPr>
            <w:tcW w:w="2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943</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1,063</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Income before taxes margin - GAAP basis</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11.0%</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12.5%</w:t>
            </w: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129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-156 bps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attributable to SLB - GAAP basis</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752</w:t>
            </w:r>
          </w:p>
        </w:tc>
        <w:tc>
          <w:tcPr>
            <w:tcW w:w="2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824</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797</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 EPS - GAAP basis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0.50</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0.55</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0.58</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1,773</w:t>
            </w:r>
          </w:p>
        </w:tc>
        <w:tc>
          <w:tcPr>
            <w:tcW w:w="2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2,331</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2,020</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20.3%</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23.9%</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23.8%</w:t>
            </w: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-358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-346 bps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Pretax segment operating income*</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1,321</w:t>
            </w:r>
          </w:p>
        </w:tc>
        <w:tc>
          <w:tcPr>
            <w:tcW w:w="2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1,807</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1,556</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-27%</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-15%</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margin*</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18.5%</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18.3%</w:t>
            </w: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-340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-318 bps</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Net income attribuable to SLB, excluding charges &amp; credits*</w:t>
            </w:r>
          </w:p>
        </w:tc>
        <w:tc>
          <w:tcPr>
            <w:tcW w:w="100" w:type="dxa"/>
            <w:vAlign w:val="bottom"/>
            <w:gridSpan w:val="2"/>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783</w:t>
            </w:r>
          </w:p>
        </w:tc>
        <w:tc>
          <w:tcPr>
            <w:tcW w:w="280" w:type="dxa"/>
            <w:vAlign w:val="bottom"/>
          </w:tcPr>
          <w:p>
            <w:pPr>
              <w:spacing w:after="0"/>
              <w:rPr>
                <w:sz w:val="18"/>
                <w:szCs w:val="18"/>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1,179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988</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-34%</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-21%</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Diluted EPS, excluding charges &amp; credits*</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0.52</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0.78</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0.72</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-33%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-28%</w:t>
            </w:r>
          </w:p>
        </w:tc>
      </w:tr>
      <w:tr>
        <w:trPr>
          <w:trHeight w:val="216"/>
        </w:trPr>
        <w:tc>
          <w:tcPr>
            <w:tcW w:w="5840" w:type="dxa"/>
            <w:vAlign w:val="bottom"/>
          </w:tcPr>
          <w:p>
            <w:pPr>
              <w:spacing w:after="0"/>
              <w:rPr>
                <w:sz w:val="20"/>
                <w:szCs w:val="20"/>
                <w:color w:val="auto"/>
              </w:rPr>
            </w:pPr>
            <w:r>
              <w:rPr>
                <w:rFonts w:ascii="Arial" w:cs="Arial" w:eastAsia="Arial" w:hAnsi="Arial"/>
                <w:sz w:val="18"/>
                <w:szCs w:val="18"/>
                <w:b w:val="1"/>
                <w:bCs w:val="1"/>
                <w:color w:val="auto"/>
              </w:rPr>
              <w:t>Revenue by Geography</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220" w:type="dxa"/>
            <w:vAlign w:val="bottom"/>
          </w:tcPr>
          <w:p>
            <w:pPr>
              <w:spacing w:after="0"/>
              <w:rPr>
                <w:sz w:val="18"/>
                <w:szCs w:val="18"/>
                <w:color w:val="auto"/>
              </w:rPr>
            </w:pP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1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w w:val="97"/>
              </w:rPr>
              <w:t>6,471</w:t>
            </w:r>
          </w:p>
        </w:tc>
        <w:tc>
          <w:tcPr>
            <w:tcW w:w="280" w:type="dxa"/>
            <w:vAlign w:val="bottom"/>
            <w:shd w:val="clear" w:color="auto" w:fill="CCEEFF"/>
          </w:tcPr>
          <w:p>
            <w:pPr>
              <w:spacing w:after="0"/>
              <w:rPr>
                <w:sz w:val="18"/>
                <w:szCs w:val="18"/>
                <w:color w:val="auto"/>
              </w:rPr>
            </w:pP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7,453</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6,727</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-13%</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16"/>
        </w:trPr>
        <w:tc>
          <w:tcPr>
            <w:tcW w:w="5840" w:type="dxa"/>
            <w:vAlign w:val="bottom"/>
          </w:tcPr>
          <w:p>
            <w:pPr>
              <w:spacing w:after="0"/>
              <w:rPr>
                <w:sz w:val="20"/>
                <w:szCs w:val="20"/>
                <w:color w:val="auto"/>
              </w:rPr>
            </w:pPr>
            <w:r>
              <w:rPr>
                <w:rFonts w:ascii="Arial" w:cs="Arial" w:eastAsia="Arial" w:hAnsi="Arial"/>
                <w:sz w:val="18"/>
                <w:szCs w:val="18"/>
                <w:color w:val="auto"/>
              </w:rPr>
              <w:t>North America</w:t>
            </w:r>
          </w:p>
        </w:tc>
        <w:tc>
          <w:tcPr>
            <w:tcW w:w="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2,167</w:t>
            </w:r>
          </w:p>
        </w:tc>
        <w:tc>
          <w:tcPr>
            <w:tcW w:w="2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2,212</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1,719</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26%</w:t>
            </w:r>
          </w:p>
        </w:tc>
      </w:tr>
      <w:tr>
        <w:trPr>
          <w:trHeight w:val="216"/>
        </w:trPr>
        <w:tc>
          <w:tcPr>
            <w:tcW w:w="5840" w:type="dxa"/>
            <w:vAlign w:val="bottom"/>
            <w:shd w:val="clear" w:color="auto" w:fill="CCEEFF"/>
          </w:tcPr>
          <w:p>
            <w:pPr>
              <w:spacing w:after="0"/>
              <w:rPr>
                <w:sz w:val="20"/>
                <w:szCs w:val="20"/>
                <w:color w:val="auto"/>
              </w:rPr>
            </w:pPr>
            <w:r>
              <w:rPr>
                <w:rFonts w:ascii="Arial" w:cs="Arial" w:eastAsia="Arial" w:hAnsi="Arial"/>
                <w:sz w:val="18"/>
                <w:szCs w:val="18"/>
                <w:color w:val="auto"/>
              </w:rPr>
              <w:t>Other</w:t>
            </w:r>
          </w:p>
        </w:tc>
        <w:tc>
          <w:tcPr>
            <w:tcW w:w="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4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0" w:type="dxa"/>
            <w:vAlign w:val="bottom"/>
            <w:shd w:val="clear" w:color="auto" w:fill="CCEEFF"/>
          </w:tcPr>
          <w:p>
            <w:pPr>
              <w:spacing w:after="0"/>
              <w:rPr>
                <w:sz w:val="18"/>
                <w:szCs w:val="18"/>
                <w:color w:val="auto"/>
              </w:rPr>
            </w:pPr>
          </w:p>
        </w:tc>
        <w:tc>
          <w:tcPr>
            <w:tcW w:w="2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80</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44</w:t>
            </w: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58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840" w:type="dxa"/>
            <w:vAlign w:val="bottom"/>
          </w:tcPr>
          <w:p>
            <w:pPr>
              <w:spacing w:after="0"/>
              <w:rPr>
                <w:sz w:val="19"/>
                <w:szCs w:val="19"/>
                <w:color w:val="auto"/>
              </w:rPr>
            </w:pPr>
          </w:p>
        </w:tc>
        <w:tc>
          <w:tcPr>
            <w:tcW w:w="100" w:type="dxa"/>
            <w:vAlign w:val="bottom"/>
            <w:gridSpan w:val="2"/>
          </w:tcPr>
          <w:p>
            <w:pPr>
              <w:spacing w:after="0"/>
              <w:rPr>
                <w:sz w:val="20"/>
                <w:szCs w:val="20"/>
                <w:color w:val="auto"/>
              </w:rPr>
            </w:pPr>
            <w:r>
              <w:rPr>
                <w:rFonts w:ascii="Arial" w:cs="Arial" w:eastAsia="Arial" w:hAnsi="Arial"/>
                <w:sz w:val="18"/>
                <w:szCs w:val="18"/>
                <w:b w:val="1"/>
                <w:bCs w:val="1"/>
                <w:u w:val="single" w:color="auto"/>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8,721</w:t>
            </w:r>
          </w:p>
        </w:tc>
        <w:tc>
          <w:tcPr>
            <w:tcW w:w="280" w:type="dxa"/>
            <w:vAlign w:val="bottom"/>
          </w:tcPr>
          <w:p>
            <w:pPr>
              <w:spacing w:after="0"/>
              <w:rPr>
                <w:sz w:val="19"/>
                <w:szCs w:val="19"/>
                <w:color w:val="auto"/>
              </w:rPr>
            </w:pPr>
          </w:p>
        </w:tc>
        <w:tc>
          <w:tcPr>
            <w:tcW w:w="22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9,745</w:t>
            </w:r>
          </w:p>
        </w:tc>
        <w:tc>
          <w:tcPr>
            <w:tcW w:w="240" w:type="dxa"/>
            <w:vAlign w:val="bottom"/>
            <w:gridSpan w:val="2"/>
          </w:tcPr>
          <w:p>
            <w:pPr>
              <w:ind w:left="120"/>
              <w:spacing w:after="0"/>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8,490</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-11%</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584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8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left="4" w:right="80"/>
        <w:spacing w:after="0" w:line="247" w:lineRule="auto"/>
        <w:rPr>
          <w:sz w:val="20"/>
          <w:szCs w:val="20"/>
          <w:color w:val="auto"/>
        </w:rPr>
      </w:pPr>
      <w:r>
        <w:rPr>
          <w:rFonts w:ascii="Arial" w:cs="Arial" w:eastAsia="Arial" w:hAnsi="Arial"/>
          <w:sz w:val="18"/>
          <w:szCs w:val="18"/>
          <w:color w:val="auto"/>
        </w:rPr>
        <w:t>SLB acquired ChampionX during the third quarter of 2025. First-quarter 2026 results reflect the acquired ChampionX businesses, which contributed $838 million of revenue, $199 million of adjusted EBITDA and $149 million of pretax segment operating income. Excluding the impact of this acquisition, SLB’s first-quarter 2026 global revenue decreased 7% year on year; international first-quarter 2026 revenue decreased 7% year on year; and North America first-quarter 2026 revenue decreased 8% year on year.</w:t>
      </w:r>
    </w:p>
    <w:p>
      <w:pPr>
        <w:spacing w:after="0" w:line="201" w:lineRule="exact"/>
        <w:rPr>
          <w:sz w:val="20"/>
          <w:szCs w:val="20"/>
          <w:color w:val="auto"/>
        </w:rPr>
      </w:pPr>
    </w:p>
    <w:p>
      <w:pPr>
        <w:ind w:left="224" w:right="460" w:hanging="224"/>
        <w:spacing w:after="0" w:line="271" w:lineRule="auto"/>
        <w:tabs>
          <w:tab w:leader="none" w:pos="224"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These are non-GAAP financial measures. See sections titled “Charges &amp; Credits”, “Divisions” and “Supplementary Information” for details.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4"/>
          </w:cols>
          <w:pgMar w:left="436" w:top="122" w:right="439" w:bottom="1440" w:gutter="0" w:footer="0" w:header="0"/>
        </w:sectPr>
      </w:pPr>
    </w:p>
    <w:bookmarkStart w:id="4" w:name="page5"/>
    <w:bookmarkEnd w:id="4"/>
    <w:p>
      <w:pPr>
        <w:spacing w:after="0" w:line="200" w:lineRule="exact"/>
        <w:rPr>
          <w:sz w:val="20"/>
          <w:szCs w:val="20"/>
          <w:color w:val="auto"/>
        </w:rPr>
      </w:pP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Revenue by Division</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88" w:lineRule="exact"/>
        <w:rPr>
          <w:sz w:val="20"/>
          <w:szCs w:val="20"/>
          <w:color w:val="auto"/>
        </w:rPr>
      </w:pPr>
    </w:p>
    <w:p>
      <w:pPr>
        <w:ind w:right="1540"/>
        <w:spacing w:after="0" w:line="260" w:lineRule="auto"/>
        <w:rPr>
          <w:sz w:val="20"/>
          <w:szCs w:val="20"/>
          <w:color w:val="auto"/>
        </w:rPr>
      </w:pPr>
      <w:r>
        <w:rPr>
          <w:rFonts w:ascii="Arial" w:cs="Arial" w:eastAsia="Arial" w:hAnsi="Arial"/>
          <w:sz w:val="18"/>
          <w:szCs w:val="18"/>
          <w:b w:val="1"/>
          <w:bCs w:val="1"/>
          <w:color w:val="auto"/>
        </w:rPr>
        <w:t xml:space="preserve">Preax segment operating income </w:t>
      </w:r>
      <w:r>
        <w:rPr>
          <w:rFonts w:ascii="Arial" w:cs="Arial" w:eastAsia="Arial" w:hAnsi="Arial"/>
          <w:sz w:val="18"/>
          <w:szCs w:val="18"/>
          <w:color w:val="auto"/>
        </w:rPr>
        <w:t>Digital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88" w:lineRule="exact"/>
        <w:rPr>
          <w:sz w:val="20"/>
          <w:szCs w:val="20"/>
          <w:color w:val="auto"/>
        </w:rPr>
      </w:pPr>
    </w:p>
    <w:p>
      <w:pPr>
        <w:ind w:right="1500"/>
        <w:spacing w:after="0" w:line="260" w:lineRule="auto"/>
        <w:rPr>
          <w:sz w:val="20"/>
          <w:szCs w:val="20"/>
          <w:color w:val="auto"/>
        </w:rPr>
      </w:pPr>
      <w:r>
        <w:rPr>
          <w:rFonts w:ascii="Arial" w:cs="Arial" w:eastAsia="Arial" w:hAnsi="Arial"/>
          <w:sz w:val="18"/>
          <w:szCs w:val="18"/>
          <w:b w:val="1"/>
          <w:bCs w:val="1"/>
          <w:color w:val="auto"/>
        </w:rPr>
        <w:t xml:space="preserve">Pretax segment operating margin </w:t>
      </w:r>
      <w:r>
        <w:rPr>
          <w:rFonts w:ascii="Arial" w:cs="Arial" w:eastAsia="Arial" w:hAnsi="Arial"/>
          <w:sz w:val="18"/>
          <w:szCs w:val="18"/>
          <w:color w:val="auto"/>
        </w:rPr>
        <w:t>Digital</w:t>
      </w:r>
    </w:p>
    <w:p>
      <w:pPr>
        <w:spacing w:after="0" w:line="2"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88"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Adjusted EBITDA</w:t>
      </w:r>
    </w:p>
    <w:p>
      <w:pPr>
        <w:spacing w:after="0" w:line="27" w:lineRule="exact"/>
        <w:rPr>
          <w:sz w:val="20"/>
          <w:szCs w:val="20"/>
          <w:color w:val="auto"/>
        </w:rPr>
      </w:pPr>
    </w:p>
    <w:p>
      <w:pPr>
        <w:spacing w:after="0"/>
        <w:rPr>
          <w:sz w:val="20"/>
          <w:szCs w:val="20"/>
          <w:color w:val="auto"/>
        </w:rPr>
      </w:pPr>
      <w:r>
        <w:rPr>
          <w:rFonts w:ascii="Arial" w:cs="Arial" w:eastAsia="Arial" w:hAnsi="Arial"/>
          <w:sz w:val="18"/>
          <w:szCs w:val="18"/>
          <w:color w:val="auto"/>
        </w:rPr>
        <w:t>Digital</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Reservoir Performance</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Well Construction</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Production Systems</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All Other</w:t>
      </w:r>
    </w:p>
    <w:p>
      <w:pPr>
        <w:spacing w:after="0" w:line="9" w:lineRule="exact"/>
        <w:rPr>
          <w:sz w:val="20"/>
          <w:szCs w:val="20"/>
          <w:color w:val="auto"/>
        </w:rPr>
      </w:pPr>
    </w:p>
    <w:p>
      <w:pPr>
        <w:spacing w:after="0"/>
        <w:rPr>
          <w:sz w:val="20"/>
          <w:szCs w:val="20"/>
          <w:color w:val="auto"/>
        </w:rPr>
      </w:pPr>
      <w:r>
        <w:rPr>
          <w:rFonts w:ascii="Arial" w:cs="Arial" w:eastAsia="Arial" w:hAnsi="Arial"/>
          <w:sz w:val="18"/>
          <w:szCs w:val="18"/>
          <w:color w:val="auto"/>
        </w:rPr>
        <w:t>Eliminations</w:t>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2"/>
        </w:trPr>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360" w:type="dxa"/>
            <w:vAlign w:val="bottom"/>
            <w:gridSpan w:val="2"/>
          </w:tcPr>
          <w:p>
            <w:pPr>
              <w:jc w:val="right"/>
              <w:ind w:right="160"/>
              <w:spacing w:after="0"/>
              <w:rPr>
                <w:sz w:val="20"/>
                <w:szCs w:val="20"/>
                <w:color w:val="auto"/>
              </w:rPr>
            </w:pPr>
            <w:r>
              <w:rPr>
                <w:rFonts w:ascii="Arial" w:cs="Arial" w:eastAsia="Arial" w:hAnsi="Arial"/>
                <w:sz w:val="14"/>
                <w:szCs w:val="14"/>
                <w:color w:val="auto"/>
              </w:rPr>
              <w:t>(Stated in millions)</w:t>
            </w:r>
          </w:p>
        </w:tc>
      </w:tr>
      <w:tr>
        <w:trPr>
          <w:trHeight w:val="171"/>
        </w:trPr>
        <w:tc>
          <w:tcPr>
            <w:tcW w:w="1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480" w:type="dxa"/>
            <w:vAlign w:val="bottom"/>
            <w:gridSpan w:val="5"/>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2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rPr>
              <w:t>Change</w:t>
            </w:r>
          </w:p>
        </w:tc>
      </w:tr>
      <w:tr>
        <w:trPr>
          <w:trHeight w:val="146"/>
        </w:trPr>
        <w:tc>
          <w:tcPr>
            <w:tcW w:w="88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60" w:type="dxa"/>
            <w:vAlign w:val="bottom"/>
            <w:tcBorders>
              <w:top w:val="single" w:sz="8" w:color="auto"/>
            </w:tcBorders>
          </w:tcPr>
          <w:p>
            <w:pPr>
              <w:spacing w:after="0"/>
              <w:rPr>
                <w:sz w:val="12"/>
                <w:szCs w:val="12"/>
                <w:color w:val="auto"/>
              </w:rPr>
            </w:pPr>
          </w:p>
        </w:tc>
        <w:tc>
          <w:tcPr>
            <w:tcW w:w="10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8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46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160" w:type="dxa"/>
            <w:vAlign w:val="bottom"/>
          </w:tcPr>
          <w:p>
            <w:pPr>
              <w:spacing w:after="0"/>
              <w:rPr>
                <w:sz w:val="12"/>
                <w:szCs w:val="12"/>
                <w:color w:val="auto"/>
              </w:rPr>
            </w:pPr>
          </w:p>
        </w:tc>
      </w:tr>
      <w:tr>
        <w:trPr>
          <w:trHeight w:val="171"/>
        </w:trPr>
        <w:tc>
          <w:tcPr>
            <w:tcW w:w="12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jc w:val="right"/>
              <w:ind w:right="71"/>
              <w:spacing w:after="0"/>
              <w:rPr>
                <w:sz w:val="20"/>
                <w:szCs w:val="20"/>
                <w:color w:val="auto"/>
              </w:rPr>
            </w:pPr>
            <w:r>
              <w:rPr>
                <w:rFonts w:ascii="Arial" w:cs="Arial" w:eastAsia="Arial" w:hAnsi="Arial"/>
                <w:sz w:val="14"/>
                <w:szCs w:val="14"/>
                <w:b w:val="1"/>
                <w:bCs w:val="1"/>
                <w:color w:val="auto"/>
                <w:w w:val="96"/>
              </w:rPr>
              <w:t>2026</w:t>
            </w:r>
          </w:p>
        </w:tc>
        <w:tc>
          <w:tcPr>
            <w:tcW w:w="2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2025</w:t>
            </w:r>
          </w:p>
        </w:tc>
        <w:tc>
          <w:tcPr>
            <w:tcW w:w="48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color w:val="auto"/>
              </w:rPr>
              <w:t>2025</w:t>
            </w:r>
          </w:p>
        </w:tc>
        <w:tc>
          <w:tcPr>
            <w:tcW w:w="480" w:type="dxa"/>
            <w:vAlign w:val="bottom"/>
          </w:tcPr>
          <w:p>
            <w:pPr>
              <w:spacing w:after="0"/>
              <w:rPr>
                <w:sz w:val="14"/>
                <w:szCs w:val="14"/>
                <w:color w:val="auto"/>
              </w:rPr>
            </w:pPr>
          </w:p>
        </w:tc>
        <w:tc>
          <w:tcPr>
            <w:tcW w:w="940" w:type="dxa"/>
            <w:vAlign w:val="bottom"/>
            <w:tcBorders>
              <w:bottom w:val="single" w:sz="8" w:color="auto"/>
            </w:tcBorders>
          </w:tcPr>
          <w:p>
            <w:pPr>
              <w:jc w:val="right"/>
              <w:ind w:right="31"/>
              <w:spacing w:after="0"/>
              <w:rPr>
                <w:sz w:val="20"/>
                <w:szCs w:val="20"/>
                <w:color w:val="auto"/>
              </w:rPr>
            </w:pPr>
            <w:r>
              <w:rPr>
                <w:rFonts w:ascii="Arial" w:cs="Arial" w:eastAsia="Arial" w:hAnsi="Arial"/>
                <w:sz w:val="14"/>
                <w:szCs w:val="14"/>
                <w:b w:val="1"/>
                <w:bCs w:val="1"/>
                <w:color w:val="auto"/>
              </w:rPr>
              <w:t>Sequential</w:t>
            </w:r>
          </w:p>
        </w:tc>
        <w:tc>
          <w:tcPr>
            <w:tcW w:w="460" w:type="dxa"/>
            <w:vAlign w:val="bottom"/>
          </w:tcPr>
          <w:p>
            <w:pPr>
              <w:spacing w:after="0"/>
              <w:rPr>
                <w:sz w:val="14"/>
                <w:szCs w:val="14"/>
                <w:color w:val="auto"/>
              </w:rPr>
            </w:pPr>
          </w:p>
        </w:tc>
        <w:tc>
          <w:tcPr>
            <w:tcW w:w="1200" w:type="dxa"/>
            <w:vAlign w:val="bottom"/>
            <w:tcBorders>
              <w:bottom w:val="single" w:sz="8" w:color="auto"/>
            </w:tcBorders>
          </w:tcPr>
          <w:p>
            <w:pPr>
              <w:jc w:val="right"/>
              <w:ind w:right="91"/>
              <w:spacing w:after="0"/>
              <w:rPr>
                <w:sz w:val="20"/>
                <w:szCs w:val="20"/>
                <w:color w:val="auto"/>
              </w:rPr>
            </w:pPr>
            <w:r>
              <w:rPr>
                <w:rFonts w:ascii="Arial" w:cs="Arial" w:eastAsia="Arial" w:hAnsi="Arial"/>
                <w:sz w:val="14"/>
                <w:szCs w:val="14"/>
                <w:color w:val="auto"/>
              </w:rPr>
              <w:t>Year-on-year</w:t>
            </w:r>
          </w:p>
        </w:tc>
        <w:tc>
          <w:tcPr>
            <w:tcW w:w="160" w:type="dxa"/>
            <w:vAlign w:val="bottom"/>
          </w:tcPr>
          <w:p>
            <w:pPr>
              <w:spacing w:after="0"/>
              <w:rPr>
                <w:sz w:val="14"/>
                <w:szCs w:val="14"/>
                <w:color w:val="auto"/>
              </w:rPr>
            </w:pPr>
          </w:p>
        </w:tc>
      </w:tr>
      <w:tr>
        <w:trPr>
          <w:trHeight w:val="407"/>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640</w:t>
            </w:r>
          </w:p>
        </w:tc>
        <w:tc>
          <w:tcPr>
            <w:tcW w:w="28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825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587</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1,594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1,748</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1,700</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2,797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2,949</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2,977</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3,508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4,078</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2,841</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-14%</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23%</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443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445</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562</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-21%</w:t>
            </w:r>
          </w:p>
        </w:tc>
      </w:tr>
      <w:tr>
        <w:trPr>
          <w:trHeight w:val="221"/>
        </w:trPr>
        <w:tc>
          <w:tcPr>
            <w:tcW w:w="120" w:type="dxa"/>
            <w:vAlign w:val="bottom"/>
          </w:tcPr>
          <w:p>
            <w:pPr>
              <w:spacing w:after="0"/>
              <w:rPr>
                <w:sz w:val="19"/>
                <w:szCs w:val="19"/>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(261)</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(300)</w:t>
            </w: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(177)</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n/m</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8,721</w:t>
            </w:r>
          </w:p>
        </w:tc>
        <w:tc>
          <w:tcPr>
            <w:tcW w:w="28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9,745</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8,490</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-11%</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134</w:t>
            </w:r>
          </w:p>
        </w:tc>
        <w:tc>
          <w:tcPr>
            <w:tcW w:w="28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280</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125</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257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342</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282</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-9%</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424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550</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589</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-28%</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497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471</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-25%</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6%</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113</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85</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162</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33%</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-30%</w:t>
            </w:r>
          </w:p>
        </w:tc>
      </w:tr>
      <w:tr>
        <w:trPr>
          <w:trHeight w:val="221"/>
        </w:trPr>
        <w:tc>
          <w:tcPr>
            <w:tcW w:w="120" w:type="dxa"/>
            <w:vAlign w:val="bottom"/>
          </w:tcPr>
          <w:p>
            <w:pPr>
              <w:spacing w:after="0"/>
              <w:rPr>
                <w:sz w:val="19"/>
                <w:szCs w:val="19"/>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(104)</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(114)</w:t>
            </w: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(73)</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n/m</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r>
        <w:trPr>
          <w:trHeight w:val="20"/>
        </w:trPr>
        <w:tc>
          <w:tcPr>
            <w:tcW w:w="120" w:type="dxa"/>
            <w:vAlign w:val="bottom"/>
            <w:shd w:val="clear" w:color="auto" w:fill="000000"/>
          </w:tcPr>
          <w:p>
            <w:pPr>
              <w:spacing w:after="0" w:line="20" w:lineRule="exact"/>
              <w:rPr>
                <w:sz w:val="1"/>
                <w:szCs w:val="1"/>
                <w:color w:val="auto"/>
              </w:rPr>
            </w:pPr>
          </w:p>
        </w:tc>
        <w:tc>
          <w:tcPr>
            <w:tcW w:w="480" w:type="dxa"/>
            <w:vAlign w:val="bottom"/>
            <w:tcBorders>
              <w:right w:val="single" w:sz="8" w:color="auto"/>
            </w:tcBorders>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3"/>
        </w:trPr>
        <w:tc>
          <w:tcPr>
            <w:tcW w:w="120" w:type="dxa"/>
            <w:vAlign w:val="bottom"/>
          </w:tcPr>
          <w:p>
            <w:pPr>
              <w:spacing w:after="0"/>
              <w:rPr>
                <w:sz w:val="20"/>
                <w:szCs w:val="20"/>
                <w:color w:val="auto"/>
              </w:rPr>
            </w:pPr>
            <w:r>
              <w:rPr>
                <w:rFonts w:ascii="Arial" w:cs="Arial" w:eastAsia="Arial" w:hAnsi="Arial"/>
                <w:sz w:val="18"/>
                <w:szCs w:val="18"/>
                <w:b w:val="1"/>
                <w:bCs w:val="1"/>
                <w:u w:val="single" w:color="auto"/>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w w:val="97"/>
              </w:rPr>
              <w:t>1,321</w:t>
            </w:r>
          </w:p>
        </w:tc>
        <w:tc>
          <w:tcPr>
            <w:tcW w:w="280" w:type="dxa"/>
            <w:vAlign w:val="bottom"/>
          </w:tcPr>
          <w:p>
            <w:pPr>
              <w:spacing w:after="0"/>
              <w:rPr>
                <w:sz w:val="19"/>
                <w:szCs w:val="19"/>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1,807</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w w:val="97"/>
              </w:rPr>
              <w:t>1,556</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-27%</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-15%</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20" w:type="dxa"/>
            <w:vAlign w:val="bottom"/>
          </w:tcPr>
          <w:p>
            <w:pPr>
              <w:spacing w:after="0"/>
              <w:rPr>
                <w:sz w:val="24"/>
                <w:szCs w:val="24"/>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20.9%</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34.0%</w:t>
            </w:r>
          </w:p>
        </w:tc>
        <w:tc>
          <w:tcPr>
            <w:tcW w:w="100" w:type="dxa"/>
            <w:vAlign w:val="bottom"/>
          </w:tcPr>
          <w:p>
            <w:pPr>
              <w:spacing w:after="0"/>
              <w:rPr>
                <w:sz w:val="24"/>
                <w:szCs w:val="24"/>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21.2%</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-1,303 bps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-28 bps</w:t>
            </w:r>
          </w:p>
        </w:tc>
      </w:tr>
      <w:tr>
        <w:trPr>
          <w:trHeight w:val="216"/>
        </w:trPr>
        <w:tc>
          <w:tcPr>
            <w:tcW w:w="120" w:type="dxa"/>
            <w:vAlign w:val="bottom"/>
          </w:tcPr>
          <w:p>
            <w:pPr>
              <w:spacing w:after="0"/>
              <w:rPr>
                <w:sz w:val="18"/>
                <w:szCs w:val="18"/>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16.1%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19.6%</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-348 bps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-47 bps</w:t>
            </w:r>
          </w:p>
        </w:tc>
      </w:tr>
      <w:tr>
        <w:trPr>
          <w:trHeight w:val="216"/>
        </w:trPr>
        <w:tc>
          <w:tcPr>
            <w:tcW w:w="120" w:type="dxa"/>
            <w:vAlign w:val="bottom"/>
          </w:tcPr>
          <w:p>
            <w:pPr>
              <w:spacing w:after="0"/>
              <w:rPr>
                <w:sz w:val="18"/>
                <w:szCs w:val="18"/>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18.7%</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19.8%</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-350 bps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-463 bps</w:t>
            </w:r>
          </w:p>
        </w:tc>
      </w:tr>
      <w:tr>
        <w:trPr>
          <w:trHeight w:val="216"/>
        </w:trPr>
        <w:tc>
          <w:tcPr>
            <w:tcW w:w="120" w:type="dxa"/>
            <w:vAlign w:val="bottom"/>
          </w:tcPr>
          <w:p>
            <w:pPr>
              <w:spacing w:after="0"/>
              <w:rPr>
                <w:sz w:val="18"/>
                <w:szCs w:val="18"/>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14.2%</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16.3%</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16.6%</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-212 bps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-240 bps</w:t>
            </w:r>
          </w:p>
        </w:tc>
      </w:tr>
      <w:tr>
        <w:trPr>
          <w:trHeight w:val="216"/>
        </w:trPr>
        <w:tc>
          <w:tcPr>
            <w:tcW w:w="120" w:type="dxa"/>
            <w:vAlign w:val="bottom"/>
          </w:tcPr>
          <w:p>
            <w:pPr>
              <w:spacing w:after="0"/>
              <w:rPr>
                <w:sz w:val="18"/>
                <w:szCs w:val="18"/>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25.5%</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19.0%</w:t>
            </w:r>
          </w:p>
        </w:tc>
        <w:tc>
          <w:tcPr>
            <w:tcW w:w="100" w:type="dxa"/>
            <w:vAlign w:val="bottom"/>
          </w:tcPr>
          <w:p>
            <w:pPr>
              <w:spacing w:after="0"/>
              <w:rPr>
                <w:sz w:val="18"/>
                <w:szCs w:val="18"/>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28.8%</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647 bps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-331 bps</w:t>
            </w:r>
          </w:p>
        </w:tc>
      </w:tr>
      <w:tr>
        <w:trPr>
          <w:trHeight w:val="221"/>
        </w:trPr>
        <w:tc>
          <w:tcPr>
            <w:tcW w:w="120" w:type="dxa"/>
            <w:vAlign w:val="bottom"/>
            <w:tcBorders>
              <w:bottom w:val="single" w:sz="8" w:color="auto"/>
            </w:tcBorders>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2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480" w:type="dxa"/>
            <w:vAlign w:val="bottom"/>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4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480" w:type="dxa"/>
            <w:vAlign w:val="bottom"/>
          </w:tcPr>
          <w:p>
            <w:pPr>
              <w:spacing w:after="0"/>
              <w:rPr>
                <w:sz w:val="19"/>
                <w:szCs w:val="19"/>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n/m</w:t>
            </w:r>
          </w:p>
        </w:tc>
        <w:tc>
          <w:tcPr>
            <w:tcW w:w="460" w:type="dxa"/>
            <w:vAlign w:val="bottom"/>
          </w:tcPr>
          <w:p>
            <w:pPr>
              <w:spacing w:after="0"/>
              <w:rPr>
                <w:sz w:val="19"/>
                <w:szCs w:val="19"/>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n/m</w:t>
            </w:r>
          </w:p>
        </w:tc>
        <w:tc>
          <w:tcPr>
            <w:tcW w:w="160" w:type="dxa"/>
            <w:vAlign w:val="bottom"/>
          </w:tcPr>
          <w:p>
            <w:pPr>
              <w:spacing w:after="0"/>
              <w:rPr>
                <w:sz w:val="19"/>
                <w:szCs w:val="19"/>
                <w:color w:val="auto"/>
              </w:rPr>
            </w:pPr>
          </w:p>
        </w:tc>
      </w:tr>
      <w:tr>
        <w:trPr>
          <w:trHeight w:val="223"/>
        </w:trPr>
        <w:tc>
          <w:tcPr>
            <w:tcW w:w="120" w:type="dxa"/>
            <w:vAlign w:val="bottom"/>
          </w:tcPr>
          <w:p>
            <w:pPr>
              <w:spacing w:after="0"/>
              <w:rPr>
                <w:sz w:val="19"/>
                <w:szCs w:val="19"/>
                <w:color w:val="auto"/>
              </w:rPr>
            </w:pPr>
          </w:p>
        </w:tc>
        <w:tc>
          <w:tcPr>
            <w:tcW w:w="760" w:type="dxa"/>
            <w:vAlign w:val="bottom"/>
            <w:gridSpan w:val="2"/>
          </w:tcPr>
          <w:p>
            <w:pPr>
              <w:jc w:val="right"/>
              <w:ind w:right="68"/>
              <w:spacing w:after="0"/>
              <w:rPr>
                <w:sz w:val="20"/>
                <w:szCs w:val="20"/>
                <w:color w:val="auto"/>
              </w:rPr>
            </w:pPr>
            <w:r>
              <w:rPr>
                <w:rFonts w:ascii="Arial" w:cs="Arial" w:eastAsia="Arial" w:hAnsi="Arial"/>
                <w:sz w:val="18"/>
                <w:szCs w:val="18"/>
                <w:b w:val="1"/>
                <w:bCs w:val="1"/>
                <w:color w:val="auto"/>
              </w:rPr>
              <w:t>15.2%</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18.5%</w:t>
            </w:r>
          </w:p>
        </w:tc>
        <w:tc>
          <w:tcPr>
            <w:tcW w:w="100" w:type="dxa"/>
            <w:vAlign w:val="bottom"/>
          </w:tcPr>
          <w:p>
            <w:pPr>
              <w:spacing w:after="0"/>
              <w:rPr>
                <w:sz w:val="19"/>
                <w:szCs w:val="19"/>
                <w:color w:val="auto"/>
              </w:rPr>
            </w:pPr>
          </w:p>
        </w:tc>
        <w:tc>
          <w:tcPr>
            <w:tcW w:w="940" w:type="dxa"/>
            <w:vAlign w:val="bottom"/>
            <w:gridSpan w:val="2"/>
          </w:tcPr>
          <w:p>
            <w:pPr>
              <w:jc w:val="right"/>
              <w:ind w:right="320"/>
              <w:spacing w:after="0"/>
              <w:rPr>
                <w:sz w:val="20"/>
                <w:szCs w:val="20"/>
                <w:color w:val="auto"/>
              </w:rPr>
            </w:pPr>
            <w:r>
              <w:rPr>
                <w:rFonts w:ascii="Arial" w:cs="Arial" w:eastAsia="Arial" w:hAnsi="Arial"/>
                <w:sz w:val="18"/>
                <w:szCs w:val="18"/>
                <w:color w:val="auto"/>
              </w:rPr>
              <w:t>18.3%</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-340 bps</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-318 bps</w:t>
            </w:r>
          </w:p>
        </w:tc>
      </w:tr>
      <w:tr>
        <w:trPr>
          <w:trHeight w:val="20"/>
        </w:trPr>
        <w:tc>
          <w:tcPr>
            <w:tcW w:w="12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421"/>
        </w:trPr>
        <w:tc>
          <w:tcPr>
            <w:tcW w:w="120" w:type="dxa"/>
            <w:vAlign w:val="bottom"/>
          </w:tcPr>
          <w:p>
            <w:pPr>
              <w:spacing w:after="0"/>
              <w:rPr>
                <w:sz w:val="20"/>
                <w:szCs w:val="20"/>
                <w:color w:val="auto"/>
              </w:rPr>
            </w:pPr>
            <w:r>
              <w:rPr>
                <w:rFonts w:ascii="Arial" w:cs="Arial" w:eastAsia="Arial" w:hAnsi="Arial"/>
                <w:sz w:val="18"/>
                <w:szCs w:val="18"/>
                <w:b w:val="1"/>
                <w:bCs w:val="1"/>
                <w:color w:val="auto"/>
                <w:w w:val="9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167</w:t>
            </w:r>
          </w:p>
        </w:tc>
        <w:tc>
          <w:tcPr>
            <w:tcW w:w="280" w:type="dxa"/>
            <w:vAlign w:val="bottom"/>
          </w:tcPr>
          <w:p>
            <w:pPr>
              <w:spacing w:after="0"/>
              <w:rPr>
                <w:sz w:val="24"/>
                <w:szCs w:val="24"/>
                <w:color w:val="auto"/>
              </w:rPr>
            </w:pP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346</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181</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-52%</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-8%</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369</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456</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385</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-4%</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584</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719</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753</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-19%</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-22%</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648</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561</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-20%</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16%</w:t>
            </w:r>
          </w:p>
        </w:tc>
      </w:tr>
      <w:tr>
        <w:trPr>
          <w:trHeight w:val="216"/>
        </w:trPr>
        <w:tc>
          <w:tcPr>
            <w:tcW w:w="12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197</w:t>
            </w:r>
          </w:p>
        </w:tc>
        <w:tc>
          <w:tcPr>
            <w:tcW w:w="2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170</w:t>
            </w:r>
          </w:p>
        </w:tc>
        <w:tc>
          <w:tcPr>
            <w:tcW w:w="100" w:type="dxa"/>
            <w:vAlign w:val="bottom"/>
          </w:tcPr>
          <w:p>
            <w:pPr>
              <w:spacing w:after="0"/>
              <w:rPr>
                <w:sz w:val="18"/>
                <w:szCs w:val="18"/>
                <w:color w:val="auto"/>
              </w:rPr>
            </w:pPr>
          </w:p>
        </w:tc>
        <w:tc>
          <w:tcPr>
            <w:tcW w:w="940" w:type="dxa"/>
            <w:vAlign w:val="bottom"/>
            <w:gridSpan w:val="2"/>
          </w:tcPr>
          <w:p>
            <w:pPr>
              <w:jc w:val="right"/>
              <w:ind w:right="480"/>
              <w:spacing w:after="0"/>
              <w:rPr>
                <w:sz w:val="20"/>
                <w:szCs w:val="20"/>
                <w:color w:val="auto"/>
              </w:rPr>
            </w:pPr>
            <w:r>
              <w:rPr>
                <w:rFonts w:ascii="Arial" w:cs="Arial" w:eastAsia="Arial" w:hAnsi="Arial"/>
                <w:sz w:val="18"/>
                <w:szCs w:val="18"/>
                <w:color w:val="auto"/>
              </w:rPr>
              <w:t>276</w:t>
            </w:r>
          </w:p>
        </w:tc>
        <w:tc>
          <w:tcPr>
            <w:tcW w:w="1400" w:type="dxa"/>
            <w:vAlign w:val="bottom"/>
            <w:gridSpan w:val="2"/>
          </w:tcPr>
          <w:p>
            <w:pPr>
              <w:jc w:val="right"/>
              <w:ind w:right="228"/>
              <w:spacing w:after="0"/>
              <w:rPr>
                <w:sz w:val="20"/>
                <w:szCs w:val="20"/>
                <w:color w:val="auto"/>
              </w:rPr>
            </w:pPr>
            <w:r>
              <w:rPr>
                <w:rFonts w:ascii="Arial" w:cs="Arial" w:eastAsia="Arial" w:hAnsi="Arial"/>
                <w:sz w:val="18"/>
                <w:szCs w:val="18"/>
                <w:b w:val="1"/>
                <w:bCs w:val="1"/>
                <w:color w:val="auto"/>
              </w:rPr>
              <w:t>16%</w:t>
            </w:r>
          </w:p>
        </w:tc>
        <w:tc>
          <w:tcPr>
            <w:tcW w:w="1360" w:type="dxa"/>
            <w:vAlign w:val="bottom"/>
            <w:gridSpan w:val="2"/>
          </w:tcPr>
          <w:p>
            <w:pPr>
              <w:jc w:val="right"/>
              <w:spacing w:after="0"/>
              <w:rPr>
                <w:sz w:val="20"/>
                <w:szCs w:val="20"/>
                <w:color w:val="auto"/>
              </w:rPr>
            </w:pPr>
            <w:r>
              <w:rPr>
                <w:rFonts w:ascii="Arial" w:cs="Arial" w:eastAsia="Arial" w:hAnsi="Arial"/>
                <w:sz w:val="18"/>
                <w:szCs w:val="18"/>
                <w:color w:val="auto"/>
              </w:rPr>
              <w:t>-29%</w:t>
            </w:r>
          </w:p>
        </w:tc>
      </w:tr>
      <w:tr>
        <w:trPr>
          <w:trHeight w:val="226"/>
        </w:trPr>
        <w:tc>
          <w:tcPr>
            <w:tcW w:w="120" w:type="dxa"/>
            <w:vAlign w:val="bottom"/>
          </w:tcPr>
          <w:p>
            <w:pPr>
              <w:spacing w:after="0"/>
              <w:rPr>
                <w:sz w:val="19"/>
                <w:szCs w:val="19"/>
                <w:color w:val="auto"/>
              </w:rPr>
            </w:pPr>
          </w:p>
        </w:tc>
        <w:tc>
          <w:tcPr>
            <w:tcW w:w="76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(37)</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19"/>
                <w:szCs w:val="19"/>
                <w:color w:val="auto"/>
              </w:rPr>
            </w:pPr>
          </w:p>
        </w:tc>
        <w:tc>
          <w:tcPr>
            <w:tcW w:w="940" w:type="dxa"/>
            <w:vAlign w:val="bottom"/>
            <w:gridSpan w:val="2"/>
          </w:tcPr>
          <w:p>
            <w:pPr>
              <w:jc w:val="right"/>
              <w:ind w:right="420"/>
              <w:spacing w:after="0"/>
              <w:rPr>
                <w:sz w:val="20"/>
                <w:szCs w:val="20"/>
                <w:color w:val="auto"/>
              </w:rPr>
            </w:pPr>
            <w:r>
              <w:rPr>
                <w:rFonts w:ascii="Arial" w:cs="Arial" w:eastAsia="Arial" w:hAnsi="Arial"/>
                <w:sz w:val="18"/>
                <w:szCs w:val="18"/>
                <w:color w:val="auto"/>
              </w:rPr>
              <w:t>(2)</w:t>
            </w:r>
          </w:p>
        </w:tc>
        <w:tc>
          <w:tcPr>
            <w:tcW w:w="140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n/m</w:t>
            </w:r>
          </w:p>
        </w:tc>
        <w:tc>
          <w:tcPr>
            <w:tcW w:w="1360" w:type="dxa"/>
            <w:vAlign w:val="bottom"/>
            <w:gridSpan w:val="2"/>
          </w:tcPr>
          <w:p>
            <w:pPr>
              <w:jc w:val="right"/>
              <w:ind w:right="160"/>
              <w:spacing w:after="0"/>
              <w:rPr>
                <w:sz w:val="20"/>
                <w:szCs w:val="20"/>
                <w:color w:val="auto"/>
              </w:rPr>
            </w:pPr>
            <w:r>
              <w:rPr>
                <w:rFonts w:ascii="Arial" w:cs="Arial" w:eastAsia="Arial" w:hAnsi="Arial"/>
                <w:sz w:val="18"/>
                <w:szCs w:val="18"/>
                <w:color w:val="auto"/>
              </w:rPr>
              <w:t>n/m</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-3308985</wp:posOffset>
            </wp:positionH>
            <wp:positionV relativeFrom="paragraph">
              <wp:posOffset>-4923155</wp:posOffset>
            </wp:positionV>
            <wp:extent cx="7174865"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74865" cy="38735"/>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-4408805</wp:posOffset>
            </wp:positionV>
            <wp:extent cx="6995160" cy="13716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-4134485</wp:posOffset>
            </wp:positionV>
            <wp:extent cx="6995160" cy="13716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-3860165</wp:posOffset>
            </wp:positionV>
            <wp:extent cx="6995160" cy="13716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-3585845</wp:posOffset>
            </wp:positionV>
            <wp:extent cx="6995160" cy="13716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-3260090</wp:posOffset>
            </wp:positionV>
            <wp:extent cx="6995160" cy="13716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-2985770</wp:posOffset>
            </wp:positionV>
            <wp:extent cx="6995160" cy="13716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-2711450</wp:posOffset>
            </wp:positionV>
            <wp:extent cx="6995160" cy="13716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-2437130</wp:posOffset>
            </wp:positionV>
            <wp:extent cx="6995160" cy="13716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-2111375</wp:posOffset>
            </wp:positionV>
            <wp:extent cx="6995160" cy="13716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-1837055</wp:posOffset>
            </wp:positionV>
            <wp:extent cx="6995160" cy="13716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-1562735</wp:posOffset>
            </wp:positionV>
            <wp:extent cx="6995160" cy="13716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-1288415</wp:posOffset>
            </wp:positionV>
            <wp:extent cx="6995160" cy="13716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-962660</wp:posOffset>
            </wp:positionV>
            <wp:extent cx="6995160" cy="13716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-688340</wp:posOffset>
            </wp:positionV>
            <wp:extent cx="6995160" cy="13716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-414020</wp:posOffset>
            </wp:positionV>
            <wp:extent cx="6995160" cy="13716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drawing>
          <wp:anchor simplePos="0" relativeHeight="251657728" behindDoc="1" locked="0" layoutInCell="0" allowOverlap="1">
            <wp:simplePos x="0" y="0"/>
            <wp:positionH relativeFrom="column">
              <wp:posOffset>-3227705</wp:posOffset>
            </wp:positionH>
            <wp:positionV relativeFrom="paragraph">
              <wp:posOffset>-139700</wp:posOffset>
            </wp:positionV>
            <wp:extent cx="6995160" cy="1454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6995160" cy="145415"/>
                    </a:xfrm>
                    <a:prstGeom prst="rect">
                      <a:avLst/>
                    </a:prstGeom>
                    <a:noFill/>
                  </pic:spPr>
                </pic:pic>
              </a:graphicData>
            </a:graphic>
          </wp:anchor>
        </w:drawing>
      </w:r>
    </w:p>
    <w:p>
      <w:pPr>
        <w:spacing w:after="0" w:line="17" w:lineRule="exact"/>
        <w:rPr>
          <w:sz w:val="20"/>
          <w:szCs w:val="20"/>
          <w:color w:val="auto"/>
        </w:rPr>
      </w:pPr>
    </w:p>
    <w:p>
      <w:pPr>
        <w:sectPr>
          <w:pgSz w:w="11900" w:h="16838" w:orient="portrait"/>
          <w:cols w:equalWidth="0" w:num="2">
            <w:col w:w="4360" w:space="720"/>
            <w:col w:w="5940"/>
          </w:cols>
          <w:pgMar w:left="440" w:top="279" w:right="439" w:bottom="1440" w:gutter="0" w:footer="0" w:header="0"/>
        </w:sectPr>
      </w:pPr>
    </w:p>
    <w:tbl>
      <w:tblPr>
        <w:tblLayout w:type="fixed"/>
        <w:tblInd w:w="0" w:type="dxa"/>
        <w:tblCellMar>
          <w:top w:w="0" w:type="dxa"/>
          <w:left w:w="0" w:type="dxa"/>
          <w:bottom w:w="0" w:type="dxa"/>
          <w:right w:w="0" w:type="dxa"/>
        </w:tblCellMar>
      </w:tblPr>
      <w:tr>
        <w:trPr>
          <w:trHeight w:val="221"/>
        </w:trPr>
        <w:tc>
          <w:tcPr>
            <w:tcW w:w="3620" w:type="dxa"/>
            <w:vAlign w:val="bottom"/>
          </w:tcPr>
          <w:p>
            <w:pPr>
              <w:spacing w:after="0"/>
              <w:rPr>
                <w:sz w:val="19"/>
                <w:szCs w:val="19"/>
                <w:color w:val="auto"/>
              </w:rPr>
            </w:pPr>
          </w:p>
        </w:tc>
        <w:tc>
          <w:tcPr>
            <w:tcW w:w="2340" w:type="dxa"/>
            <w:vAlign w:val="bottom"/>
            <w:gridSpan w:val="3"/>
          </w:tcPr>
          <w:p>
            <w:pPr>
              <w:jc w:val="right"/>
              <w:ind w:right="300"/>
              <w:spacing w:after="0"/>
              <w:rPr>
                <w:sz w:val="20"/>
                <w:szCs w:val="20"/>
                <w:color w:val="auto"/>
              </w:rPr>
            </w:pPr>
            <w:r>
              <w:rPr>
                <w:rFonts w:ascii="Arial" w:cs="Arial" w:eastAsia="Arial" w:hAnsi="Arial"/>
                <w:sz w:val="18"/>
                <w:szCs w:val="18"/>
                <w:b w:val="1"/>
                <w:bCs w:val="1"/>
                <w:color w:val="auto"/>
              </w:rPr>
              <w:t>$1,928</w:t>
            </w:r>
          </w:p>
        </w:tc>
        <w:tc>
          <w:tcPr>
            <w:tcW w:w="1200" w:type="dxa"/>
            <w:vAlign w:val="bottom"/>
            <w:gridSpan w:val="3"/>
          </w:tcPr>
          <w:p>
            <w:pPr>
              <w:jc w:val="right"/>
              <w:ind w:right="480"/>
              <w:spacing w:after="0"/>
              <w:rPr>
                <w:sz w:val="20"/>
                <w:szCs w:val="20"/>
                <w:color w:val="auto"/>
              </w:rPr>
            </w:pPr>
            <w:r>
              <w:rPr>
                <w:rFonts w:ascii="Arial" w:cs="Arial" w:eastAsia="Arial" w:hAnsi="Arial"/>
                <w:sz w:val="18"/>
                <w:szCs w:val="18"/>
                <w:color w:val="auto"/>
              </w:rPr>
              <w:t>$2,466</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color w:val="auto"/>
                <w:w w:val="98"/>
              </w:rPr>
              <w:t>$2,154</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46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(155)</w:t>
            </w:r>
          </w:p>
        </w:tc>
        <w:tc>
          <w:tcPr>
            <w:tcW w:w="1200" w:type="dxa"/>
            <w:vAlign w:val="bottom"/>
            <w:gridSpan w:val="3"/>
            <w:shd w:val="clear" w:color="auto" w:fill="CCEEFF"/>
          </w:tcPr>
          <w:p>
            <w:pPr>
              <w:jc w:val="right"/>
              <w:ind w:right="420"/>
              <w:spacing w:after="0"/>
              <w:rPr>
                <w:sz w:val="20"/>
                <w:szCs w:val="20"/>
                <w:color w:val="auto"/>
              </w:rPr>
            </w:pPr>
            <w:r>
              <w:rPr>
                <w:rFonts w:ascii="Arial" w:cs="Arial" w:eastAsia="Arial" w:hAnsi="Arial"/>
                <w:sz w:val="18"/>
                <w:szCs w:val="18"/>
                <w:color w:val="auto"/>
              </w:rPr>
              <w:t>(135)</w:t>
            </w:r>
          </w:p>
        </w:tc>
        <w:tc>
          <w:tcPr>
            <w:tcW w:w="1040" w:type="dxa"/>
            <w:vAlign w:val="bottom"/>
            <w:gridSpan w:val="2"/>
            <w:shd w:val="clear" w:color="auto" w:fill="CCEEFF"/>
          </w:tcPr>
          <w:p>
            <w:pPr>
              <w:jc w:val="right"/>
              <w:ind w:right="420"/>
              <w:spacing w:after="0"/>
              <w:rPr>
                <w:sz w:val="20"/>
                <w:szCs w:val="20"/>
                <w:color w:val="auto"/>
              </w:rPr>
            </w:pPr>
            <w:r>
              <w:rPr>
                <w:rFonts w:ascii="Arial" w:cs="Arial" w:eastAsia="Arial" w:hAnsi="Arial"/>
                <w:sz w:val="18"/>
                <w:szCs w:val="18"/>
                <w:color w:val="auto"/>
              </w:rPr>
              <w:t>(134)</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n/m</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620" w:type="dxa"/>
            <w:vAlign w:val="bottom"/>
          </w:tcPr>
          <w:p>
            <w:pPr>
              <w:spacing w:after="0"/>
              <w:rPr>
                <w:sz w:val="19"/>
                <w:szCs w:val="19"/>
                <w:color w:val="auto"/>
              </w:rPr>
            </w:pPr>
          </w:p>
        </w:tc>
        <w:tc>
          <w:tcPr>
            <w:tcW w:w="146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1,773</w:t>
            </w:r>
          </w:p>
        </w:tc>
        <w:tc>
          <w:tcPr>
            <w:tcW w:w="300" w:type="dxa"/>
            <w:vAlign w:val="bottom"/>
          </w:tcPr>
          <w:p>
            <w:pPr>
              <w:spacing w:after="0"/>
              <w:rPr>
                <w:sz w:val="19"/>
                <w:szCs w:val="19"/>
                <w:color w:val="auto"/>
              </w:rPr>
            </w:pPr>
          </w:p>
        </w:tc>
        <w:tc>
          <w:tcPr>
            <w:tcW w:w="1200" w:type="dxa"/>
            <w:vAlign w:val="bottom"/>
            <w:gridSpan w:val="3"/>
          </w:tcPr>
          <w:p>
            <w:pPr>
              <w:jc w:val="right"/>
              <w:ind w:right="4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2,331</w:t>
            </w:r>
          </w:p>
        </w:tc>
        <w:tc>
          <w:tcPr>
            <w:tcW w:w="1040" w:type="dxa"/>
            <w:vAlign w:val="bottom"/>
            <w:gridSpan w:val="2"/>
          </w:tcPr>
          <w:p>
            <w:pPr>
              <w:jc w:val="right"/>
              <w:ind w:right="48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2,020</w:t>
            </w:r>
          </w:p>
        </w:tc>
        <w:tc>
          <w:tcPr>
            <w:tcW w:w="1400" w:type="dxa"/>
            <w:vAlign w:val="bottom"/>
            <w:gridSpan w:val="2"/>
          </w:tcPr>
          <w:p>
            <w:pPr>
              <w:jc w:val="right"/>
              <w:ind w:right="300"/>
              <w:spacing w:after="0"/>
              <w:rPr>
                <w:sz w:val="20"/>
                <w:szCs w:val="20"/>
                <w:color w:val="auto"/>
              </w:rPr>
            </w:pPr>
            <w:r>
              <w:rPr>
                <w:rFonts w:ascii="Arial" w:cs="Arial" w:eastAsia="Arial" w:hAnsi="Arial"/>
                <w:sz w:val="18"/>
                <w:szCs w:val="18"/>
                <w:b w:val="1"/>
                <w:bCs w:val="1"/>
                <w:color w:val="auto"/>
              </w:rPr>
              <w:t>-24%</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62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Adjusted EBITDA margin</w:t>
            </w:r>
          </w:p>
        </w:tc>
        <w:tc>
          <w:tcPr>
            <w:tcW w:w="1460" w:type="dxa"/>
            <w:vAlign w:val="bottom"/>
            <w:shd w:val="clear" w:color="auto" w:fill="CCEEFF"/>
          </w:tcPr>
          <w:p>
            <w:pPr>
              <w:spacing w:after="0"/>
              <w:rPr>
                <w:sz w:val="18"/>
                <w:szCs w:val="18"/>
                <w:color w:val="auto"/>
              </w:rPr>
            </w:pPr>
          </w:p>
        </w:tc>
        <w:tc>
          <w:tcPr>
            <w:tcW w:w="5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56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94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Digital</w:t>
            </w:r>
          </w:p>
        </w:tc>
        <w:tc>
          <w:tcPr>
            <w:tcW w:w="2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26.1%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42.0%</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30.8%</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-1,588 bps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-473 bps</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2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23.1%</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26.1%</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22.7%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-297 bps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 bps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Well Construction</w:t>
            </w:r>
          </w:p>
        </w:tc>
        <w:tc>
          <w:tcPr>
            <w:tcW w:w="2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20.9%</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24.4%</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25.3%</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-351 bps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-440 bps</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2340" w:type="dxa"/>
            <w:vAlign w:val="bottom"/>
            <w:gridSpan w:val="3"/>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18.5%</w:t>
            </w:r>
          </w:p>
        </w:tc>
        <w:tc>
          <w:tcPr>
            <w:tcW w:w="1200" w:type="dxa"/>
            <w:vAlign w:val="bottom"/>
            <w:gridSpan w:val="3"/>
            <w:shd w:val="clear" w:color="auto" w:fill="CCEEFF"/>
          </w:tcPr>
          <w:p>
            <w:pPr>
              <w:jc w:val="right"/>
              <w:ind w:right="320"/>
              <w:spacing w:after="0"/>
              <w:rPr>
                <w:sz w:val="20"/>
                <w:szCs w:val="20"/>
                <w:color w:val="auto"/>
              </w:rPr>
            </w:pPr>
            <w:r>
              <w:rPr>
                <w:rFonts w:ascii="Arial" w:cs="Arial" w:eastAsia="Arial" w:hAnsi="Arial"/>
                <w:sz w:val="18"/>
                <w:szCs w:val="18"/>
                <w:color w:val="auto"/>
              </w:rPr>
              <w:t>20.0%</w:t>
            </w:r>
          </w:p>
        </w:tc>
        <w:tc>
          <w:tcPr>
            <w:tcW w:w="104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19.7%</w:t>
            </w:r>
          </w:p>
        </w:tc>
        <w:tc>
          <w:tcPr>
            <w:tcW w:w="14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b w:val="1"/>
                <w:bCs w:val="1"/>
                <w:color w:val="auto"/>
              </w:rPr>
              <w:t>-150 bps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 bps</w:t>
            </w:r>
          </w:p>
        </w:tc>
      </w:tr>
      <w:tr>
        <w:trPr>
          <w:trHeight w:val="216"/>
        </w:trPr>
        <w:tc>
          <w:tcPr>
            <w:tcW w:w="3620" w:type="dxa"/>
            <w:vAlign w:val="bottom"/>
          </w:tcPr>
          <w:p>
            <w:pPr>
              <w:spacing w:after="0"/>
              <w:rPr>
                <w:sz w:val="20"/>
                <w:szCs w:val="20"/>
                <w:color w:val="auto"/>
              </w:rPr>
            </w:pPr>
            <w:r>
              <w:rPr>
                <w:rFonts w:ascii="Arial" w:cs="Arial" w:eastAsia="Arial" w:hAnsi="Arial"/>
                <w:sz w:val="18"/>
                <w:szCs w:val="18"/>
                <w:color w:val="auto"/>
              </w:rPr>
              <w:t>All Other</w:t>
            </w:r>
          </w:p>
        </w:tc>
        <w:tc>
          <w:tcPr>
            <w:tcW w:w="2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44.4%</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38.2%</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49.1%</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619 bps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-467 bps</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Eliminations</w:t>
            </w:r>
          </w:p>
        </w:tc>
        <w:tc>
          <w:tcPr>
            <w:tcW w:w="1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4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r>
      <w:tr>
        <w:trPr>
          <w:trHeight w:val="223"/>
        </w:trPr>
        <w:tc>
          <w:tcPr>
            <w:tcW w:w="3620" w:type="dxa"/>
            <w:vAlign w:val="bottom"/>
          </w:tcPr>
          <w:p>
            <w:pPr>
              <w:spacing w:after="0"/>
              <w:rPr>
                <w:sz w:val="19"/>
                <w:szCs w:val="19"/>
                <w:color w:val="auto"/>
              </w:rPr>
            </w:pPr>
          </w:p>
        </w:tc>
        <w:tc>
          <w:tcPr>
            <w:tcW w:w="2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22.1%</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25.3%</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25.4%</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-319 bps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-326 bps</w:t>
            </w:r>
          </w:p>
        </w:tc>
      </w:tr>
      <w:tr>
        <w:trPr>
          <w:trHeight w:val="216"/>
        </w:trPr>
        <w:tc>
          <w:tcPr>
            <w:tcW w:w="3620" w:type="dxa"/>
            <w:vAlign w:val="bottom"/>
            <w:shd w:val="clear" w:color="auto" w:fill="CCEEFF"/>
          </w:tcPr>
          <w:p>
            <w:pPr>
              <w:spacing w:after="0"/>
              <w:rPr>
                <w:sz w:val="20"/>
                <w:szCs w:val="20"/>
                <w:color w:val="auto"/>
              </w:rPr>
            </w:pPr>
            <w:r>
              <w:rPr>
                <w:rFonts w:ascii="Arial" w:cs="Arial" w:eastAsia="Arial" w:hAnsi="Arial"/>
                <w:sz w:val="18"/>
                <w:szCs w:val="18"/>
                <w:color w:val="auto"/>
              </w:rPr>
              <w:t>Corporate &amp; other</w:t>
            </w:r>
          </w:p>
        </w:tc>
        <w:tc>
          <w:tcPr>
            <w:tcW w:w="1460" w:type="dxa"/>
            <w:vAlign w:val="bottom"/>
            <w:shd w:val="clear" w:color="auto" w:fill="CCEEFF"/>
          </w:tcPr>
          <w:p>
            <w:pPr>
              <w:spacing w:after="0"/>
              <w:rPr>
                <w:sz w:val="18"/>
                <w:szCs w:val="18"/>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480" w:type="dxa"/>
            <w:vAlign w:val="bottom"/>
            <w:shd w:val="clear" w:color="auto" w:fill="CCEEFF"/>
          </w:tcPr>
          <w:p>
            <w:pPr>
              <w:spacing w:after="0"/>
              <w:rPr>
                <w:sz w:val="18"/>
                <w:szCs w:val="18"/>
                <w:color w:val="auto"/>
              </w:rPr>
            </w:pP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n/m</w:t>
            </w:r>
          </w:p>
        </w:tc>
        <w:tc>
          <w:tcPr>
            <w:tcW w:w="46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n/m</w:t>
            </w:r>
          </w:p>
        </w:tc>
        <w:tc>
          <w:tcPr>
            <w:tcW w:w="220" w:type="dxa"/>
            <w:vAlign w:val="bottom"/>
            <w:shd w:val="clear" w:color="auto" w:fill="CCEEFF"/>
          </w:tcPr>
          <w:p>
            <w:pPr>
              <w:spacing w:after="0"/>
              <w:rPr>
                <w:sz w:val="18"/>
                <w:szCs w:val="18"/>
                <w:color w:val="auto"/>
              </w:rPr>
            </w:pPr>
          </w:p>
        </w:tc>
      </w:tr>
      <w:tr>
        <w:trPr>
          <w:trHeight w:val="223"/>
        </w:trPr>
        <w:tc>
          <w:tcPr>
            <w:tcW w:w="3620" w:type="dxa"/>
            <w:vAlign w:val="bottom"/>
          </w:tcPr>
          <w:p>
            <w:pPr>
              <w:spacing w:after="0"/>
              <w:rPr>
                <w:sz w:val="19"/>
                <w:szCs w:val="19"/>
                <w:color w:val="auto"/>
              </w:rPr>
            </w:pPr>
          </w:p>
        </w:tc>
        <w:tc>
          <w:tcPr>
            <w:tcW w:w="2340" w:type="dxa"/>
            <w:vAlign w:val="bottom"/>
            <w:gridSpan w:val="3"/>
          </w:tcPr>
          <w:p>
            <w:pPr>
              <w:jc w:val="right"/>
              <w:ind w:right="140"/>
              <w:spacing w:after="0"/>
              <w:rPr>
                <w:sz w:val="20"/>
                <w:szCs w:val="20"/>
                <w:color w:val="auto"/>
              </w:rPr>
            </w:pPr>
            <w:r>
              <w:rPr>
                <w:rFonts w:ascii="Arial" w:cs="Arial" w:eastAsia="Arial" w:hAnsi="Arial"/>
                <w:sz w:val="18"/>
                <w:szCs w:val="18"/>
                <w:b w:val="1"/>
                <w:bCs w:val="1"/>
                <w:color w:val="auto"/>
              </w:rPr>
              <w:t>20.3%</w:t>
            </w:r>
          </w:p>
        </w:tc>
        <w:tc>
          <w:tcPr>
            <w:tcW w:w="1200" w:type="dxa"/>
            <w:vAlign w:val="bottom"/>
            <w:gridSpan w:val="3"/>
          </w:tcPr>
          <w:p>
            <w:pPr>
              <w:jc w:val="right"/>
              <w:ind w:right="320"/>
              <w:spacing w:after="0"/>
              <w:rPr>
                <w:sz w:val="20"/>
                <w:szCs w:val="20"/>
                <w:color w:val="auto"/>
              </w:rPr>
            </w:pPr>
            <w:r>
              <w:rPr>
                <w:rFonts w:ascii="Arial" w:cs="Arial" w:eastAsia="Arial" w:hAnsi="Arial"/>
                <w:sz w:val="18"/>
                <w:szCs w:val="18"/>
                <w:color w:val="auto"/>
              </w:rPr>
              <w:t>23.9%</w:t>
            </w:r>
          </w:p>
        </w:tc>
        <w:tc>
          <w:tcPr>
            <w:tcW w:w="1040" w:type="dxa"/>
            <w:vAlign w:val="bottom"/>
            <w:gridSpan w:val="2"/>
          </w:tcPr>
          <w:p>
            <w:pPr>
              <w:jc w:val="right"/>
              <w:ind w:right="320"/>
              <w:spacing w:after="0"/>
              <w:rPr>
                <w:sz w:val="20"/>
                <w:szCs w:val="20"/>
                <w:color w:val="auto"/>
              </w:rPr>
            </w:pPr>
            <w:r>
              <w:rPr>
                <w:rFonts w:ascii="Arial" w:cs="Arial" w:eastAsia="Arial" w:hAnsi="Arial"/>
                <w:sz w:val="18"/>
                <w:szCs w:val="18"/>
                <w:color w:val="auto"/>
              </w:rPr>
              <w:t>23.8%</w:t>
            </w:r>
          </w:p>
        </w:tc>
        <w:tc>
          <w:tcPr>
            <w:tcW w:w="1400" w:type="dxa"/>
            <w:vAlign w:val="bottom"/>
            <w:gridSpan w:val="2"/>
          </w:tcPr>
          <w:p>
            <w:pPr>
              <w:jc w:val="right"/>
              <w:ind w:right="460"/>
              <w:spacing w:after="0"/>
              <w:rPr>
                <w:sz w:val="20"/>
                <w:szCs w:val="20"/>
                <w:color w:val="auto"/>
              </w:rPr>
            </w:pPr>
            <w:r>
              <w:rPr>
                <w:rFonts w:ascii="Arial" w:cs="Arial" w:eastAsia="Arial" w:hAnsi="Arial"/>
                <w:sz w:val="18"/>
                <w:szCs w:val="18"/>
                <w:b w:val="1"/>
                <w:bCs w:val="1"/>
                <w:color w:val="auto"/>
              </w:rPr>
              <w:t>-358 bps</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-346 bps</w:t>
            </w:r>
          </w:p>
        </w:tc>
      </w:tr>
      <w:tr>
        <w:trPr>
          <w:trHeight w:val="20"/>
        </w:trPr>
        <w:tc>
          <w:tcPr>
            <w:tcW w:w="3620" w:type="dxa"/>
            <w:vAlign w:val="bottom"/>
          </w:tcPr>
          <w:p>
            <w:pPr>
              <w:spacing w:after="0" w:line="20" w:lineRule="exact"/>
              <w:rPr>
                <w:sz w:val="1"/>
                <w:szCs w:val="1"/>
                <w:color w:val="auto"/>
              </w:rPr>
            </w:pPr>
          </w:p>
        </w:tc>
        <w:tc>
          <w:tcPr>
            <w:tcW w:w="14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right="120"/>
        <w:spacing w:after="0" w:line="253" w:lineRule="auto"/>
        <w:rPr>
          <w:sz w:val="20"/>
          <w:szCs w:val="20"/>
          <w:color w:val="auto"/>
        </w:rPr>
      </w:pPr>
      <w:r>
        <w:rPr>
          <w:rFonts w:ascii="Arial" w:cs="Arial" w:eastAsia="Arial" w:hAnsi="Arial"/>
          <w:sz w:val="18"/>
          <w:szCs w:val="18"/>
          <w:color w:val="auto"/>
        </w:rPr>
        <w:t>Digital and Production Systems first-quarter 2026 results reflect activity from ChampionX, which contributed $32 million of Digital revenue and $833 million of Production Systems revenue. Excluding the impact of this acquisition, Digital first-quarter 2026 revenue increased 4% year on year, while Production Systems revenue decreased 6% year on year.</w:t>
      </w:r>
    </w:p>
    <w:p>
      <w:pPr>
        <w:spacing w:after="0" w:line="169" w:lineRule="exact"/>
        <w:rPr>
          <w:sz w:val="20"/>
          <w:szCs w:val="20"/>
          <w:color w:val="auto"/>
        </w:rPr>
      </w:pPr>
    </w:p>
    <w:p>
      <w:pPr>
        <w:spacing w:after="0"/>
        <w:rPr>
          <w:sz w:val="20"/>
          <w:szCs w:val="20"/>
          <w:color w:val="auto"/>
        </w:rPr>
      </w:pPr>
      <w:r>
        <w:rPr>
          <w:rFonts w:ascii="Arial" w:cs="Arial" w:eastAsia="Arial" w:hAnsi="Arial"/>
          <w:sz w:val="18"/>
          <w:szCs w:val="18"/>
          <w:color w:val="auto"/>
        </w:rPr>
        <w:t>n/m = not meaningful</w:t>
      </w:r>
    </w:p>
    <w:p>
      <w:pPr>
        <w:sectPr>
          <w:pgSz w:w="11900" w:h="16838" w:orient="portrait"/>
          <w:cols w:equalWidth="0" w:num="1">
            <w:col w:w="11020"/>
          </w:cols>
          <w:pgMar w:left="440" w:top="279" w:right="439" w:bottom="1440" w:gutter="0" w:footer="0" w:header="0"/>
          <w:type w:val="continuous"/>
        </w:sectPr>
      </w:pPr>
    </w:p>
    <w:bookmarkStart w:id="5" w:name="page6"/>
    <w:bookmarkEnd w:id="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First Quarter Shaped by Geopolitical Developments</w:t>
      </w:r>
    </w:p>
    <w:p>
      <w:pPr>
        <w:spacing w:after="0" w:line="104" w:lineRule="exact"/>
        <w:rPr>
          <w:sz w:val="20"/>
          <w:szCs w:val="20"/>
          <w:color w:val="auto"/>
        </w:rPr>
      </w:pPr>
    </w:p>
    <w:p>
      <w:pPr>
        <w:ind w:right="420"/>
        <w:spacing w:after="0" w:line="271" w:lineRule="auto"/>
        <w:rPr>
          <w:sz w:val="20"/>
          <w:szCs w:val="20"/>
          <w:color w:val="auto"/>
        </w:rPr>
      </w:pPr>
      <w:r>
        <w:rPr>
          <w:rFonts w:ascii="Arial" w:cs="Arial" w:eastAsia="Arial" w:hAnsi="Arial"/>
          <w:sz w:val="18"/>
          <w:szCs w:val="18"/>
          <w:color w:val="auto"/>
        </w:rPr>
        <w:t>“It was a challenging start to the year as widespread disruptions in the Middle East impacted our business,” said SLB Chief Executive Officer Olivier Le Peuch.</w:t>
      </w:r>
    </w:p>
    <w:p>
      <w:pPr>
        <w:spacing w:after="0" w:line="154" w:lineRule="exact"/>
        <w:rPr>
          <w:sz w:val="20"/>
          <w:szCs w:val="20"/>
          <w:color w:val="auto"/>
        </w:rPr>
      </w:pPr>
    </w:p>
    <w:p>
      <w:pPr>
        <w:ind w:right="560"/>
        <w:spacing w:after="0" w:line="271" w:lineRule="auto"/>
        <w:rPr>
          <w:sz w:val="20"/>
          <w:szCs w:val="20"/>
          <w:color w:val="auto"/>
        </w:rPr>
      </w:pPr>
      <w:r>
        <w:rPr>
          <w:rFonts w:ascii="Arial" w:cs="Arial" w:eastAsia="Arial" w:hAnsi="Arial"/>
          <w:sz w:val="18"/>
          <w:szCs w:val="18"/>
          <w:color w:val="auto"/>
        </w:rPr>
        <w:t>“The impact was most pronounced in Well Construction and Reservoir Performance, as SLB demobilized operations in a number of countries in response to customer actions to safeguard personnel and facilities.</w:t>
      </w:r>
    </w:p>
    <w:p>
      <w:pPr>
        <w:spacing w:after="0" w:line="154"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“Beyond the Middle East, revenue increased year on year in all other markets driven mainly by the impact of our strategic moves regarding ChampionX, Digital, and Data Center Solutions,” Le Peuch said.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ChampionX Delivers Accretive Growth on Strong Production and Recovery Activity</w:t>
      </w:r>
    </w:p>
    <w:p>
      <w:pPr>
        <w:spacing w:after="0" w:line="104" w:lineRule="exact"/>
        <w:rPr>
          <w:sz w:val="20"/>
          <w:szCs w:val="20"/>
          <w:color w:val="auto"/>
        </w:rPr>
      </w:pPr>
    </w:p>
    <w:p>
      <w:pPr>
        <w:jc w:val="both"/>
        <w:ind w:right="380"/>
        <w:spacing w:after="0" w:line="253" w:lineRule="auto"/>
        <w:rPr>
          <w:sz w:val="20"/>
          <w:szCs w:val="20"/>
          <w:color w:val="auto"/>
        </w:rPr>
      </w:pPr>
      <w:r>
        <w:rPr>
          <w:rFonts w:ascii="Arial" w:cs="Arial" w:eastAsia="Arial" w:hAnsi="Arial"/>
          <w:sz w:val="18"/>
          <w:szCs w:val="18"/>
          <w:color w:val="auto"/>
        </w:rPr>
        <w:t>“Overall, first-quarter year-on-year revenue increased 3%. This was primarily driven by the addition of ChampionX, which continues to deliver revenue growth and progressive margin expansion. Notably, Production Systems revenue increased 23% year on year, led by production chemicals and artificial lift.</w:t>
      </w:r>
    </w:p>
    <w:p>
      <w:pPr>
        <w:spacing w:after="0" w:line="169" w:lineRule="exact"/>
        <w:rPr>
          <w:sz w:val="20"/>
          <w:szCs w:val="20"/>
          <w:color w:val="auto"/>
        </w:rPr>
      </w:pPr>
    </w:p>
    <w:p>
      <w:pPr>
        <w:ind w:right="380"/>
        <w:spacing w:after="0" w:line="247" w:lineRule="auto"/>
        <w:rPr>
          <w:sz w:val="20"/>
          <w:szCs w:val="20"/>
          <w:color w:val="auto"/>
        </w:rPr>
      </w:pPr>
      <w:r>
        <w:rPr>
          <w:rFonts w:ascii="Arial" w:cs="Arial" w:eastAsia="Arial" w:hAnsi="Arial"/>
          <w:sz w:val="18"/>
          <w:szCs w:val="18"/>
          <w:color w:val="auto"/>
        </w:rPr>
        <w:t>“Production and recovery represent the most immediate path to incremental barrels, and as customers continue to prioritize energy security and national resource development, investment in this space is set to grow. The addition of ChampionX has strengthened our position in this market, particularly in North America, where we will support the next chapter in U.S. unconventional through the use of tailored reservoir chemistry to enhance recovery,” Le Peuch said.</w:t>
      </w:r>
    </w:p>
    <w:p>
      <w:pPr>
        <w:spacing w:after="0" w:line="28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Digital and Data Center Solutions Enhance Growth Mix</w:t>
      </w:r>
    </w:p>
    <w:p>
      <w:pPr>
        <w:spacing w:after="0" w:line="104" w:lineRule="exact"/>
        <w:rPr>
          <w:sz w:val="20"/>
          <w:szCs w:val="20"/>
          <w:color w:val="auto"/>
        </w:rPr>
      </w:pPr>
    </w:p>
    <w:p>
      <w:pPr>
        <w:spacing w:after="0" w:line="244" w:lineRule="auto"/>
        <w:rPr>
          <w:sz w:val="20"/>
          <w:szCs w:val="20"/>
          <w:color w:val="auto"/>
        </w:rPr>
      </w:pPr>
      <w:r>
        <w:rPr>
          <w:rFonts w:ascii="Arial" w:cs="Arial" w:eastAsia="Arial" w:hAnsi="Arial"/>
          <w:sz w:val="18"/>
          <w:szCs w:val="18"/>
          <w:color w:val="auto"/>
        </w:rPr>
        <w:t>“Digital revenue increased 9% year on year, supported by continued momentum in Digital Operations. Digital annualized recurring revenue (ARR) once again exceeded $1 billion at the end of the first quarter and represented a 15% increase year on year. Our customers are seeing the impact of AI and digital in terms of performance and efficiency, and this will result in further adoption of these solutions. Meanwhile, Data Center Solutions experienced a remarkable 45% uplift, highlighting the effectiveness of SLB’s modular and scalable off-site manufacturing capabilities.</w:t>
      </w:r>
    </w:p>
    <w:p>
      <w:pPr>
        <w:spacing w:after="0" w:line="176" w:lineRule="exact"/>
        <w:rPr>
          <w:sz w:val="20"/>
          <w:szCs w:val="20"/>
          <w:color w:val="auto"/>
        </w:rPr>
      </w:pPr>
    </w:p>
    <w:p>
      <w:pPr>
        <w:ind w:right="260"/>
        <w:spacing w:after="0" w:line="244" w:lineRule="auto"/>
        <w:rPr>
          <w:sz w:val="20"/>
          <w:szCs w:val="20"/>
          <w:color w:val="auto"/>
        </w:rPr>
      </w:pPr>
      <w:r>
        <w:rPr>
          <w:rFonts w:ascii="Arial" w:cs="Arial" w:eastAsia="Arial" w:hAnsi="Arial"/>
          <w:sz w:val="18"/>
          <w:szCs w:val="18"/>
          <w:color w:val="auto"/>
        </w:rPr>
        <w:t>“There is a growing opportunity for SLB at the intersection of Digital and Data Center Solutions as we build on our existing relationships with hyperscalers and digital partners. Our progress was underscored by the recently announced expansion of our technology collaboration with NVIDIA to design and deploy critical AI infrastructure as well as develop an ‘AI Factory for Energy’ — a reference environment powered by domain-specific generative AI models and industrial-scale agentic AI — for large-scale deployments in the energy industry,” Le Peuch said.</w:t>
      </w:r>
    </w:p>
    <w:p>
      <w:pPr>
        <w:sectPr>
          <w:pgSz w:w="11900" w:h="16838" w:orient="portrait"/>
          <w:cols w:equalWidth="0" w:num="1">
            <w:col w:w="11000"/>
          </w:cols>
          <w:pgMar w:left="440" w:top="269" w:right="459" w:bottom="1440" w:gutter="0" w:footer="0" w:header="0"/>
        </w:sectPr>
      </w:pPr>
    </w:p>
    <w:bookmarkStart w:id="6" w:name="page7"/>
    <w:bookmarkEnd w:id="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Evolving Market Dynamics</w:t>
      </w:r>
    </w:p>
    <w:p>
      <w:pPr>
        <w:spacing w:after="0" w:line="104"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“We entered 2026 anticipating that global liquid supply and demand would gradually rebalance throughout the year and into 2027. However, the conflict in the Middle East has accelerated this rebalancing while exposing critical vulnerabilities in the global energy supply chain.</w:t>
      </w:r>
    </w:p>
    <w:p>
      <w:pPr>
        <w:spacing w:after="0" w:line="169" w:lineRule="exact"/>
        <w:rPr>
          <w:sz w:val="20"/>
          <w:szCs w:val="20"/>
          <w:color w:val="auto"/>
        </w:rPr>
      </w:pPr>
    </w:p>
    <w:p>
      <w:pPr>
        <w:ind w:right="200"/>
        <w:spacing w:after="0" w:line="271" w:lineRule="auto"/>
        <w:rPr>
          <w:sz w:val="20"/>
          <w:szCs w:val="20"/>
          <w:color w:val="auto"/>
        </w:rPr>
      </w:pPr>
      <w:r>
        <w:rPr>
          <w:rFonts w:ascii="Arial" w:cs="Arial" w:eastAsia="Arial" w:hAnsi="Arial"/>
          <w:sz w:val="18"/>
          <w:szCs w:val="18"/>
          <w:color w:val="auto"/>
        </w:rPr>
        <w:t>“We expect postconflict liquid commodity prices to remain above preconflict levels. This reflects the near-term supply disruptions caused by infrastructure impairments, production impacts, and geopolitical risk premium.</w:t>
      </w:r>
    </w:p>
    <w:p>
      <w:pPr>
        <w:spacing w:after="0" w:line="154" w:lineRule="exact"/>
        <w:rPr>
          <w:sz w:val="20"/>
          <w:szCs w:val="20"/>
          <w:color w:val="auto"/>
        </w:rPr>
      </w:pPr>
    </w:p>
    <w:p>
      <w:pPr>
        <w:jc w:val="both"/>
        <w:ind w:right="260"/>
        <w:spacing w:after="0" w:line="247" w:lineRule="auto"/>
        <w:rPr>
          <w:sz w:val="20"/>
          <w:szCs w:val="20"/>
          <w:color w:val="auto"/>
        </w:rPr>
      </w:pPr>
      <w:r>
        <w:rPr>
          <w:rFonts w:ascii="Arial" w:cs="Arial" w:eastAsia="Arial" w:hAnsi="Arial"/>
          <w:sz w:val="18"/>
          <w:szCs w:val="18"/>
          <w:color w:val="auto"/>
        </w:rPr>
        <w:t>“In response, many countries are likely to prioritize supply diversification, invest in exploration and domestic resource development, and replenish strategic reserves once the conflict subsides. Alongside our work supporting customers as they restore production capacity in the Middle East, we anticipate these trends to drive increased investment in short-cycle projects in North America and Latin America as well as long-cycle developments, particularly in deepwater offshore markets.</w:t>
      </w:r>
    </w:p>
    <w:p>
      <w:pPr>
        <w:spacing w:after="0" w:line="174" w:lineRule="exact"/>
        <w:rPr>
          <w:sz w:val="20"/>
          <w:szCs w:val="20"/>
          <w:color w:val="auto"/>
        </w:rPr>
      </w:pPr>
    </w:p>
    <w:p>
      <w:pPr>
        <w:ind w:right="180"/>
        <w:spacing w:after="0" w:line="271" w:lineRule="auto"/>
        <w:rPr>
          <w:sz w:val="20"/>
          <w:szCs w:val="20"/>
          <w:color w:val="auto"/>
        </w:rPr>
      </w:pPr>
      <w:r>
        <w:rPr>
          <w:rFonts w:ascii="Arial" w:cs="Arial" w:eastAsia="Arial" w:hAnsi="Arial"/>
          <w:sz w:val="18"/>
          <w:szCs w:val="18"/>
          <w:color w:val="auto"/>
        </w:rPr>
        <w:t>“Absent a prolonged conflict leading to an economic slowdown and demand destruction, these supply responses reinforce our conviction of a broad-based recovery in upstream markets in 2027 and 2028.</w:t>
      </w:r>
    </w:p>
    <w:p>
      <w:pPr>
        <w:spacing w:after="0" w:line="154"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“Although near-term uncertainties remain, we are committed to returning more than $4 billion to shareholders in 2026,” Le Peuch concluded.</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Events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During the quarter, SLB repurchased 9.2 million shares of its common stock for a total purchase price of $451 million.</w:t>
      </w:r>
    </w:p>
    <w:p>
      <w:pPr>
        <w:spacing w:after="0" w:line="212" w:lineRule="exact"/>
        <w:rPr>
          <w:sz w:val="20"/>
          <w:szCs w:val="20"/>
          <w:color w:val="auto"/>
        </w:rPr>
      </w:pPr>
    </w:p>
    <w:p>
      <w:pPr>
        <w:ind w:right="80"/>
        <w:spacing w:after="0" w:line="223" w:lineRule="auto"/>
        <w:rPr>
          <w:sz w:val="20"/>
          <w:szCs w:val="20"/>
          <w:color w:val="auto"/>
        </w:rPr>
      </w:pPr>
      <w:r>
        <w:rPr>
          <w:rFonts w:ascii="Arial" w:cs="Arial" w:eastAsia="Arial" w:hAnsi="Arial"/>
          <w:sz w:val="18"/>
          <w:szCs w:val="18"/>
          <w:color w:val="auto"/>
        </w:rPr>
        <w:t>On March 12, 2026, SLB OneSubsea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joint venture entered into an agreement to acquire the subsea business of Envirex Group AS. The transaction is expected to accelerate the deployment of new technology solutions, in particular umbilical-less subsea intervention, while expanding the range of innovative services available to customers worldwide at a time when demand for efficient, next-generation subsea solutions continues to grow. The transaction is expected to close in the first half of 2026, subject to regulatory approvals and other customary closing conditions.</w:t>
      </w:r>
    </w:p>
    <w:p>
      <w:pPr>
        <w:spacing w:after="0" w:line="181" w:lineRule="exact"/>
        <w:rPr>
          <w:sz w:val="20"/>
          <w:szCs w:val="20"/>
          <w:color w:val="auto"/>
        </w:rPr>
      </w:pPr>
    </w:p>
    <w:p>
      <w:pPr>
        <w:spacing w:after="0" w:line="239" w:lineRule="auto"/>
        <w:rPr>
          <w:sz w:val="20"/>
          <w:szCs w:val="20"/>
          <w:color w:val="auto"/>
        </w:rPr>
      </w:pPr>
      <w:r>
        <w:rPr>
          <w:rFonts w:ascii="Arial" w:cs="Arial" w:eastAsia="Arial" w:hAnsi="Arial"/>
          <w:sz w:val="18"/>
          <w:szCs w:val="18"/>
          <w:color w:val="auto"/>
        </w:rPr>
        <w:t>On April 23, 2026, SLB entered into a definitive agreement to acquire the geoscience and petroleum engineering software business portfolio of S&amp;P Global Energy, a leading provider of subsurface software widely used by U.S. onshore and unconventional operators. The proposed acquisition represents a targeted expansion of SLB’s digital subsurface and planning portfolio, extending its presence in workflow-centric customer segments that are strategically important to long-term digital growth, while remaining aligned with SLB’s disciplined approach to portfolio development. Following the transaction, SLB intends to progressively integrate S&amp;P Global Energy’s technology stack with its digital platforms, taking a deliberate approach that preserves existing customer workflows while complementing them with agentic AI capabilities. This approach is designed to enhance scalability, performance, and interoperability, while maintaining the practical, workflow-centric solutions that underpin S&amp;P Global Energy’s strong customer adoption. The transaction is anticipated to close in the second half of 2026 or early 2027, subject to regulatory approvals and other customary closing conditions.</w:t>
      </w:r>
    </w:p>
    <w:p>
      <w:pPr>
        <w:sectPr>
          <w:pgSz w:w="11900" w:h="16838" w:orient="portrait"/>
          <w:cols w:equalWidth="0" w:num="1">
            <w:col w:w="11020"/>
          </w:cols>
          <w:pgMar w:left="440" w:top="269" w:right="439" w:bottom="1440" w:gutter="0" w:footer="0" w:header="0"/>
        </w:sectPr>
      </w:pPr>
    </w:p>
    <w:bookmarkStart w:id="7" w:name="page8"/>
    <w:bookmarkEnd w:id="7"/>
    <w:p>
      <w:pPr>
        <w:ind w:left="4" w:right="100"/>
        <w:spacing w:after="0" w:line="191"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parallel, the parties entered an agreement to collaborate on building new AI models in which SLB will use its Lumi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platform and Tela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agentic AI framework to unlock value from S&amp;P Global Energy’s upstream data. The combination of S&amp;P’s upstream data and SLB’s domain expertise will help develop advanced domain foundation models, bringing significant value for the industry.</w:t>
      </w:r>
    </w:p>
    <w:p>
      <w:pPr>
        <w:spacing w:after="0" w:line="183" w:lineRule="exact"/>
        <w:rPr>
          <w:sz w:val="20"/>
          <w:szCs w:val="20"/>
          <w:color w:val="auto"/>
        </w:rPr>
      </w:pPr>
    </w:p>
    <w:p>
      <w:pPr>
        <w:ind w:left="4" w:right="660"/>
        <w:spacing w:after="0" w:line="271" w:lineRule="auto"/>
        <w:rPr>
          <w:sz w:val="20"/>
          <w:szCs w:val="20"/>
          <w:color w:val="auto"/>
        </w:rPr>
      </w:pPr>
      <w:r>
        <w:rPr>
          <w:rFonts w:ascii="Arial" w:cs="Arial" w:eastAsia="Arial" w:hAnsi="Arial"/>
          <w:sz w:val="18"/>
          <w:szCs w:val="18"/>
          <w:color w:val="auto"/>
        </w:rPr>
        <w:t>On April 23, 2026, SLB’s Board of Directors approved a quarterly cash dividend of $0.295 per share of outstanding common stock, payable on July 9, 2026, to stockholders of record on June 3, 2026.</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First-Quarter Revenue by Geographical Area</w:t>
      </w:r>
    </w:p>
    <w:p>
      <w:pPr>
        <w:spacing w:after="0" w:line="104" w:lineRule="exact"/>
        <w:rPr>
          <w:sz w:val="20"/>
          <w:szCs w:val="20"/>
          <w:color w:val="auto"/>
        </w:rPr>
      </w:pPr>
    </w:p>
    <w:p>
      <w:pPr>
        <w:ind w:left="4" w:right="180"/>
        <w:spacing w:after="0" w:line="247" w:lineRule="auto"/>
        <w:rPr>
          <w:sz w:val="20"/>
          <w:szCs w:val="20"/>
          <w:color w:val="auto"/>
        </w:rPr>
      </w:pPr>
      <w:r>
        <w:rPr>
          <w:rFonts w:ascii="Arial" w:cs="Arial" w:eastAsia="Arial" w:hAnsi="Arial"/>
          <w:sz w:val="18"/>
          <w:szCs w:val="18"/>
          <w:color w:val="auto"/>
        </w:rPr>
        <w:t>First-quarter revenue of $8.72 billion increased 3% year on year with growth across North America both on land and offshore, Latin America, Europe &amp; Africa, and Asia, while the Middle East declined due to disruptions related to the conflict. These results reflect activity from the acquired ChampionX businesses, which contributed $838 million of revenue, consisting of $579 million in North America and $231 million in the international markets.</w:t>
      </w:r>
    </w:p>
    <w:p>
      <w:pPr>
        <w:spacing w:after="0" w:line="174" w:lineRule="exact"/>
        <w:rPr>
          <w:sz w:val="20"/>
          <w:szCs w:val="20"/>
          <w:color w:val="auto"/>
        </w:rPr>
      </w:pPr>
    </w:p>
    <w:p>
      <w:pPr>
        <w:ind w:left="4" w:right="320"/>
        <w:spacing w:after="0" w:line="271" w:lineRule="auto"/>
        <w:rPr>
          <w:sz w:val="20"/>
          <w:szCs w:val="20"/>
          <w:color w:val="auto"/>
        </w:rPr>
      </w:pPr>
      <w:r>
        <w:rPr>
          <w:rFonts w:ascii="Arial" w:cs="Arial" w:eastAsia="Arial" w:hAnsi="Arial"/>
          <w:sz w:val="18"/>
          <w:szCs w:val="18"/>
          <w:color w:val="auto"/>
        </w:rPr>
        <w:t>Excluding the impact of this acquisition, first-quarter 2026 revenue decreased 7% year on year. International first-quarter 2026 revenue decreased 7% and North America first-quarter 2026 revenue decreased 8% year on year.</w:t>
      </w:r>
    </w:p>
    <w:p>
      <w:pPr>
        <w:spacing w:after="0" w:line="190"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1900" w:type="dxa"/>
            <w:vAlign w:val="bottom"/>
          </w:tcPr>
          <w:p>
            <w:pPr>
              <w:spacing w:after="0"/>
              <w:rPr>
                <w:sz w:val="14"/>
                <w:szCs w:val="14"/>
                <w:color w:val="auto"/>
              </w:rPr>
            </w:pPr>
          </w:p>
        </w:tc>
        <w:tc>
          <w:tcPr>
            <w:tcW w:w="292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rPr>
              <w:t>Change</w:t>
            </w:r>
          </w:p>
        </w:tc>
      </w:tr>
      <w:tr>
        <w:trPr>
          <w:trHeight w:val="146"/>
        </w:trPr>
        <w:tc>
          <w:tcPr>
            <w:tcW w:w="3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color w:val="auto"/>
              </w:rPr>
              <w:t>Dec. 31,</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35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2025</w:t>
            </w:r>
          </w:p>
        </w:tc>
        <w:tc>
          <w:tcPr>
            <w:tcW w:w="4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1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$2,167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$2,212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$1,719</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26%</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Latin America</w:t>
            </w:r>
          </w:p>
        </w:tc>
        <w:tc>
          <w:tcPr>
            <w:tcW w:w="2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1,528</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1,684</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1,495</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Europe &amp; Africa*</w:t>
            </w:r>
          </w:p>
        </w:tc>
        <w:tc>
          <w:tcPr>
            <w:tcW w:w="2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2,256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2,534</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2,235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Middle East &amp; Asia</w:t>
            </w:r>
          </w:p>
        </w:tc>
        <w:tc>
          <w:tcPr>
            <w:tcW w:w="2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2,687</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3,234</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2,997</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-10%</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44</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n/m</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5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8,721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9,745</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8,490</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3%</w:t>
            </w:r>
          </w:p>
        </w:tc>
      </w:tr>
      <w:tr>
        <w:trPr>
          <w:trHeight w:val="20"/>
        </w:trPr>
        <w:tc>
          <w:tcPr>
            <w:tcW w:w="3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$6,471</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$7,453</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$6,727</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47"/>
        </w:trPr>
        <w:tc>
          <w:tcPr>
            <w:tcW w:w="3500" w:type="dxa"/>
            <w:vAlign w:val="bottom"/>
          </w:tcPr>
          <w:p>
            <w:pPr>
              <w:spacing w:after="0"/>
              <w:rPr>
                <w:sz w:val="20"/>
                <w:szCs w:val="20"/>
                <w:color w:val="auto"/>
              </w:rPr>
            </w:pPr>
            <w:r>
              <w:rPr>
                <w:rFonts w:ascii="Arial" w:cs="Arial" w:eastAsia="Arial" w:hAnsi="Arial"/>
                <w:sz w:val="18"/>
                <w:szCs w:val="18"/>
                <w:color w:val="auto"/>
              </w:rPr>
              <w:t>North America</w:t>
            </w:r>
          </w:p>
        </w:tc>
        <w:tc>
          <w:tcPr>
            <w:tcW w:w="2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$2,167</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$2,212</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$1,719</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26%</w:t>
            </w:r>
          </w:p>
        </w:tc>
      </w:tr>
    </w:tbl>
    <w:p>
      <w:pPr>
        <w:spacing w:after="0" w:line="193" w:lineRule="exact"/>
        <w:rPr>
          <w:sz w:val="20"/>
          <w:szCs w:val="20"/>
          <w:color w:val="auto"/>
        </w:rPr>
      </w:pPr>
    </w:p>
    <w:p>
      <w:pPr>
        <w:ind w:left="4" w:right="7620" w:hanging="4"/>
        <w:spacing w:after="0" w:line="522" w:lineRule="auto"/>
        <w:tabs>
          <w:tab w:leader="none" w:pos="216" w:val="left"/>
        </w:tabs>
        <w:numPr>
          <w:ilvl w:val="0"/>
          <w:numId w:val="6"/>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sectPr>
          <w:pgSz w:w="11900" w:h="16838" w:orient="portrait"/>
          <w:cols w:equalWidth="0" w:num="1">
            <w:col w:w="11024"/>
          </w:cols>
          <w:pgMar w:left="436" w:top="269" w:right="439" w:bottom="1440" w:gutter="0" w:footer="0" w:header="0"/>
        </w:sectPr>
      </w:pPr>
    </w:p>
    <w:bookmarkStart w:id="8" w:name="page9"/>
    <w:bookmarkEnd w:id="8"/>
    <w:p>
      <w:pPr>
        <w:ind w:left="4"/>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The following table and commentary are presented on a pro forma basis assuming that ChampionX was acquired on January 1, 2025.</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500" w:type="dxa"/>
            <w:vAlign w:val="bottom"/>
          </w:tcPr>
          <w:p>
            <w:pPr>
              <w:spacing w:after="0"/>
              <w:rPr>
                <w:sz w:val="14"/>
                <w:szCs w:val="14"/>
                <w:color w:val="auto"/>
              </w:rPr>
            </w:pPr>
          </w:p>
        </w:tc>
        <w:tc>
          <w:tcPr>
            <w:tcW w:w="190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r>
      <w:tr>
        <w:trPr>
          <w:trHeight w:val="171"/>
        </w:trPr>
        <w:tc>
          <w:tcPr>
            <w:tcW w:w="3500" w:type="dxa"/>
            <w:vAlign w:val="bottom"/>
          </w:tcPr>
          <w:p>
            <w:pPr>
              <w:spacing w:after="0"/>
              <w:rPr>
                <w:sz w:val="20"/>
                <w:szCs w:val="20"/>
                <w:color w:val="auto"/>
              </w:rPr>
            </w:pPr>
            <w:r>
              <w:rPr>
                <w:rFonts w:ascii="Arial" w:cs="Arial" w:eastAsia="Arial" w:hAnsi="Arial"/>
                <w:sz w:val="14"/>
                <w:szCs w:val="14"/>
                <w:b w:val="1"/>
                <w:bCs w:val="1"/>
                <w:color w:val="auto"/>
              </w:rPr>
              <w:t>Pro forma</w:t>
            </w:r>
          </w:p>
        </w:tc>
        <w:tc>
          <w:tcPr>
            <w:tcW w:w="1900" w:type="dxa"/>
            <w:vAlign w:val="bottom"/>
          </w:tcPr>
          <w:p>
            <w:pPr>
              <w:spacing w:after="0"/>
              <w:rPr>
                <w:sz w:val="14"/>
                <w:szCs w:val="14"/>
                <w:color w:val="auto"/>
              </w:rPr>
            </w:pPr>
          </w:p>
        </w:tc>
        <w:tc>
          <w:tcPr>
            <w:tcW w:w="2920" w:type="dxa"/>
            <w:vAlign w:val="bottom"/>
            <w:gridSpan w:val="8"/>
          </w:tcPr>
          <w:p>
            <w:pPr>
              <w:jc w:val="center"/>
              <w:ind w:right="38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760" w:type="dxa"/>
            <w:vAlign w:val="bottom"/>
            <w:gridSpan w:val="3"/>
          </w:tcPr>
          <w:p>
            <w:pPr>
              <w:jc w:val="right"/>
              <w:ind w:right="1200"/>
              <w:spacing w:after="0"/>
              <w:rPr>
                <w:sz w:val="20"/>
                <w:szCs w:val="20"/>
                <w:color w:val="auto"/>
              </w:rPr>
            </w:pPr>
            <w:r>
              <w:rPr>
                <w:rFonts w:ascii="Arial" w:cs="Arial" w:eastAsia="Arial" w:hAnsi="Arial"/>
                <w:sz w:val="14"/>
                <w:szCs w:val="14"/>
                <w:b w:val="1"/>
                <w:bCs w:val="1"/>
                <w:color w:val="auto"/>
              </w:rPr>
              <w:t>Change</w:t>
            </w:r>
          </w:p>
        </w:tc>
      </w:tr>
      <w:tr>
        <w:trPr>
          <w:trHeight w:val="146"/>
        </w:trPr>
        <w:tc>
          <w:tcPr>
            <w:tcW w:w="3500" w:type="dxa"/>
            <w:vAlign w:val="bottom"/>
          </w:tcPr>
          <w:p>
            <w:pPr>
              <w:spacing w:after="0"/>
              <w:rPr>
                <w:sz w:val="12"/>
                <w:szCs w:val="12"/>
                <w:color w:val="auto"/>
              </w:rPr>
            </w:pPr>
          </w:p>
        </w:tc>
        <w:tc>
          <w:tcPr>
            <w:tcW w:w="1900" w:type="dxa"/>
            <w:vAlign w:val="bottom"/>
          </w:tcPr>
          <w:p>
            <w:pPr>
              <w:spacing w:after="0"/>
              <w:rPr>
                <w:sz w:val="12"/>
                <w:szCs w:val="12"/>
                <w:color w:val="auto"/>
              </w:rPr>
            </w:pPr>
          </w:p>
        </w:tc>
        <w:tc>
          <w:tcPr>
            <w:tcW w:w="7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200" w:type="dxa"/>
            <w:vAlign w:val="bottom"/>
            <w:tcBorders>
              <w:top w:val="single" w:sz="8" w:color="auto"/>
            </w:tcBorders>
          </w:tcPr>
          <w:p>
            <w:pPr>
              <w:spacing w:after="0"/>
              <w:rPr>
                <w:sz w:val="12"/>
                <w:szCs w:val="12"/>
                <w:color w:val="auto"/>
              </w:rPr>
            </w:pPr>
          </w:p>
        </w:tc>
        <w:tc>
          <w:tcPr>
            <w:tcW w:w="780" w:type="dxa"/>
            <w:vAlign w:val="bottom"/>
            <w:tcBorders>
              <w:top w:val="single" w:sz="8" w:color="auto"/>
            </w:tcBorders>
            <w:gridSpan w:val="2"/>
          </w:tcPr>
          <w:p>
            <w:pPr>
              <w:jc w:val="center"/>
              <w:ind w:right="200"/>
              <w:spacing w:after="0" w:line="147" w:lineRule="exact"/>
              <w:rPr>
                <w:sz w:val="20"/>
                <w:szCs w:val="20"/>
                <w:color w:val="auto"/>
              </w:rPr>
            </w:pPr>
            <w:r>
              <w:rPr>
                <w:rFonts w:ascii="Arial" w:cs="Arial" w:eastAsia="Arial" w:hAnsi="Arial"/>
                <w:sz w:val="14"/>
                <w:szCs w:val="14"/>
                <w:color w:val="auto"/>
              </w:rPr>
              <w:t>Dec. 31,</w:t>
            </w:r>
          </w:p>
        </w:tc>
        <w:tc>
          <w:tcPr>
            <w:tcW w:w="20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right"/>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00" w:type="dxa"/>
            <w:vAlign w:val="bottom"/>
            <w:tcBorders>
              <w:top w:val="single" w:sz="8" w:color="auto"/>
            </w:tcBorders>
          </w:tcPr>
          <w:p>
            <w:pPr>
              <w:spacing w:after="0"/>
              <w:rPr>
                <w:sz w:val="12"/>
                <w:szCs w:val="12"/>
                <w:color w:val="auto"/>
              </w:rPr>
            </w:pPr>
          </w:p>
        </w:tc>
        <w:tc>
          <w:tcPr>
            <w:tcW w:w="34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3500" w:type="dxa"/>
            <w:vAlign w:val="bottom"/>
            <w:tcBorders>
              <w:bottom w:val="single" w:sz="8" w:color="CCEEFF"/>
            </w:tcBorders>
          </w:tcPr>
          <w:p>
            <w:pPr>
              <w:spacing w:after="0"/>
              <w:rPr>
                <w:sz w:val="14"/>
                <w:szCs w:val="14"/>
                <w:color w:val="auto"/>
              </w:rPr>
            </w:pPr>
          </w:p>
        </w:tc>
        <w:tc>
          <w:tcPr>
            <w:tcW w:w="1900" w:type="dxa"/>
            <w:vAlign w:val="bottom"/>
            <w:tcBorders>
              <w:bottom w:val="single" w:sz="8" w:color="CCEEFF"/>
            </w:tcBorders>
          </w:tcPr>
          <w:p>
            <w:pPr>
              <w:spacing w:after="0"/>
              <w:rPr>
                <w:sz w:val="14"/>
                <w:szCs w:val="14"/>
                <w:color w:val="auto"/>
              </w:rPr>
            </w:pPr>
          </w:p>
        </w:tc>
        <w:tc>
          <w:tcPr>
            <w:tcW w:w="580" w:type="dxa"/>
            <w:vAlign w:val="bottom"/>
            <w:tcBorders>
              <w:bottom w:val="single" w:sz="8" w:color="auto"/>
            </w:tcBorders>
          </w:tcPr>
          <w:p>
            <w:pPr>
              <w:jc w:val="right"/>
              <w:ind w:right="39"/>
              <w:spacing w:after="0"/>
              <w:rPr>
                <w:sz w:val="20"/>
                <w:szCs w:val="20"/>
                <w:color w:val="auto"/>
              </w:rPr>
            </w:pPr>
            <w:r>
              <w:rPr>
                <w:rFonts w:ascii="Arial" w:cs="Arial" w:eastAsia="Arial" w:hAnsi="Arial"/>
                <w:sz w:val="14"/>
                <w:szCs w:val="14"/>
                <w:b w:val="1"/>
                <w:bCs w:val="1"/>
                <w:color w:val="auto"/>
              </w:rPr>
              <w:t>2026</w:t>
            </w:r>
          </w:p>
        </w:tc>
        <w:tc>
          <w:tcPr>
            <w:tcW w:w="20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CCEEFF"/>
            </w:tcBorders>
          </w:tcPr>
          <w:p>
            <w:pPr>
              <w:spacing w:after="0"/>
              <w:rPr>
                <w:sz w:val="14"/>
                <w:szCs w:val="14"/>
                <w:color w:val="auto"/>
              </w:rPr>
            </w:pPr>
          </w:p>
        </w:tc>
        <w:tc>
          <w:tcPr>
            <w:tcW w:w="200" w:type="dxa"/>
            <w:vAlign w:val="bottom"/>
            <w:tcBorders>
              <w:bottom w:val="single" w:sz="8" w:color="CCEEFF"/>
            </w:tcBorders>
          </w:tcPr>
          <w:p>
            <w:pPr>
              <w:spacing w:after="0"/>
              <w:rPr>
                <w:sz w:val="14"/>
                <w:szCs w:val="14"/>
                <w:color w:val="auto"/>
              </w:rPr>
            </w:pPr>
          </w:p>
        </w:tc>
        <w:tc>
          <w:tcPr>
            <w:tcW w:w="560" w:type="dxa"/>
            <w:vAlign w:val="bottom"/>
            <w:tcBorders>
              <w:bottom w:val="single" w:sz="8" w:color="auto"/>
            </w:tcBorders>
          </w:tcPr>
          <w:p>
            <w:pPr>
              <w:jc w:val="right"/>
              <w:ind w:right="42"/>
              <w:spacing w:after="0"/>
              <w:rPr>
                <w:sz w:val="20"/>
                <w:szCs w:val="20"/>
                <w:color w:val="auto"/>
              </w:rPr>
            </w:pPr>
            <w:r>
              <w:rPr>
                <w:rFonts w:ascii="Arial" w:cs="Arial" w:eastAsia="Arial" w:hAnsi="Arial"/>
                <w:sz w:val="14"/>
                <w:szCs w:val="14"/>
                <w:color w:val="auto"/>
              </w:rPr>
              <w:t>2025</w:t>
            </w:r>
          </w:p>
        </w:tc>
        <w:tc>
          <w:tcPr>
            <w:tcW w:w="400" w:type="dxa"/>
            <w:vAlign w:val="bottom"/>
            <w:tcBorders>
              <w:bottom w:val="single" w:sz="8" w:color="CCEEFF"/>
            </w:tcBorders>
          </w:tcPr>
          <w:p>
            <w:pPr>
              <w:spacing w:after="0"/>
              <w:rPr>
                <w:sz w:val="14"/>
                <w:szCs w:val="14"/>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Sequential</w:t>
            </w:r>
          </w:p>
        </w:tc>
        <w:tc>
          <w:tcPr>
            <w:tcW w:w="200" w:type="dxa"/>
            <w:vAlign w:val="bottom"/>
            <w:tcBorders>
              <w:bottom w:val="single" w:sz="8" w:color="CCEEFF"/>
            </w:tcBorders>
          </w:tcPr>
          <w:p>
            <w:pPr>
              <w:spacing w:after="0"/>
              <w:rPr>
                <w:sz w:val="14"/>
                <w:szCs w:val="14"/>
                <w:color w:val="auto"/>
              </w:rPr>
            </w:pPr>
          </w:p>
        </w:tc>
        <w:tc>
          <w:tcPr>
            <w:tcW w:w="34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right"/>
              <w:ind w:right="99"/>
              <w:spacing w:after="0"/>
              <w:rPr>
                <w:sz w:val="20"/>
                <w:szCs w:val="20"/>
                <w:color w:val="auto"/>
              </w:rPr>
            </w:pPr>
            <w:r>
              <w:rPr>
                <w:rFonts w:ascii="Arial" w:cs="Arial" w:eastAsia="Arial" w:hAnsi="Arial"/>
                <w:sz w:val="14"/>
                <w:szCs w:val="14"/>
                <w:color w:val="auto"/>
              </w:rPr>
              <w:t>Year-on-year</w:t>
            </w:r>
          </w:p>
        </w:tc>
        <w:tc>
          <w:tcPr>
            <w:tcW w:w="220" w:type="dxa"/>
            <w:vAlign w:val="bottom"/>
            <w:tcBorders>
              <w:bottom w:val="single" w:sz="8" w:color="CCEEFF"/>
            </w:tcBorders>
          </w:tcPr>
          <w:p>
            <w:pPr>
              <w:spacing w:after="0"/>
              <w:rPr>
                <w:sz w:val="14"/>
                <w:szCs w:val="14"/>
                <w:color w:val="auto"/>
              </w:rPr>
            </w:pPr>
          </w:p>
        </w:tc>
      </w:tr>
      <w:tr>
        <w:trPr>
          <w:trHeight w:val="196"/>
        </w:trPr>
        <w:tc>
          <w:tcPr>
            <w:tcW w:w="3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North America</w:t>
            </w:r>
          </w:p>
        </w:tc>
        <w:tc>
          <w:tcPr>
            <w:tcW w:w="1900" w:type="dxa"/>
            <w:vAlign w:val="bottom"/>
            <w:shd w:val="clear" w:color="auto" w:fill="CCEEFF"/>
          </w:tcPr>
          <w:p>
            <w:pPr>
              <w:spacing w:after="0"/>
              <w:rPr>
                <w:sz w:val="17"/>
                <w:szCs w:val="17"/>
                <w:color w:val="auto"/>
              </w:rPr>
            </w:pPr>
          </w:p>
        </w:tc>
        <w:tc>
          <w:tcPr>
            <w:tcW w:w="5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$2,167</w:t>
            </w:r>
          </w:p>
        </w:tc>
        <w:tc>
          <w:tcPr>
            <w:tcW w:w="20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center"/>
              <w:spacing w:after="0" w:line="196" w:lineRule="exact"/>
              <w:rPr>
                <w:sz w:val="20"/>
                <w:szCs w:val="20"/>
                <w:color w:val="auto"/>
              </w:rPr>
            </w:pPr>
            <w:r>
              <w:rPr>
                <w:rFonts w:ascii="Arial" w:cs="Arial" w:eastAsia="Arial" w:hAnsi="Arial"/>
                <w:sz w:val="18"/>
                <w:szCs w:val="18"/>
                <w:color w:val="auto"/>
              </w:rPr>
              <w:t>$2,212</w:t>
            </w:r>
          </w:p>
        </w:tc>
        <w:tc>
          <w:tcPr>
            <w:tcW w:w="220" w:type="dxa"/>
            <w:vAlign w:val="bottom"/>
            <w:shd w:val="clear" w:color="auto" w:fill="CCEEFF"/>
          </w:tcPr>
          <w:p>
            <w:pPr>
              <w:spacing w:after="0"/>
              <w:rPr>
                <w:sz w:val="17"/>
                <w:szCs w:val="17"/>
                <w:color w:val="auto"/>
              </w:rPr>
            </w:pPr>
          </w:p>
        </w:tc>
        <w:tc>
          <w:tcPr>
            <w:tcW w:w="200" w:type="dxa"/>
            <w:vAlign w:val="bottom"/>
            <w:shd w:val="clear" w:color="auto" w:fill="CCEEFF"/>
          </w:tcPr>
          <w:p>
            <w:pPr>
              <w:spacing w:after="0"/>
              <w:rPr>
                <w:sz w:val="17"/>
                <w:szCs w:val="17"/>
                <w:color w:val="auto"/>
              </w:rPr>
            </w:pPr>
          </w:p>
        </w:tc>
        <w:tc>
          <w:tcPr>
            <w:tcW w:w="5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98"/>
              </w:rPr>
              <w:t>$2,258</w:t>
            </w:r>
          </w:p>
        </w:tc>
        <w:tc>
          <w:tcPr>
            <w:tcW w:w="400" w:type="dxa"/>
            <w:vAlign w:val="bottom"/>
            <w:shd w:val="clear" w:color="auto" w:fill="CCEEFF"/>
          </w:tcPr>
          <w:p>
            <w:pPr>
              <w:spacing w:after="0"/>
              <w:rPr>
                <w:sz w:val="17"/>
                <w:szCs w:val="17"/>
                <w:color w:val="auto"/>
              </w:rPr>
            </w:pPr>
          </w:p>
        </w:tc>
        <w:tc>
          <w:tcPr>
            <w:tcW w:w="940" w:type="dxa"/>
            <w:vAlign w:val="bottom"/>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b w:val="1"/>
                <w:bCs w:val="1"/>
                <w:color w:val="auto"/>
              </w:rPr>
              <w:t>-2%</w:t>
            </w:r>
          </w:p>
        </w:tc>
        <w:tc>
          <w:tcPr>
            <w:tcW w:w="340" w:type="dxa"/>
            <w:vAlign w:val="bottom"/>
            <w:shd w:val="clear" w:color="auto" w:fill="CCEEFF"/>
          </w:tcPr>
          <w:p>
            <w:pPr>
              <w:spacing w:after="0"/>
              <w:rPr>
                <w:sz w:val="17"/>
                <w:szCs w:val="17"/>
                <w:color w:val="auto"/>
              </w:rPr>
            </w:pPr>
          </w:p>
        </w:tc>
        <w:tc>
          <w:tcPr>
            <w:tcW w:w="1420" w:type="dxa"/>
            <w:vAlign w:val="bottom"/>
            <w:gridSpan w:val="2"/>
            <w:shd w:val="clear" w:color="auto" w:fill="CCEEFF"/>
          </w:tcPr>
          <w:p>
            <w:pPr>
              <w:jc w:val="right"/>
              <w:ind w:right="60"/>
              <w:spacing w:after="0" w:line="196" w:lineRule="exact"/>
              <w:rPr>
                <w:sz w:val="20"/>
                <w:szCs w:val="20"/>
                <w:color w:val="auto"/>
              </w:rPr>
            </w:pPr>
            <w:r>
              <w:rPr>
                <w:rFonts w:ascii="Arial" w:cs="Arial" w:eastAsia="Arial" w:hAnsi="Arial"/>
                <w:sz w:val="18"/>
                <w:szCs w:val="18"/>
                <w:color w:val="auto"/>
              </w:rPr>
              <w:t>-4%</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Latin America</w:t>
            </w:r>
          </w:p>
        </w:tc>
        <w:tc>
          <w:tcPr>
            <w:tcW w:w="2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1,528</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1,684</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1,561</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-9%</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Europe &amp; Africa*</w:t>
            </w:r>
          </w:p>
        </w:tc>
        <w:tc>
          <w:tcPr>
            <w:tcW w:w="2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2,256</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2,534</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2,315</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-11%</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-3%</w:t>
            </w:r>
          </w:p>
        </w:tc>
      </w:tr>
      <w:tr>
        <w:trPr>
          <w:trHeight w:val="216"/>
        </w:trPr>
        <w:tc>
          <w:tcPr>
            <w:tcW w:w="3500" w:type="dxa"/>
            <w:vAlign w:val="bottom"/>
          </w:tcPr>
          <w:p>
            <w:pPr>
              <w:spacing w:after="0"/>
              <w:rPr>
                <w:sz w:val="20"/>
                <w:szCs w:val="20"/>
                <w:color w:val="auto"/>
              </w:rPr>
            </w:pPr>
            <w:r>
              <w:rPr>
                <w:rFonts w:ascii="Arial" w:cs="Arial" w:eastAsia="Arial" w:hAnsi="Arial"/>
                <w:sz w:val="18"/>
                <w:szCs w:val="18"/>
                <w:color w:val="auto"/>
              </w:rPr>
              <w:t>Middle East &amp; Asia</w:t>
            </w:r>
          </w:p>
        </w:tc>
        <w:tc>
          <w:tcPr>
            <w:tcW w:w="2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2,687</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3,234</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3,093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-17%</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-13%</w:t>
            </w:r>
          </w:p>
        </w:tc>
      </w:tr>
      <w:tr>
        <w:trPr>
          <w:trHeight w:val="216"/>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Eliminations &amp; other</w:t>
            </w:r>
          </w:p>
        </w:tc>
        <w:tc>
          <w:tcPr>
            <w:tcW w:w="1900" w:type="dxa"/>
            <w:vAlign w:val="bottom"/>
            <w:shd w:val="clear" w:color="auto" w:fill="CCEEFF"/>
          </w:tcPr>
          <w:p>
            <w:pPr>
              <w:spacing w:after="0"/>
              <w:rPr>
                <w:sz w:val="18"/>
                <w:szCs w:val="18"/>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83</w:t>
            </w:r>
          </w:p>
        </w:tc>
        <w:tc>
          <w:tcPr>
            <w:tcW w:w="2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81</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76</w:t>
            </w:r>
          </w:p>
        </w:tc>
        <w:tc>
          <w:tcPr>
            <w:tcW w:w="94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n/m</w:t>
            </w:r>
          </w:p>
        </w:tc>
        <w:tc>
          <w:tcPr>
            <w:tcW w:w="34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n/m</w:t>
            </w:r>
          </w:p>
        </w:tc>
      </w:tr>
      <w:tr>
        <w:trPr>
          <w:trHeight w:val="20"/>
        </w:trPr>
        <w:tc>
          <w:tcPr>
            <w:tcW w:w="3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3500" w:type="dxa"/>
            <w:vAlign w:val="bottom"/>
          </w:tcPr>
          <w:p>
            <w:pPr>
              <w:spacing w:after="0"/>
              <w:rPr>
                <w:sz w:val="19"/>
                <w:szCs w:val="19"/>
                <w:color w:val="auto"/>
              </w:rPr>
            </w:pPr>
          </w:p>
        </w:tc>
        <w:tc>
          <w:tcPr>
            <w:tcW w:w="1900" w:type="dxa"/>
            <w:vAlign w:val="bottom"/>
          </w:tcPr>
          <w:p>
            <w:pPr>
              <w:spacing w:after="0"/>
              <w:rPr>
                <w:sz w:val="19"/>
                <w:szCs w:val="19"/>
                <w:color w:val="auto"/>
              </w:rPr>
            </w:pPr>
          </w:p>
        </w:tc>
        <w:tc>
          <w:tcPr>
            <w:tcW w:w="58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8,721</w:t>
            </w:r>
          </w:p>
        </w:tc>
        <w:tc>
          <w:tcPr>
            <w:tcW w:w="2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780" w:type="dxa"/>
            <w:vAlign w:val="bottom"/>
            <w:gridSpan w:val="2"/>
          </w:tcPr>
          <w:p>
            <w:pPr>
              <w:jc w:val="right"/>
              <w:ind w:right="2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9,745</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9,303</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-11%</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3500" w:type="dxa"/>
            <w:vAlign w:val="bottom"/>
          </w:tcPr>
          <w:p>
            <w:pPr>
              <w:spacing w:after="0" w:line="20" w:lineRule="exact"/>
              <w:rPr>
                <w:sz w:val="1"/>
                <w:szCs w:val="1"/>
                <w:color w:val="auto"/>
              </w:rPr>
            </w:pPr>
          </w:p>
        </w:tc>
        <w:tc>
          <w:tcPr>
            <w:tcW w:w="190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10"/>
        </w:trPr>
        <w:tc>
          <w:tcPr>
            <w:tcW w:w="3500" w:type="dxa"/>
            <w:vAlign w:val="bottom"/>
            <w:shd w:val="clear" w:color="auto" w:fill="CCEEFF"/>
          </w:tcPr>
          <w:p>
            <w:pPr>
              <w:spacing w:after="0"/>
              <w:rPr>
                <w:sz w:val="20"/>
                <w:szCs w:val="20"/>
                <w:color w:val="auto"/>
              </w:rPr>
            </w:pPr>
            <w:r>
              <w:rPr>
                <w:rFonts w:ascii="Arial" w:cs="Arial" w:eastAsia="Arial" w:hAnsi="Arial"/>
                <w:sz w:val="18"/>
                <w:szCs w:val="18"/>
                <w:color w:val="auto"/>
              </w:rPr>
              <w:t>International</w:t>
            </w:r>
          </w:p>
        </w:tc>
        <w:tc>
          <w:tcPr>
            <w:tcW w:w="2680" w:type="dxa"/>
            <w:vAlign w:val="bottom"/>
            <w:gridSpan w:val="3"/>
            <w:shd w:val="clear" w:color="auto" w:fill="CCEEFF"/>
          </w:tcPr>
          <w:p>
            <w:pPr>
              <w:jc w:val="right"/>
              <w:ind w:right="200"/>
              <w:spacing w:after="0"/>
              <w:rPr>
                <w:sz w:val="20"/>
                <w:szCs w:val="20"/>
                <w:color w:val="auto"/>
              </w:rPr>
            </w:pPr>
            <w:r>
              <w:rPr>
                <w:rFonts w:ascii="Arial" w:cs="Arial" w:eastAsia="Arial" w:hAnsi="Arial"/>
                <w:sz w:val="18"/>
                <w:szCs w:val="18"/>
                <w:b w:val="1"/>
                <w:bCs w:val="1"/>
                <w:color w:val="auto"/>
              </w:rPr>
              <w:t>$6,471</w:t>
            </w:r>
          </w:p>
        </w:tc>
        <w:tc>
          <w:tcPr>
            <w:tcW w:w="980" w:type="dxa"/>
            <w:vAlign w:val="bottom"/>
            <w:gridSpan w:val="3"/>
            <w:shd w:val="clear" w:color="auto" w:fill="CCEEFF"/>
          </w:tcPr>
          <w:p>
            <w:pPr>
              <w:jc w:val="right"/>
              <w:ind w:right="220"/>
              <w:spacing w:after="0"/>
              <w:rPr>
                <w:sz w:val="20"/>
                <w:szCs w:val="20"/>
                <w:color w:val="auto"/>
              </w:rPr>
            </w:pPr>
            <w:r>
              <w:rPr>
                <w:rFonts w:ascii="Arial" w:cs="Arial" w:eastAsia="Arial" w:hAnsi="Arial"/>
                <w:sz w:val="18"/>
                <w:szCs w:val="18"/>
                <w:color w:val="auto"/>
              </w:rPr>
              <w:t>$7,453</w:t>
            </w:r>
          </w:p>
        </w:tc>
        <w:tc>
          <w:tcPr>
            <w:tcW w:w="1160" w:type="dxa"/>
            <w:vAlign w:val="bottom"/>
            <w:gridSpan w:val="3"/>
            <w:shd w:val="clear" w:color="auto" w:fill="CCEEFF"/>
          </w:tcPr>
          <w:p>
            <w:pPr>
              <w:jc w:val="right"/>
              <w:ind w:right="400"/>
              <w:spacing w:after="0"/>
              <w:rPr>
                <w:sz w:val="20"/>
                <w:szCs w:val="20"/>
                <w:color w:val="auto"/>
              </w:rPr>
            </w:pPr>
            <w:r>
              <w:rPr>
                <w:rFonts w:ascii="Arial" w:cs="Arial" w:eastAsia="Arial" w:hAnsi="Arial"/>
                <w:sz w:val="18"/>
                <w:szCs w:val="18"/>
                <w:color w:val="auto"/>
              </w:rPr>
              <w:t>$6,969</w:t>
            </w:r>
          </w:p>
        </w:tc>
        <w:tc>
          <w:tcPr>
            <w:tcW w:w="94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-13%</w:t>
            </w:r>
          </w:p>
        </w:tc>
        <w:tc>
          <w:tcPr>
            <w:tcW w:w="17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-7%</w:t>
            </w:r>
          </w:p>
        </w:tc>
      </w:tr>
      <w:tr>
        <w:trPr>
          <w:trHeight w:val="247"/>
        </w:trPr>
        <w:tc>
          <w:tcPr>
            <w:tcW w:w="3500" w:type="dxa"/>
            <w:vAlign w:val="bottom"/>
          </w:tcPr>
          <w:p>
            <w:pPr>
              <w:spacing w:after="0"/>
              <w:rPr>
                <w:sz w:val="20"/>
                <w:szCs w:val="20"/>
                <w:color w:val="auto"/>
              </w:rPr>
            </w:pPr>
            <w:r>
              <w:rPr>
                <w:rFonts w:ascii="Arial" w:cs="Arial" w:eastAsia="Arial" w:hAnsi="Arial"/>
                <w:sz w:val="18"/>
                <w:szCs w:val="18"/>
                <w:color w:val="auto"/>
              </w:rPr>
              <w:t>North America</w:t>
            </w:r>
          </w:p>
        </w:tc>
        <w:tc>
          <w:tcPr>
            <w:tcW w:w="2680" w:type="dxa"/>
            <w:vAlign w:val="bottom"/>
            <w:gridSpan w:val="3"/>
          </w:tcPr>
          <w:p>
            <w:pPr>
              <w:jc w:val="right"/>
              <w:ind w:right="200"/>
              <w:spacing w:after="0"/>
              <w:rPr>
                <w:sz w:val="20"/>
                <w:szCs w:val="20"/>
                <w:color w:val="auto"/>
              </w:rPr>
            </w:pPr>
            <w:r>
              <w:rPr>
                <w:rFonts w:ascii="Arial" w:cs="Arial" w:eastAsia="Arial" w:hAnsi="Arial"/>
                <w:sz w:val="18"/>
                <w:szCs w:val="18"/>
                <w:b w:val="1"/>
                <w:bCs w:val="1"/>
                <w:color w:val="auto"/>
              </w:rPr>
              <w:t>$2,167</w:t>
            </w:r>
          </w:p>
        </w:tc>
        <w:tc>
          <w:tcPr>
            <w:tcW w:w="980" w:type="dxa"/>
            <w:vAlign w:val="bottom"/>
            <w:gridSpan w:val="3"/>
          </w:tcPr>
          <w:p>
            <w:pPr>
              <w:jc w:val="right"/>
              <w:ind w:right="220"/>
              <w:spacing w:after="0"/>
              <w:rPr>
                <w:sz w:val="20"/>
                <w:szCs w:val="20"/>
                <w:color w:val="auto"/>
              </w:rPr>
            </w:pPr>
            <w:r>
              <w:rPr>
                <w:rFonts w:ascii="Arial" w:cs="Arial" w:eastAsia="Arial" w:hAnsi="Arial"/>
                <w:sz w:val="18"/>
                <w:szCs w:val="18"/>
                <w:color w:val="auto"/>
              </w:rPr>
              <w:t>$2,212</w:t>
            </w:r>
          </w:p>
        </w:tc>
        <w:tc>
          <w:tcPr>
            <w:tcW w:w="1160" w:type="dxa"/>
            <w:vAlign w:val="bottom"/>
            <w:gridSpan w:val="3"/>
          </w:tcPr>
          <w:p>
            <w:pPr>
              <w:jc w:val="right"/>
              <w:ind w:right="400"/>
              <w:spacing w:after="0"/>
              <w:rPr>
                <w:sz w:val="20"/>
                <w:szCs w:val="20"/>
                <w:color w:val="auto"/>
              </w:rPr>
            </w:pPr>
            <w:r>
              <w:rPr>
                <w:rFonts w:ascii="Arial" w:cs="Arial" w:eastAsia="Arial" w:hAnsi="Arial"/>
                <w:sz w:val="18"/>
                <w:szCs w:val="18"/>
                <w:color w:val="auto"/>
              </w:rPr>
              <w:t>$2,258</w:t>
            </w:r>
          </w:p>
        </w:tc>
        <w:tc>
          <w:tcPr>
            <w:tcW w:w="94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w:t>
            </w:r>
          </w:p>
        </w:tc>
        <w:tc>
          <w:tcPr>
            <w:tcW w:w="1760" w:type="dxa"/>
            <w:vAlign w:val="bottom"/>
            <w:gridSpan w:val="3"/>
          </w:tcPr>
          <w:p>
            <w:pPr>
              <w:jc w:val="right"/>
              <w:ind w:right="60"/>
              <w:spacing w:after="0"/>
              <w:rPr>
                <w:sz w:val="20"/>
                <w:szCs w:val="20"/>
                <w:color w:val="auto"/>
              </w:rPr>
            </w:pPr>
            <w:r>
              <w:rPr>
                <w:rFonts w:ascii="Arial" w:cs="Arial" w:eastAsia="Arial" w:hAnsi="Arial"/>
                <w:sz w:val="18"/>
                <w:szCs w:val="18"/>
                <w:color w:val="auto"/>
              </w:rPr>
              <w:t>-4%</w:t>
            </w:r>
          </w:p>
        </w:tc>
      </w:tr>
    </w:tbl>
    <w:p>
      <w:pPr>
        <w:spacing w:after="0" w:line="193" w:lineRule="exact"/>
        <w:rPr>
          <w:sz w:val="20"/>
          <w:szCs w:val="20"/>
          <w:color w:val="auto"/>
        </w:rPr>
      </w:pPr>
    </w:p>
    <w:p>
      <w:pPr>
        <w:ind w:left="4" w:right="7620" w:hanging="4"/>
        <w:spacing w:after="0" w:line="522" w:lineRule="auto"/>
        <w:tabs>
          <w:tab w:leader="none" w:pos="220" w:val="left"/>
        </w:tabs>
        <w:numPr>
          <w:ilvl w:val="0"/>
          <w:numId w:val="7"/>
        </w:numPr>
        <w:rPr>
          <w:rFonts w:ascii="Arial" w:cs="Arial" w:eastAsia="Arial" w:hAnsi="Arial"/>
          <w:sz w:val="18"/>
          <w:szCs w:val="18"/>
          <w:color w:val="auto"/>
        </w:rPr>
      </w:pPr>
      <w:r>
        <w:rPr>
          <w:rFonts w:ascii="Arial" w:cs="Arial" w:eastAsia="Arial" w:hAnsi="Arial"/>
          <w:sz w:val="18"/>
          <w:szCs w:val="18"/>
          <w:color w:val="auto"/>
        </w:rPr>
        <w:t>Includes Russia and the Caspian region n/m = not meaningful</w:t>
      </w:r>
    </w:p>
    <w:p>
      <w:pPr>
        <w:spacing w:after="0" w:line="45"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International</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Latin America</w:t>
      </w:r>
    </w:p>
    <w:p>
      <w:pPr>
        <w:spacing w:after="0" w:line="104" w:lineRule="exact"/>
        <w:rPr>
          <w:sz w:val="20"/>
          <w:szCs w:val="20"/>
          <w:color w:val="auto"/>
        </w:rPr>
      </w:pPr>
    </w:p>
    <w:p>
      <w:pPr>
        <w:ind w:left="4" w:right="120"/>
        <w:spacing w:after="0" w:line="253" w:lineRule="auto"/>
        <w:rPr>
          <w:sz w:val="20"/>
          <w:szCs w:val="20"/>
          <w:color w:val="auto"/>
        </w:rPr>
      </w:pPr>
      <w:r>
        <w:rPr>
          <w:rFonts w:ascii="Arial" w:cs="Arial" w:eastAsia="Arial" w:hAnsi="Arial"/>
          <w:sz w:val="18"/>
          <w:szCs w:val="18"/>
          <w:color w:val="auto"/>
        </w:rPr>
        <w:t>Revenue in Latin America of $1.53 billion declined 2% year on year due to decreased drilling activity in Argentina, lower Asset Production Solutions (APS) revenue in Ecuador, and lower production systems sales in Brazil. These declines were partially offset by increased offshore activity in Mexico and Guyana.</w:t>
      </w:r>
    </w:p>
    <w:p>
      <w:pPr>
        <w:spacing w:after="0" w:line="169"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Sequentially, revenue decreased 9% due to seasonally lower revenue in Brazil and Guyana following strong year-end production systems sales last quarter. This decline was partially offset by increased revenue in Mexico due to higher offshore drilling.</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Europe &amp; Africa</w:t>
      </w:r>
    </w:p>
    <w:p>
      <w:pPr>
        <w:spacing w:after="0" w:line="104" w:lineRule="exact"/>
        <w:rPr>
          <w:sz w:val="20"/>
          <w:szCs w:val="20"/>
          <w:color w:val="auto"/>
        </w:rPr>
      </w:pPr>
    </w:p>
    <w:p>
      <w:pPr>
        <w:ind w:left="4" w:right="480"/>
        <w:spacing w:after="0" w:line="271" w:lineRule="auto"/>
        <w:rPr>
          <w:sz w:val="20"/>
          <w:szCs w:val="20"/>
          <w:color w:val="auto"/>
        </w:rPr>
      </w:pPr>
      <w:r>
        <w:rPr>
          <w:rFonts w:ascii="Arial" w:cs="Arial" w:eastAsia="Arial" w:hAnsi="Arial"/>
          <w:sz w:val="18"/>
          <w:szCs w:val="18"/>
          <w:color w:val="auto"/>
        </w:rPr>
        <w:t>Revenue in Europe &amp; Africa of $2.26 billion decreased 3% year on year due to revenue declines in Scandinavia and Angola, partially offset by increased activity in Nigeria, Azerbaijan and Kazakhstan.</w:t>
      </w:r>
    </w:p>
    <w:p>
      <w:pPr>
        <w:spacing w:after="0" w:line="154" w:lineRule="exact"/>
        <w:rPr>
          <w:sz w:val="20"/>
          <w:szCs w:val="20"/>
          <w:color w:val="auto"/>
        </w:rPr>
      </w:pPr>
    </w:p>
    <w:p>
      <w:pPr>
        <w:ind w:left="4" w:right="600"/>
        <w:spacing w:after="0" w:line="271" w:lineRule="auto"/>
        <w:rPr>
          <w:sz w:val="20"/>
          <w:szCs w:val="20"/>
          <w:color w:val="auto"/>
        </w:rPr>
      </w:pPr>
      <w:r>
        <w:rPr>
          <w:rFonts w:ascii="Arial" w:cs="Arial" w:eastAsia="Arial" w:hAnsi="Arial"/>
          <w:sz w:val="18"/>
          <w:szCs w:val="18"/>
          <w:color w:val="auto"/>
        </w:rPr>
        <w:t>Sequentially, revenue declined 11% due to seasonally lower activity following strong year-end product and digital sales in the fourth quarter of 2025.</w:t>
      </w:r>
    </w:p>
    <w:p>
      <w:pPr>
        <w:sectPr>
          <w:pgSz w:w="11900" w:h="16838" w:orient="portrait"/>
          <w:cols w:equalWidth="0" w:num="1">
            <w:col w:w="11024"/>
          </w:cols>
          <w:pgMar w:left="436" w:top="269" w:right="439" w:bottom="1440" w:gutter="0" w:footer="0" w:header="0"/>
        </w:sectPr>
      </w:pPr>
    </w:p>
    <w:bookmarkStart w:id="9" w:name="page10"/>
    <w:bookmarkEnd w:id="9"/>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74865" cy="38100"/>
                    </a:xfrm>
                    <a:prstGeom prst="rect">
                      <a:avLst/>
                    </a:prstGeom>
                    <a:noFill/>
                  </pic:spPr>
                </pic:pic>
              </a:graphicData>
            </a:graphic>
          </wp:anchor>
        </w:drawing>
        <w:t>Middle East &amp; Asia</w:t>
      </w:r>
    </w:p>
    <w:p>
      <w:pPr>
        <w:spacing w:after="0" w:line="104" w:lineRule="exact"/>
        <w:rPr>
          <w:sz w:val="20"/>
          <w:szCs w:val="20"/>
          <w:color w:val="auto"/>
        </w:rPr>
      </w:pPr>
    </w:p>
    <w:p>
      <w:pPr>
        <w:ind w:left="4" w:right="40"/>
        <w:spacing w:after="0" w:line="275" w:lineRule="auto"/>
        <w:rPr>
          <w:sz w:val="20"/>
          <w:szCs w:val="20"/>
          <w:color w:val="auto"/>
        </w:rPr>
      </w:pPr>
      <w:r>
        <w:rPr>
          <w:rFonts w:ascii="Arial" w:cs="Arial" w:eastAsia="Arial" w:hAnsi="Arial"/>
          <w:sz w:val="17"/>
          <w:szCs w:val="17"/>
          <w:color w:val="auto"/>
        </w:rPr>
        <w:t>Revenue in the Middle East &amp; Asia of $2.69 billion decreased 13% year on year, driven by lower revenue across the Middle East reflecting the combined effect of lower activity and disruptions related to the conflict. These disruptions occurred in Qatar due to the declaration of force majeure and in Iraq and offshore operations across the region due to production shut-in constraints and security conditions.</w:t>
      </w:r>
    </w:p>
    <w:p>
      <w:pPr>
        <w:spacing w:after="0" w:line="152" w:lineRule="exact"/>
        <w:rPr>
          <w:sz w:val="20"/>
          <w:szCs w:val="20"/>
          <w:color w:val="auto"/>
        </w:rPr>
      </w:pPr>
    </w:p>
    <w:p>
      <w:pPr>
        <w:ind w:left="4" w:right="760"/>
        <w:spacing w:after="0" w:line="271" w:lineRule="auto"/>
        <w:rPr>
          <w:sz w:val="20"/>
          <w:szCs w:val="20"/>
          <w:color w:val="auto"/>
        </w:rPr>
      </w:pPr>
      <w:r>
        <w:rPr>
          <w:rFonts w:ascii="Arial" w:cs="Arial" w:eastAsia="Arial" w:hAnsi="Arial"/>
          <w:sz w:val="18"/>
          <w:szCs w:val="18"/>
          <w:color w:val="auto"/>
        </w:rPr>
        <w:t>Sequentially, revenue declined 17% due to seasonally lower activity following strong year-end product and digital sales as well as disruptions from the conflict.</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North America</w:t>
      </w:r>
    </w:p>
    <w:p>
      <w:pPr>
        <w:spacing w:after="0" w:line="104" w:lineRule="exact"/>
        <w:rPr>
          <w:sz w:val="20"/>
          <w:szCs w:val="20"/>
          <w:color w:val="auto"/>
        </w:rPr>
      </w:pPr>
    </w:p>
    <w:p>
      <w:pPr>
        <w:ind w:left="4" w:right="180"/>
        <w:spacing w:after="0" w:line="275" w:lineRule="auto"/>
        <w:rPr>
          <w:sz w:val="20"/>
          <w:szCs w:val="20"/>
          <w:color w:val="auto"/>
        </w:rPr>
      </w:pPr>
      <w:r>
        <w:rPr>
          <w:rFonts w:ascii="Arial" w:cs="Arial" w:eastAsia="Arial" w:hAnsi="Arial"/>
          <w:sz w:val="17"/>
          <w:szCs w:val="17"/>
          <w:color w:val="auto"/>
        </w:rPr>
        <w:t>Revenue in North America of $2.17 billion decreased 4% year on year, driven primarily by the absence of $118 million of APS revenue in Canada following the Palliser project divestiture in the second quarter of 2025, partially offset by robust revenue growth in Data Center Solutions. Offshore revenue in the Gulf of America was steady as higher drilling activity was offset by lower digital exploration sales.</w:t>
      </w:r>
    </w:p>
    <w:p>
      <w:pPr>
        <w:spacing w:after="0" w:line="152"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Sequentially, revenue declined 2% due to lower drilling activity on land and lower digital exploration sales following strong year-end digital sales in the fourth quarter of 2025. These declines were partially offset by higher revenue from Data Center Solutions.</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First-Quarter Results by Division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Digital</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540" w:type="dxa"/>
            <w:vAlign w:val="bottom"/>
            <w:gridSpan w:val="4"/>
          </w:tcPr>
          <w:p>
            <w:pPr>
              <w:jc w:val="right"/>
              <w:ind w:right="40"/>
              <w:spacing w:after="0"/>
              <w:rPr>
                <w:sz w:val="20"/>
                <w:szCs w:val="20"/>
                <w:color w:val="auto"/>
              </w:rPr>
            </w:pPr>
            <w:r>
              <w:rPr>
                <w:rFonts w:ascii="Arial" w:cs="Arial" w:eastAsia="Arial" w:hAnsi="Arial"/>
                <w:sz w:val="14"/>
                <w:szCs w:val="14"/>
                <w:b w:val="1"/>
                <w:bCs w:val="1"/>
                <w:color w:val="auto"/>
              </w:rPr>
              <w:t>Three Months Ended</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940" w:type="dxa"/>
            <w:vAlign w:val="bottom"/>
            <w:gridSpan w:val="3"/>
          </w:tcPr>
          <w:p>
            <w:pPr>
              <w:jc w:val="right"/>
              <w:ind w:right="12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4960" w:type="dxa"/>
            <w:vAlign w:val="bottom"/>
          </w:tcPr>
          <w:p>
            <w:pPr>
              <w:spacing w:after="0"/>
              <w:rPr>
                <w:sz w:val="12"/>
                <w:szCs w:val="12"/>
                <w:color w:val="auto"/>
              </w:rPr>
            </w:pPr>
          </w:p>
        </w:tc>
        <w:tc>
          <w:tcPr>
            <w:tcW w:w="1060" w:type="dxa"/>
            <w:vAlign w:val="bottom"/>
            <w:tcBorders>
              <w:top w:val="single" w:sz="8" w:color="auto"/>
            </w:tcBorders>
            <w:gridSpan w:val="3"/>
          </w:tcPr>
          <w:p>
            <w:pPr>
              <w:ind w:left="20"/>
              <w:spacing w:after="0" w:line="147" w:lineRule="exact"/>
              <w:rPr>
                <w:sz w:val="20"/>
                <w:szCs w:val="20"/>
                <w:color w:val="auto"/>
              </w:rPr>
            </w:pPr>
            <w:r>
              <w:rPr>
                <w:rFonts w:ascii="Arial" w:cs="Arial" w:eastAsia="Arial" w:hAnsi="Arial"/>
                <w:sz w:val="14"/>
                <w:szCs w:val="14"/>
                <w:b w:val="1"/>
                <w:bCs w:val="1"/>
                <w:color w:val="auto"/>
              </w:rPr>
              <w:t>Mar. 31,</w:t>
            </w:r>
          </w:p>
        </w:tc>
        <w:tc>
          <w:tcPr>
            <w:tcW w:w="102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gridSpan w:val="2"/>
          </w:tcPr>
          <w:p>
            <w:pPr>
              <w:spacing w:after="0" w:line="147" w:lineRule="exact"/>
              <w:rPr>
                <w:sz w:val="20"/>
                <w:szCs w:val="20"/>
                <w:color w:val="auto"/>
              </w:rPr>
            </w:pPr>
            <w:r>
              <w:rPr>
                <w:rFonts w:ascii="Arial" w:cs="Arial" w:eastAsia="Arial" w:hAnsi="Arial"/>
                <w:sz w:val="14"/>
                <w:szCs w:val="14"/>
                <w:color w:val="auto"/>
                <w:w w:val="97"/>
              </w:rPr>
              <w:t>Mar. 31,</w:t>
            </w:r>
          </w:p>
        </w:tc>
        <w:tc>
          <w:tcPr>
            <w:tcW w:w="540" w:type="dxa"/>
            <w:vAlign w:val="bottom"/>
          </w:tcPr>
          <w:p>
            <w:pPr>
              <w:spacing w:after="0"/>
              <w:rPr>
                <w:sz w:val="12"/>
                <w:szCs w:val="12"/>
                <w:color w:val="auto"/>
              </w:rPr>
            </w:pPr>
          </w:p>
        </w:tc>
        <w:tc>
          <w:tcPr>
            <w:tcW w:w="940" w:type="dxa"/>
            <w:vAlign w:val="bottom"/>
            <w:tcBorders>
              <w:top w:val="single" w:sz="8" w:color="auto"/>
            </w:tcBorders>
          </w:tcPr>
          <w:p>
            <w:pPr>
              <w:spacing w:after="0"/>
              <w:rPr>
                <w:sz w:val="12"/>
                <w:szCs w:val="12"/>
                <w:color w:val="auto"/>
              </w:rPr>
            </w:pPr>
          </w:p>
        </w:tc>
        <w:tc>
          <w:tcPr>
            <w:tcW w:w="52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49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2"/>
              <w:spacing w:after="0"/>
              <w:rPr>
                <w:sz w:val="20"/>
                <w:szCs w:val="20"/>
                <w:color w:val="auto"/>
              </w:rPr>
            </w:pPr>
            <w:r>
              <w:rPr>
                <w:rFonts w:ascii="Arial" w:cs="Arial" w:eastAsia="Arial" w:hAnsi="Arial"/>
                <w:sz w:val="14"/>
                <w:szCs w:val="14"/>
                <w:b w:val="1"/>
                <w:bCs w:val="1"/>
                <w:color w:val="auto"/>
              </w:rPr>
              <w:t>2026</w:t>
            </w:r>
          </w:p>
        </w:tc>
        <w:tc>
          <w:tcPr>
            <w:tcW w:w="5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2"/>
              <w:spacing w:after="0"/>
              <w:rPr>
                <w:sz w:val="20"/>
                <w:szCs w:val="20"/>
                <w:color w:val="auto"/>
              </w:rPr>
            </w:pPr>
            <w:r>
              <w:rPr>
                <w:rFonts w:ascii="Arial" w:cs="Arial" w:eastAsia="Arial" w:hAnsi="Arial"/>
                <w:sz w:val="14"/>
                <w:szCs w:val="14"/>
                <w:color w:val="auto"/>
                <w:w w:val="96"/>
              </w:rPr>
              <w:t>2025</w:t>
            </w:r>
          </w:p>
        </w:tc>
        <w:tc>
          <w:tcPr>
            <w:tcW w:w="4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20" w:type="dxa"/>
            <w:vAlign w:val="bottom"/>
          </w:tcPr>
          <w:p>
            <w:pPr>
              <w:jc w:val="right"/>
              <w:ind w:right="12"/>
              <w:spacing w:after="0"/>
              <w:rPr>
                <w:sz w:val="20"/>
                <w:szCs w:val="20"/>
                <w:color w:val="auto"/>
              </w:rPr>
            </w:pPr>
            <w:r>
              <w:rPr>
                <w:rFonts w:ascii="Arial" w:cs="Arial" w:eastAsia="Arial" w:hAnsi="Arial"/>
                <w:sz w:val="14"/>
                <w:szCs w:val="14"/>
                <w:color w:val="auto"/>
                <w:w w:val="96"/>
              </w:rPr>
              <w:t>2025</w:t>
            </w:r>
          </w:p>
        </w:tc>
        <w:tc>
          <w:tcPr>
            <w:tcW w:w="540" w:type="dxa"/>
            <w:vAlign w:val="bottom"/>
          </w:tcPr>
          <w:p>
            <w:pPr>
              <w:spacing w:after="0"/>
              <w:rPr>
                <w:sz w:val="14"/>
                <w:szCs w:val="14"/>
                <w:color w:val="auto"/>
              </w:rPr>
            </w:pPr>
          </w:p>
        </w:tc>
        <w:tc>
          <w:tcPr>
            <w:tcW w:w="1460" w:type="dxa"/>
            <w:vAlign w:val="bottom"/>
            <w:gridSpan w:val="2"/>
          </w:tcPr>
          <w:p>
            <w:pPr>
              <w:jc w:val="right"/>
              <w:ind w:right="548"/>
              <w:spacing w:after="0"/>
              <w:rPr>
                <w:sz w:val="20"/>
                <w:szCs w:val="20"/>
                <w:color w:val="auto"/>
              </w:rPr>
            </w:pPr>
            <w:r>
              <w:rPr>
                <w:rFonts w:ascii="Arial" w:cs="Arial" w:eastAsia="Arial" w:hAnsi="Arial"/>
                <w:sz w:val="14"/>
                <w:szCs w:val="14"/>
                <w:b w:val="1"/>
                <w:bCs w:val="1"/>
                <w:color w:val="auto"/>
              </w:rPr>
              <w:t>Sequential</w:t>
            </w: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4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540" w:type="dxa"/>
            <w:vAlign w:val="bottom"/>
            <w:tcBorders>
              <w:top w:val="single" w:sz="8" w:color="CCEEFF"/>
            </w:tcBorders>
            <w:shd w:val="clear" w:color="auto" w:fill="CCEEFF"/>
          </w:tcPr>
          <w:p>
            <w:pPr>
              <w:spacing w:after="0"/>
              <w:rPr>
                <w:sz w:val="17"/>
                <w:szCs w:val="17"/>
                <w:color w:val="auto"/>
              </w:rPr>
            </w:pPr>
          </w:p>
        </w:tc>
        <w:tc>
          <w:tcPr>
            <w:tcW w:w="94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443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593</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416</w:t>
            </w:r>
          </w:p>
        </w:tc>
        <w:tc>
          <w:tcPr>
            <w:tcW w:w="146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-25%</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197</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229</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171</w:t>
            </w:r>
          </w:p>
        </w:tc>
        <w:tc>
          <w:tcPr>
            <w:tcW w:w="14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-14%</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15%</w:t>
            </w:r>
          </w:p>
        </w:tc>
        <w:tc>
          <w:tcPr>
            <w:tcW w:w="0" w:type="dxa"/>
            <w:vAlign w:val="bottom"/>
          </w:tcPr>
          <w:p>
            <w:pPr>
              <w:spacing w:after="0"/>
              <w:rPr>
                <w:sz w:val="1"/>
                <w:szCs w:val="1"/>
                <w:color w:val="auto"/>
              </w:rPr>
            </w:pPr>
          </w:p>
        </w:tc>
      </w:tr>
      <w:tr>
        <w:trPr>
          <w:trHeight w:val="216"/>
        </w:trPr>
        <w:tc>
          <w:tcPr>
            <w:tcW w:w="4960" w:type="dxa"/>
            <w:vAlign w:val="bottom"/>
          </w:tcPr>
          <w:p>
            <w:pPr>
              <w:ind w:left="360"/>
              <w:spacing w:after="0"/>
              <w:rPr>
                <w:sz w:val="20"/>
                <w:szCs w:val="20"/>
                <w:color w:val="auto"/>
              </w:rPr>
            </w:pPr>
            <w:r>
              <w:rPr>
                <w:rFonts w:ascii="Arial" w:cs="Arial" w:eastAsia="Arial" w:hAnsi="Arial"/>
                <w:sz w:val="18"/>
                <w:szCs w:val="18"/>
                <w:color w:val="auto"/>
              </w:rPr>
              <w:t>Other</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— </w:t>
            </w:r>
          </w:p>
        </w:tc>
        <w:tc>
          <w:tcPr>
            <w:tcW w:w="5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color w:val="auto"/>
              </w:rPr>
              <w:t>3</w:t>
            </w:r>
          </w:p>
        </w:tc>
        <w:tc>
          <w:tcPr>
            <w:tcW w:w="4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20" w:type="dxa"/>
            <w:vAlign w:val="bottom"/>
          </w:tcPr>
          <w:p>
            <w:pPr>
              <w:jc w:val="right"/>
              <w:spacing w:after="0"/>
              <w:rPr>
                <w:sz w:val="20"/>
                <w:szCs w:val="20"/>
                <w:color w:val="auto"/>
              </w:rPr>
            </w:pPr>
            <w:r>
              <w:rPr>
                <w:rFonts w:ascii="Arial" w:cs="Arial" w:eastAsia="Arial" w:hAnsi="Arial"/>
                <w:sz w:val="18"/>
                <w:szCs w:val="18"/>
                <w:color w:val="auto"/>
              </w:rPr>
              <w:t>— </w:t>
            </w:r>
          </w:p>
        </w:tc>
        <w:tc>
          <w:tcPr>
            <w:tcW w:w="540" w:type="dxa"/>
            <w:vAlign w:val="bottom"/>
          </w:tcPr>
          <w:p>
            <w:pPr>
              <w:spacing w:after="0"/>
              <w:rPr>
                <w:sz w:val="18"/>
                <w:szCs w:val="18"/>
                <w:color w:val="auto"/>
              </w:rPr>
            </w:pPr>
          </w:p>
        </w:tc>
        <w:tc>
          <w:tcPr>
            <w:tcW w:w="146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n/m</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49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540" w:type="dxa"/>
            <w:vAlign w:val="bottom"/>
          </w:tcPr>
          <w:p>
            <w:pPr>
              <w:spacing w:after="0"/>
              <w:rPr>
                <w:sz w:val="2"/>
                <w:szCs w:val="2"/>
                <w:color w:val="auto"/>
              </w:rPr>
            </w:pPr>
          </w:p>
        </w:tc>
        <w:tc>
          <w:tcPr>
            <w:tcW w:w="940" w:type="dxa"/>
            <w:vAlign w:val="bottom"/>
            <w:shd w:val="clear" w:color="auto" w:fill="000000"/>
          </w:tcPr>
          <w:p>
            <w:pPr>
              <w:spacing w:after="0"/>
              <w:rPr>
                <w:sz w:val="2"/>
                <w:szCs w:val="2"/>
                <w:color w:val="auto"/>
              </w:rPr>
            </w:pPr>
          </w:p>
        </w:tc>
        <w:tc>
          <w:tcPr>
            <w:tcW w:w="52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9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640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80"/>
              <w:spacing w:after="0"/>
              <w:rPr>
                <w:sz w:val="20"/>
                <w:szCs w:val="20"/>
                <w:color w:val="auto"/>
              </w:rPr>
            </w:pPr>
            <w:r>
              <w:rPr>
                <w:rFonts w:ascii="Arial" w:cs="Arial" w:eastAsia="Arial" w:hAnsi="Arial"/>
                <w:sz w:val="18"/>
                <w:szCs w:val="18"/>
                <w:color w:val="auto"/>
              </w:rPr>
              <w:t>825</w:t>
            </w:r>
          </w:p>
        </w:tc>
        <w:tc>
          <w:tcPr>
            <w:tcW w:w="140" w:type="dxa"/>
            <w:vAlign w:val="bottom"/>
            <w:gridSpan w:val="2"/>
            <w:shd w:val="clear" w:color="auto" w:fill="CCEEFF"/>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CEEFF"/>
          </w:tcPr>
          <w:p>
            <w:pPr>
              <w:jc w:val="right"/>
              <w:ind w:right="520"/>
              <w:spacing w:after="0"/>
              <w:rPr>
                <w:sz w:val="20"/>
                <w:szCs w:val="20"/>
                <w:color w:val="auto"/>
              </w:rPr>
            </w:pPr>
            <w:r>
              <w:rPr>
                <w:rFonts w:ascii="Arial" w:cs="Arial" w:eastAsia="Arial" w:hAnsi="Arial"/>
                <w:sz w:val="18"/>
                <w:szCs w:val="18"/>
                <w:color w:val="auto"/>
              </w:rPr>
              <w:t>587</w:t>
            </w:r>
          </w:p>
        </w:tc>
        <w:tc>
          <w:tcPr>
            <w:tcW w:w="14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-22%</w:t>
            </w:r>
          </w:p>
        </w:tc>
        <w:tc>
          <w:tcPr>
            <w:tcW w:w="14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0"/>
        </w:trPr>
        <w:tc>
          <w:tcPr>
            <w:tcW w:w="49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960" w:type="dxa"/>
            <w:vAlign w:val="bottom"/>
            <w:vMerge w:val="continue"/>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134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280</w:t>
            </w:r>
          </w:p>
        </w:tc>
        <w:tc>
          <w:tcPr>
            <w:tcW w:w="140" w:type="dxa"/>
            <w:vAlign w:val="bottom"/>
            <w:gridSpan w:val="2"/>
          </w:tcPr>
          <w:p>
            <w:pPr>
              <w:ind w:left="40"/>
              <w:spacing w:after="0"/>
              <w:rPr>
                <w:sz w:val="20"/>
                <w:szCs w:val="20"/>
                <w:color w:val="auto"/>
              </w:rPr>
            </w:pPr>
            <w:r>
              <w:rPr>
                <w:rFonts w:ascii="Arial" w:cs="Arial" w:eastAsia="Arial" w:hAnsi="Arial"/>
                <w:sz w:val="18"/>
                <w:szCs w:val="18"/>
                <w:color w:val="auto"/>
                <w:w w:val="79"/>
              </w:rPr>
              <w:t>$</w:t>
            </w: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125</w:t>
            </w:r>
          </w:p>
        </w:tc>
        <w:tc>
          <w:tcPr>
            <w:tcW w:w="146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-52%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20.9%</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34.0%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21.2%</w:t>
            </w:r>
          </w:p>
        </w:tc>
        <w:tc>
          <w:tcPr>
            <w:tcW w:w="14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-1,303 bps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-28 bps</w:t>
            </w:r>
          </w:p>
        </w:tc>
        <w:tc>
          <w:tcPr>
            <w:tcW w:w="0" w:type="dxa"/>
            <w:vAlign w:val="bottom"/>
          </w:tcPr>
          <w:p>
            <w:pPr>
              <w:spacing w:after="0"/>
              <w:rPr>
                <w:sz w:val="1"/>
                <w:szCs w:val="1"/>
                <w:color w:val="auto"/>
              </w:rPr>
            </w:pPr>
          </w:p>
        </w:tc>
      </w:tr>
      <w:tr>
        <w:trPr>
          <w:trHeight w:val="216"/>
        </w:trPr>
        <w:tc>
          <w:tcPr>
            <w:tcW w:w="4960" w:type="dxa"/>
            <w:vAlign w:val="bottom"/>
          </w:tcPr>
          <w:p>
            <w:pPr>
              <w:spacing w:after="0"/>
              <w:rPr>
                <w:sz w:val="20"/>
                <w:szCs w:val="20"/>
                <w:color w:val="auto"/>
              </w:rPr>
            </w:pPr>
            <w:r>
              <w:rPr>
                <w:rFonts w:ascii="Arial" w:cs="Arial" w:eastAsia="Arial" w:hAnsi="Arial"/>
                <w:sz w:val="18"/>
                <w:szCs w:val="18"/>
                <w:color w:val="auto"/>
              </w:rPr>
              <w:t>Adjusted EBITDA*</w:t>
            </w:r>
          </w:p>
        </w:tc>
        <w:tc>
          <w:tcPr>
            <w:tcW w:w="100" w:type="dxa"/>
            <w:vAlign w:val="bottom"/>
          </w:tcPr>
          <w:p>
            <w:pPr>
              <w:spacing w:after="0"/>
              <w:rPr>
                <w:sz w:val="18"/>
                <w:szCs w:val="18"/>
                <w:color w:val="auto"/>
              </w:rPr>
            </w:pPr>
          </w:p>
        </w:tc>
        <w:tc>
          <w:tcPr>
            <w:tcW w:w="960" w:type="dxa"/>
            <w:vAlign w:val="bottom"/>
            <w:gridSpan w:val="2"/>
          </w:tcPr>
          <w:p>
            <w:pPr>
              <w:jc w:val="right"/>
              <w:ind w:right="448"/>
              <w:spacing w:after="0"/>
              <w:rPr>
                <w:sz w:val="20"/>
                <w:szCs w:val="20"/>
                <w:color w:val="auto"/>
              </w:rPr>
            </w:pPr>
            <w:r>
              <w:rPr>
                <w:rFonts w:ascii="Arial" w:cs="Arial" w:eastAsia="Arial" w:hAnsi="Arial"/>
                <w:sz w:val="18"/>
                <w:szCs w:val="18"/>
                <w:b w:val="1"/>
                <w:bCs w:val="1"/>
                <w:color w:val="auto"/>
              </w:rPr>
              <w:t>167</w:t>
            </w:r>
          </w:p>
        </w:tc>
        <w:tc>
          <w:tcPr>
            <w:tcW w:w="100" w:type="dxa"/>
            <w:vAlign w:val="bottom"/>
          </w:tcPr>
          <w:p>
            <w:pPr>
              <w:spacing w:after="0"/>
              <w:rPr>
                <w:sz w:val="18"/>
                <w:szCs w:val="18"/>
                <w:color w:val="auto"/>
              </w:rPr>
            </w:pPr>
          </w:p>
        </w:tc>
        <w:tc>
          <w:tcPr>
            <w:tcW w:w="920" w:type="dxa"/>
            <w:vAlign w:val="bottom"/>
            <w:gridSpan w:val="2"/>
          </w:tcPr>
          <w:p>
            <w:pPr>
              <w:jc w:val="right"/>
              <w:ind w:right="480"/>
              <w:spacing w:after="0"/>
              <w:rPr>
                <w:sz w:val="20"/>
                <w:szCs w:val="20"/>
                <w:color w:val="auto"/>
              </w:rPr>
            </w:pPr>
            <w:r>
              <w:rPr>
                <w:rFonts w:ascii="Arial" w:cs="Arial" w:eastAsia="Arial" w:hAnsi="Arial"/>
                <w:sz w:val="18"/>
                <w:szCs w:val="18"/>
                <w:color w:val="auto"/>
              </w:rPr>
              <w:t>346</w:t>
            </w: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60" w:type="dxa"/>
            <w:vAlign w:val="bottom"/>
            <w:gridSpan w:val="2"/>
          </w:tcPr>
          <w:p>
            <w:pPr>
              <w:jc w:val="right"/>
              <w:ind w:right="520"/>
              <w:spacing w:after="0"/>
              <w:rPr>
                <w:sz w:val="20"/>
                <w:szCs w:val="20"/>
                <w:color w:val="auto"/>
              </w:rPr>
            </w:pPr>
            <w:r>
              <w:rPr>
                <w:rFonts w:ascii="Arial" w:cs="Arial" w:eastAsia="Arial" w:hAnsi="Arial"/>
                <w:sz w:val="18"/>
                <w:szCs w:val="18"/>
                <w:color w:val="auto"/>
              </w:rPr>
              <w:t>181</w:t>
            </w:r>
          </w:p>
        </w:tc>
        <w:tc>
          <w:tcPr>
            <w:tcW w:w="1460" w:type="dxa"/>
            <w:vAlign w:val="bottom"/>
            <w:gridSpan w:val="2"/>
          </w:tcPr>
          <w:p>
            <w:pPr>
              <w:jc w:val="right"/>
              <w:ind w:right="288"/>
              <w:spacing w:after="0"/>
              <w:rPr>
                <w:sz w:val="20"/>
                <w:szCs w:val="20"/>
                <w:color w:val="auto"/>
              </w:rPr>
            </w:pPr>
            <w:r>
              <w:rPr>
                <w:rFonts w:ascii="Arial" w:cs="Arial" w:eastAsia="Arial" w:hAnsi="Arial"/>
                <w:sz w:val="18"/>
                <w:szCs w:val="18"/>
                <w:b w:val="1"/>
                <w:bCs w:val="1"/>
                <w:color w:val="auto"/>
              </w:rPr>
              <w:t>-52%</w:t>
            </w:r>
          </w:p>
        </w:tc>
        <w:tc>
          <w:tcPr>
            <w:tcW w:w="142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4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88"/>
              <w:spacing w:after="0"/>
              <w:rPr>
                <w:sz w:val="20"/>
                <w:szCs w:val="20"/>
                <w:color w:val="auto"/>
              </w:rPr>
            </w:pPr>
            <w:r>
              <w:rPr>
                <w:rFonts w:ascii="Arial" w:cs="Arial" w:eastAsia="Arial" w:hAnsi="Arial"/>
                <w:sz w:val="18"/>
                <w:szCs w:val="18"/>
                <w:b w:val="1"/>
                <w:bCs w:val="1"/>
                <w:color w:val="auto"/>
              </w:rPr>
              <w:t>26.1%</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42.0%</w:t>
            </w: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60"/>
              <w:spacing w:after="0"/>
              <w:rPr>
                <w:sz w:val="20"/>
                <w:szCs w:val="20"/>
                <w:color w:val="auto"/>
              </w:rPr>
            </w:pPr>
            <w:r>
              <w:rPr>
                <w:rFonts w:ascii="Arial" w:cs="Arial" w:eastAsia="Arial" w:hAnsi="Arial"/>
                <w:sz w:val="18"/>
                <w:szCs w:val="18"/>
                <w:color w:val="auto"/>
              </w:rPr>
              <w:t>30.8%</w:t>
            </w:r>
          </w:p>
        </w:tc>
        <w:tc>
          <w:tcPr>
            <w:tcW w:w="1460" w:type="dxa"/>
            <w:vAlign w:val="bottom"/>
            <w:gridSpan w:val="2"/>
            <w:shd w:val="clear" w:color="auto" w:fill="CCEEFF"/>
          </w:tcPr>
          <w:p>
            <w:pPr>
              <w:jc w:val="right"/>
              <w:ind w:right="448"/>
              <w:spacing w:after="0"/>
              <w:rPr>
                <w:sz w:val="20"/>
                <w:szCs w:val="20"/>
                <w:color w:val="auto"/>
              </w:rPr>
            </w:pPr>
            <w:r>
              <w:rPr>
                <w:rFonts w:ascii="Arial" w:cs="Arial" w:eastAsia="Arial" w:hAnsi="Arial"/>
                <w:sz w:val="18"/>
                <w:szCs w:val="18"/>
                <w:b w:val="1"/>
                <w:bCs w:val="1"/>
                <w:color w:val="auto"/>
              </w:rPr>
              <w:t>-1,588 bps</w:t>
            </w: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-473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522" w:lineRule="auto"/>
        <w:tabs>
          <w:tab w:leader="none" w:pos="220" w:val="left"/>
        </w:tabs>
        <w:numPr>
          <w:ilvl w:val="0"/>
          <w:numId w:val="8"/>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sectPr>
          <w:pgSz w:w="11900" w:h="16838" w:orient="portrait"/>
          <w:cols w:equalWidth="0" w:num="1">
            <w:col w:w="11024"/>
          </w:cols>
          <w:pgMar w:left="436" w:top="269" w:right="439" w:bottom="1440" w:gutter="0" w:footer="0" w:header="0"/>
        </w:sectPr>
      </w:pPr>
    </w:p>
    <w:bookmarkStart w:id="10" w:name="page11"/>
    <w:bookmarkEnd w:id="10"/>
    <w:tbl>
      <w:tblPr>
        <w:tblLayout w:type="fixed"/>
        <w:tblInd w:w="0" w:type="dxa"/>
        <w:tblCellMar>
          <w:top w:w="0" w:type="dxa"/>
          <w:left w:w="0" w:type="dxa"/>
          <w:bottom w:w="0" w:type="dxa"/>
          <w:right w:w="0" w:type="dxa"/>
        </w:tblCellMar>
      </w:tblPr>
      <w:tr>
        <w:trPr>
          <w:trHeight w:val="162"/>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1480" w:type="dxa"/>
            <w:vAlign w:val="bottom"/>
            <w:gridSpan w:val="4"/>
          </w:tcPr>
          <w:p>
            <w:pPr>
              <w:ind w:left="20"/>
              <w:spacing w:after="0"/>
              <w:rPr>
                <w:sz w:val="20"/>
                <w:szCs w:val="20"/>
                <w:color w:val="auto"/>
              </w:rPr>
            </w:pPr>
            <w:r>
              <w:rPr>
                <w:rFonts w:ascii="Arial" w:cs="Arial" w:eastAsia="Arial" w:hAnsi="Arial"/>
                <w:sz w:val="14"/>
                <w:szCs w:val="14"/>
                <w:b w:val="1"/>
                <w:bCs w:val="1"/>
                <w:color w:val="auto"/>
              </w:rPr>
              <w:t>Three Months Ended</w:t>
            </w:r>
          </w:p>
        </w:tc>
        <w:tc>
          <w:tcPr>
            <w:tcW w:w="12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680" w:type="dxa"/>
            <w:vAlign w:val="bottom"/>
            <w:gridSpan w:val="4"/>
          </w:tcPr>
          <w:p>
            <w:pPr>
              <w:jc w:val="right"/>
              <w:ind w:right="1060"/>
              <w:spacing w:after="0"/>
              <w:rPr>
                <w:sz w:val="20"/>
                <w:szCs w:val="20"/>
                <w:color w:val="auto"/>
              </w:rPr>
            </w:pPr>
            <w:r>
              <w:rPr>
                <w:rFonts w:ascii="Arial" w:cs="Arial" w:eastAsia="Arial" w:hAnsi="Arial"/>
                <w:sz w:val="14"/>
                <w:szCs w:val="14"/>
                <w:b w:val="1"/>
                <w:bCs w:val="1"/>
                <w:color w:val="auto"/>
              </w:rPr>
              <w:t>Change</w:t>
            </w:r>
          </w:p>
        </w:tc>
      </w:tr>
      <w:tr>
        <w:trPr>
          <w:trHeight w:val="146"/>
        </w:trPr>
        <w:tc>
          <w:tcPr>
            <w:tcW w:w="5580" w:type="dxa"/>
            <w:vAlign w:val="bottom"/>
          </w:tcPr>
          <w:p>
            <w:pPr>
              <w:spacing w:after="0"/>
              <w:rPr>
                <w:sz w:val="12"/>
                <w:szCs w:val="12"/>
                <w:color w:val="auto"/>
              </w:rPr>
            </w:pPr>
          </w:p>
        </w:tc>
        <w:tc>
          <w:tcPr>
            <w:tcW w:w="540" w:type="dxa"/>
            <w:vAlign w:val="bottom"/>
            <w:tcBorders>
              <w:top w:val="single" w:sz="8" w:color="auto"/>
            </w:tcBorders>
            <w:gridSpan w:val="2"/>
          </w:tcPr>
          <w:p>
            <w:pPr>
              <w:jc w:val="right"/>
              <w:spacing w:after="0" w:line="147" w:lineRule="exact"/>
              <w:rPr>
                <w:sz w:val="20"/>
                <w:szCs w:val="20"/>
                <w:color w:val="auto"/>
              </w:rPr>
            </w:pPr>
            <w:r>
              <w:rPr>
                <w:rFonts w:ascii="Arial" w:cs="Arial" w:eastAsia="Arial" w:hAnsi="Arial"/>
                <w:sz w:val="14"/>
                <w:szCs w:val="14"/>
                <w:b w:val="1"/>
                <w:bCs w:val="1"/>
                <w:color w:val="auto"/>
                <w:w w:val="99"/>
              </w:rPr>
              <w:t>Mar. 31,</w:t>
            </w:r>
          </w:p>
        </w:tc>
        <w:tc>
          <w:tcPr>
            <w:tcW w:w="480" w:type="dxa"/>
            <w:vAlign w:val="bottom"/>
            <w:tcBorders>
              <w:top w:val="single" w:sz="8" w:color="auto"/>
            </w:tcBorders>
          </w:tcPr>
          <w:p>
            <w:pPr>
              <w:spacing w:after="0"/>
              <w:rPr>
                <w:sz w:val="12"/>
                <w:szCs w:val="12"/>
                <w:color w:val="auto"/>
              </w:rPr>
            </w:pPr>
          </w:p>
        </w:tc>
        <w:tc>
          <w:tcPr>
            <w:tcW w:w="1000" w:type="dxa"/>
            <w:vAlign w:val="bottom"/>
            <w:tcBorders>
              <w:top w:val="single" w:sz="8" w:color="auto"/>
            </w:tcBorders>
            <w:gridSpan w:val="3"/>
          </w:tcPr>
          <w:p>
            <w:pPr>
              <w:jc w:val="right"/>
              <w:ind w:right="460"/>
              <w:spacing w:after="0" w:line="147" w:lineRule="exact"/>
              <w:rPr>
                <w:sz w:val="20"/>
                <w:szCs w:val="20"/>
                <w:color w:val="auto"/>
              </w:rPr>
            </w:pPr>
            <w:r>
              <w:rPr>
                <w:rFonts w:ascii="Arial" w:cs="Arial" w:eastAsia="Arial" w:hAnsi="Arial"/>
                <w:sz w:val="14"/>
                <w:szCs w:val="14"/>
                <w:color w:val="auto"/>
                <w:w w:val="99"/>
              </w:rPr>
              <w:t>Dec. 31,</w:t>
            </w:r>
          </w:p>
        </w:tc>
        <w:tc>
          <w:tcPr>
            <w:tcW w:w="54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w w:val="97"/>
              </w:rPr>
              <w:t>Mar. 31,</w:t>
            </w:r>
          </w:p>
        </w:tc>
        <w:tc>
          <w:tcPr>
            <w:tcW w:w="46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22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55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13"/>
              <w:spacing w:after="0"/>
              <w:rPr>
                <w:sz w:val="20"/>
                <w:szCs w:val="20"/>
                <w:color w:val="auto"/>
              </w:rPr>
            </w:pPr>
            <w:r>
              <w:rPr>
                <w:rFonts w:ascii="Arial" w:cs="Arial" w:eastAsia="Arial" w:hAnsi="Arial"/>
                <w:sz w:val="14"/>
                <w:szCs w:val="14"/>
                <w:b w:val="1"/>
                <w:bCs w:val="1"/>
                <w:color w:val="auto"/>
              </w:rPr>
              <w:t>2026</w:t>
            </w:r>
          </w:p>
        </w:tc>
        <w:tc>
          <w:tcPr>
            <w:tcW w:w="4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40" w:type="dxa"/>
            <w:vAlign w:val="bottom"/>
          </w:tcPr>
          <w:p>
            <w:pPr>
              <w:jc w:val="right"/>
              <w:ind w:right="33"/>
              <w:spacing w:after="0"/>
              <w:rPr>
                <w:sz w:val="20"/>
                <w:szCs w:val="20"/>
                <w:color w:val="auto"/>
              </w:rPr>
            </w:pPr>
            <w:r>
              <w:rPr>
                <w:rFonts w:ascii="Arial" w:cs="Arial" w:eastAsia="Arial" w:hAnsi="Arial"/>
                <w:sz w:val="14"/>
                <w:szCs w:val="14"/>
                <w:color w:val="auto"/>
                <w:w w:val="96"/>
              </w:rPr>
              <w:t>2025</w:t>
            </w:r>
          </w:p>
        </w:tc>
        <w:tc>
          <w:tcPr>
            <w:tcW w:w="4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20" w:type="dxa"/>
            <w:vAlign w:val="bottom"/>
          </w:tcPr>
          <w:p>
            <w:pPr>
              <w:jc w:val="right"/>
              <w:ind w:right="13"/>
              <w:spacing w:after="0"/>
              <w:rPr>
                <w:sz w:val="20"/>
                <w:szCs w:val="20"/>
                <w:color w:val="auto"/>
              </w:rPr>
            </w:pPr>
            <w:r>
              <w:rPr>
                <w:rFonts w:ascii="Arial" w:cs="Arial" w:eastAsia="Arial" w:hAnsi="Arial"/>
                <w:sz w:val="14"/>
                <w:szCs w:val="14"/>
                <w:color w:val="auto"/>
                <w:w w:val="96"/>
              </w:rPr>
              <w:t>2025</w:t>
            </w:r>
          </w:p>
        </w:tc>
        <w:tc>
          <w:tcPr>
            <w:tcW w:w="460" w:type="dxa"/>
            <w:vAlign w:val="bottom"/>
          </w:tcPr>
          <w:p>
            <w:pPr>
              <w:spacing w:after="0"/>
              <w:rPr>
                <w:sz w:val="14"/>
                <w:szCs w:val="14"/>
                <w:color w:val="auto"/>
              </w:rPr>
            </w:pPr>
          </w:p>
        </w:tc>
        <w:tc>
          <w:tcPr>
            <w:tcW w:w="960" w:type="dxa"/>
            <w:vAlign w:val="bottom"/>
            <w:gridSpan w:val="2"/>
          </w:tcPr>
          <w:p>
            <w:pPr>
              <w:jc w:val="right"/>
              <w:ind w:right="148"/>
              <w:spacing w:after="0"/>
              <w:rPr>
                <w:sz w:val="20"/>
                <w:szCs w:val="20"/>
                <w:color w:val="auto"/>
              </w:rPr>
            </w:pPr>
            <w:r>
              <w:rPr>
                <w:rFonts w:ascii="Arial" w:cs="Arial" w:eastAsia="Arial" w:hAnsi="Arial"/>
                <w:sz w:val="14"/>
                <w:szCs w:val="14"/>
                <w:b w:val="1"/>
                <w:bCs w:val="1"/>
                <w:color w:val="auto"/>
              </w:rPr>
              <w:t>Sequential</w:t>
            </w:r>
          </w:p>
        </w:tc>
        <w:tc>
          <w:tcPr>
            <w:tcW w:w="400" w:type="dxa"/>
            <w:vAlign w:val="bottom"/>
          </w:tcPr>
          <w:p>
            <w:pPr>
              <w:spacing w:after="0"/>
              <w:rPr>
                <w:sz w:val="14"/>
                <w:szCs w:val="14"/>
                <w:color w:val="auto"/>
              </w:rPr>
            </w:pP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r>
      <w:tr>
        <w:trPr>
          <w:trHeight w:val="196"/>
        </w:trPr>
        <w:tc>
          <w:tcPr>
            <w:tcW w:w="55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4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Platforms &amp; Applications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241</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291</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236</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-17%</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2%</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Digital Operations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143</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162</w:t>
            </w:r>
          </w:p>
        </w:tc>
        <w:tc>
          <w:tcPr>
            <w:tcW w:w="1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77</w:t>
            </w: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-12%</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87%</w:t>
            </w:r>
          </w:p>
        </w:tc>
      </w:tr>
      <w:tr>
        <w:trPr>
          <w:trHeight w:val="216"/>
        </w:trPr>
        <w:tc>
          <w:tcPr>
            <w:tcW w:w="5580" w:type="dxa"/>
            <w:vAlign w:val="bottom"/>
          </w:tcPr>
          <w:p>
            <w:pPr>
              <w:spacing w:after="0"/>
              <w:rPr>
                <w:sz w:val="20"/>
                <w:szCs w:val="20"/>
                <w:color w:val="auto"/>
              </w:rPr>
            </w:pPr>
            <w:r>
              <w:rPr>
                <w:rFonts w:ascii="Arial" w:cs="Arial" w:eastAsia="Arial" w:hAnsi="Arial"/>
                <w:sz w:val="18"/>
                <w:szCs w:val="18"/>
                <w:color w:val="auto"/>
              </w:rPr>
              <w:t>Digital Exploration</w:t>
            </w:r>
          </w:p>
        </w:tc>
        <w:tc>
          <w:tcPr>
            <w:tcW w:w="100" w:type="dxa"/>
            <w:vAlign w:val="bottom"/>
          </w:tcPr>
          <w:p>
            <w:pPr>
              <w:spacing w:after="0"/>
              <w:rPr>
                <w:sz w:val="18"/>
                <w:szCs w:val="18"/>
                <w:color w:val="auto"/>
              </w:rPr>
            </w:pP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101</w:t>
            </w:r>
          </w:p>
        </w:tc>
        <w:tc>
          <w:tcPr>
            <w:tcW w:w="4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184</w:t>
            </w:r>
          </w:p>
        </w:tc>
        <w:tc>
          <w:tcPr>
            <w:tcW w:w="120" w:type="dxa"/>
            <w:vAlign w:val="bottom"/>
          </w:tcPr>
          <w:p>
            <w:pPr>
              <w:spacing w:after="0"/>
              <w:rPr>
                <w:sz w:val="18"/>
                <w:szCs w:val="18"/>
                <w:color w:val="auto"/>
              </w:rPr>
            </w:pP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110</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-45%</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-8%</w:t>
            </w:r>
          </w:p>
        </w:tc>
      </w:tr>
      <w:tr>
        <w:trPr>
          <w:trHeight w:val="216"/>
        </w:trPr>
        <w:tc>
          <w:tcPr>
            <w:tcW w:w="5580" w:type="dxa"/>
            <w:vAlign w:val="bottom"/>
            <w:shd w:val="clear" w:color="auto" w:fill="CCEEFF"/>
          </w:tcPr>
          <w:p>
            <w:pPr>
              <w:spacing w:after="0"/>
              <w:rPr>
                <w:sz w:val="20"/>
                <w:szCs w:val="20"/>
                <w:color w:val="auto"/>
              </w:rPr>
            </w:pPr>
            <w:r>
              <w:rPr>
                <w:rFonts w:ascii="Arial" w:cs="Arial" w:eastAsia="Arial" w:hAnsi="Arial"/>
                <w:sz w:val="18"/>
                <w:szCs w:val="18"/>
                <w:color w:val="auto"/>
              </w:rPr>
              <w:t>Professional Services</w:t>
            </w: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w:t>
            </w:r>
          </w:p>
        </w:tc>
        <w:tc>
          <w:tcPr>
            <w:tcW w:w="48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188</w:t>
            </w: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46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-17%</w:t>
            </w:r>
          </w:p>
        </w:tc>
        <w:tc>
          <w:tcPr>
            <w:tcW w:w="146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r>
      <w:tr>
        <w:trPr>
          <w:trHeight w:val="20"/>
        </w:trPr>
        <w:tc>
          <w:tcPr>
            <w:tcW w:w="55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r>
        <w:trPr>
          <w:trHeight w:val="223"/>
        </w:trPr>
        <w:tc>
          <w:tcPr>
            <w:tcW w:w="55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440" w:type="dxa"/>
            <w:vAlign w:val="bottom"/>
          </w:tcPr>
          <w:p>
            <w:pPr>
              <w:jc w:val="right"/>
              <w:spacing w:after="0"/>
              <w:rPr>
                <w:sz w:val="20"/>
                <w:szCs w:val="20"/>
                <w:color w:val="auto"/>
              </w:rPr>
            </w:pPr>
            <w:r>
              <w:rPr>
                <w:rFonts w:ascii="Arial" w:cs="Arial" w:eastAsia="Arial" w:hAnsi="Arial"/>
                <w:sz w:val="18"/>
                <w:szCs w:val="18"/>
                <w:b w:val="1"/>
                <w:bCs w:val="1"/>
                <w:color w:val="auto"/>
              </w:rPr>
              <w:t>640</w:t>
            </w:r>
          </w:p>
        </w:tc>
        <w:tc>
          <w:tcPr>
            <w:tcW w:w="5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900" w:type="dxa"/>
            <w:vAlign w:val="bottom"/>
            <w:gridSpan w:val="2"/>
          </w:tcPr>
          <w:p>
            <w:pPr>
              <w:jc w:val="right"/>
              <w:ind w:right="460"/>
              <w:spacing w:after="0"/>
              <w:rPr>
                <w:sz w:val="20"/>
                <w:szCs w:val="20"/>
                <w:color w:val="auto"/>
              </w:rPr>
            </w:pPr>
            <w:r>
              <w:rPr>
                <w:rFonts w:ascii="Arial" w:cs="Arial" w:eastAsia="Arial" w:hAnsi="Arial"/>
                <w:sz w:val="18"/>
                <w:szCs w:val="18"/>
                <w:color w:val="auto"/>
              </w:rPr>
              <w:t>825</w:t>
            </w:r>
          </w:p>
        </w:tc>
        <w:tc>
          <w:tcPr>
            <w:tcW w:w="120" w:type="dxa"/>
            <w:vAlign w:val="bottom"/>
          </w:tcPr>
          <w:p>
            <w:pPr>
              <w:ind w:left="20"/>
              <w:spacing w:after="0"/>
              <w:rPr>
                <w:sz w:val="20"/>
                <w:szCs w:val="20"/>
                <w:color w:val="auto"/>
              </w:rPr>
            </w:pPr>
            <w:r>
              <w:rPr>
                <w:rFonts w:ascii="Arial" w:cs="Arial" w:eastAsia="Arial" w:hAnsi="Arial"/>
                <w:sz w:val="18"/>
                <w:szCs w:val="18"/>
                <w:color w:val="auto"/>
                <w:w w:val="79"/>
              </w:rPr>
              <w:t>$</w:t>
            </w:r>
          </w:p>
        </w:tc>
        <w:tc>
          <w:tcPr>
            <w:tcW w:w="880" w:type="dxa"/>
            <w:vAlign w:val="bottom"/>
            <w:gridSpan w:val="2"/>
          </w:tcPr>
          <w:p>
            <w:pPr>
              <w:jc w:val="right"/>
              <w:ind w:right="460"/>
              <w:spacing w:after="0"/>
              <w:rPr>
                <w:sz w:val="20"/>
                <w:szCs w:val="20"/>
                <w:color w:val="auto"/>
              </w:rPr>
            </w:pPr>
            <w:r>
              <w:rPr>
                <w:rFonts w:ascii="Arial" w:cs="Arial" w:eastAsia="Arial" w:hAnsi="Arial"/>
                <w:sz w:val="18"/>
                <w:szCs w:val="18"/>
                <w:color w:val="auto"/>
              </w:rPr>
              <w:t>587</w:t>
            </w:r>
          </w:p>
        </w:tc>
        <w:tc>
          <w:tcPr>
            <w:tcW w:w="960" w:type="dxa"/>
            <w:vAlign w:val="bottom"/>
            <w:gridSpan w:val="2"/>
          </w:tcPr>
          <w:p>
            <w:pPr>
              <w:jc w:val="right"/>
              <w:spacing w:after="0"/>
              <w:rPr>
                <w:sz w:val="20"/>
                <w:szCs w:val="20"/>
                <w:color w:val="auto"/>
              </w:rPr>
            </w:pPr>
            <w:r>
              <w:rPr>
                <w:rFonts w:ascii="Arial" w:cs="Arial" w:eastAsia="Arial" w:hAnsi="Arial"/>
                <w:sz w:val="18"/>
                <w:szCs w:val="18"/>
                <w:b w:val="1"/>
                <w:bCs w:val="1"/>
                <w:color w:val="auto"/>
              </w:rPr>
              <w:t>-22%</w:t>
            </w:r>
          </w:p>
        </w:tc>
        <w:tc>
          <w:tcPr>
            <w:tcW w:w="1460" w:type="dxa"/>
            <w:vAlign w:val="bottom"/>
            <w:gridSpan w:val="3"/>
          </w:tcPr>
          <w:p>
            <w:pPr>
              <w:jc w:val="right"/>
              <w:ind w:right="60"/>
              <w:spacing w:after="0"/>
              <w:rPr>
                <w:sz w:val="20"/>
                <w:szCs w:val="20"/>
                <w:color w:val="auto"/>
              </w:rPr>
            </w:pPr>
            <w:r>
              <w:rPr>
                <w:rFonts w:ascii="Arial" w:cs="Arial" w:eastAsia="Arial" w:hAnsi="Arial"/>
                <w:sz w:val="18"/>
                <w:szCs w:val="18"/>
                <w:color w:val="auto"/>
              </w:rPr>
              <w:t>9%</w:t>
            </w:r>
          </w:p>
        </w:tc>
      </w:tr>
      <w:tr>
        <w:trPr>
          <w:trHeight w:val="20"/>
        </w:trPr>
        <w:tc>
          <w:tcPr>
            <w:tcW w:w="55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74865" cy="38735"/>
                    </a:xfrm>
                    <a:prstGeom prst="rect">
                      <a:avLst/>
                    </a:prstGeom>
                    <a:noFill/>
                  </pic:spPr>
                </pic:pic>
              </a:graphicData>
            </a:graphic>
          </wp:anchor>
        </w:drawing>
      </w:r>
    </w:p>
    <w:p>
      <w:pPr>
        <w:spacing w:after="0"/>
        <w:rPr>
          <w:sz w:val="20"/>
          <w:szCs w:val="20"/>
          <w:color w:val="auto"/>
        </w:rPr>
      </w:pPr>
      <w:r>
        <w:rPr>
          <w:rFonts w:ascii="Arial" w:cs="Arial" w:eastAsia="Arial" w:hAnsi="Arial"/>
          <w:sz w:val="18"/>
          <w:szCs w:val="18"/>
          <w:color w:val="auto"/>
        </w:rPr>
        <w:t>Digital first-quarter 2026 results include activity from ChampionX, which contributed $32 million of revenue.</w:t>
      </w:r>
    </w:p>
    <w:p>
      <w:pPr>
        <w:spacing w:after="0" w:line="212"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Digital revenue of $640 million increased 9% year on year, driven by 87% growth in Digital Operations and a 2% increase in Platforms &amp; Applications, partially offset by declines in Digital Exploration and Professional Services.</w:t>
      </w:r>
    </w:p>
    <w:p>
      <w:pPr>
        <w:spacing w:after="0" w:line="154" w:lineRule="exact"/>
        <w:rPr>
          <w:sz w:val="20"/>
          <w:szCs w:val="20"/>
          <w:color w:val="auto"/>
        </w:rPr>
      </w:pPr>
    </w:p>
    <w:p>
      <w:pPr>
        <w:ind w:right="220"/>
        <w:spacing w:after="0" w:line="271" w:lineRule="auto"/>
        <w:rPr>
          <w:sz w:val="20"/>
          <w:szCs w:val="20"/>
          <w:color w:val="auto"/>
        </w:rPr>
      </w:pPr>
      <w:r>
        <w:rPr>
          <w:rFonts w:ascii="Arial" w:cs="Arial" w:eastAsia="Arial" w:hAnsi="Arial"/>
          <w:sz w:val="18"/>
          <w:szCs w:val="18"/>
          <w:color w:val="auto"/>
        </w:rPr>
        <w:t>Sequentially, Digital revenue declined 22% due to seasonally lower activity following strong year-end digital sales in the fourth quarter of 2025.</w:t>
      </w:r>
    </w:p>
    <w:p>
      <w:pPr>
        <w:spacing w:after="0" w:line="154" w:lineRule="exact"/>
        <w:rPr>
          <w:sz w:val="20"/>
          <w:szCs w:val="20"/>
          <w:color w:val="auto"/>
        </w:rPr>
      </w:pPr>
    </w:p>
    <w:p>
      <w:pPr>
        <w:ind w:right="800"/>
        <w:spacing w:after="0" w:line="271" w:lineRule="auto"/>
        <w:rPr>
          <w:sz w:val="20"/>
          <w:szCs w:val="20"/>
          <w:color w:val="auto"/>
        </w:rPr>
      </w:pPr>
      <w:r>
        <w:rPr>
          <w:rFonts w:ascii="Arial" w:cs="Arial" w:eastAsia="Arial" w:hAnsi="Arial"/>
          <w:sz w:val="18"/>
          <w:szCs w:val="18"/>
          <w:color w:val="auto"/>
        </w:rPr>
        <w:t>ARR for the Digital Division as of March 31, 2026, was $1.02 billion, a 15% increase year on year compared to $890 million as of March 31, 2025.</w:t>
      </w:r>
    </w:p>
    <w:p>
      <w:pPr>
        <w:spacing w:after="0" w:line="154" w:lineRule="exact"/>
        <w:rPr>
          <w:sz w:val="20"/>
          <w:szCs w:val="20"/>
          <w:color w:val="auto"/>
        </w:rPr>
      </w:pPr>
    </w:p>
    <w:p>
      <w:pPr>
        <w:spacing w:after="0"/>
        <w:rPr>
          <w:sz w:val="20"/>
          <w:szCs w:val="20"/>
          <w:color w:val="auto"/>
        </w:rPr>
      </w:pPr>
      <w:r>
        <w:rPr>
          <w:rFonts w:ascii="Arial" w:cs="Arial" w:eastAsia="Arial" w:hAnsi="Arial"/>
          <w:sz w:val="18"/>
          <w:szCs w:val="18"/>
          <w:color w:val="auto"/>
        </w:rPr>
        <w:t>Digital pretax operating margin slightly declined 28 basis points (bps) year on year.</w:t>
      </w:r>
    </w:p>
    <w:p>
      <w:pPr>
        <w:spacing w:after="0" w:line="212" w:lineRule="exact"/>
        <w:rPr>
          <w:sz w:val="20"/>
          <w:szCs w:val="20"/>
          <w:color w:val="auto"/>
        </w:rPr>
      </w:pPr>
    </w:p>
    <w:p>
      <w:pPr>
        <w:spacing w:after="0"/>
        <w:rPr>
          <w:sz w:val="20"/>
          <w:szCs w:val="20"/>
          <w:color w:val="auto"/>
        </w:rPr>
      </w:pPr>
      <w:r>
        <w:rPr>
          <w:rFonts w:ascii="Arial" w:cs="Arial" w:eastAsia="Arial" w:hAnsi="Arial"/>
          <w:sz w:val="18"/>
          <w:szCs w:val="18"/>
          <w:color w:val="auto"/>
        </w:rPr>
        <w:t>Sequentially, first-quarter pretax operating margin contracted 13 percentage points reflecting seasonally lower digital sales.</w:t>
      </w:r>
    </w:p>
    <w:p>
      <w:pPr>
        <w:spacing w:after="0" w:line="212" w:lineRule="exact"/>
        <w:rPr>
          <w:sz w:val="20"/>
          <w:szCs w:val="20"/>
          <w:color w:val="auto"/>
        </w:rPr>
      </w:pPr>
    </w:p>
    <w:p>
      <w:pPr>
        <w:ind w:right="160"/>
        <w:spacing w:after="0" w:line="271" w:lineRule="auto"/>
        <w:rPr>
          <w:sz w:val="20"/>
          <w:szCs w:val="20"/>
          <w:color w:val="auto"/>
        </w:rPr>
      </w:pPr>
      <w:r>
        <w:rPr>
          <w:rFonts w:ascii="Arial" w:cs="Arial" w:eastAsia="Arial" w:hAnsi="Arial"/>
          <w:sz w:val="18"/>
          <w:szCs w:val="18"/>
          <w:color w:val="auto"/>
        </w:rPr>
        <w:t>Please refer to “Supplementary Information” (Question 10) for a description of the revenue categories comprising the Digital Division. For the definition of ARR, please refer to Question 11.</w:t>
      </w:r>
    </w:p>
    <w:p>
      <w:pPr>
        <w:sectPr>
          <w:pgSz w:w="11900" w:h="16838" w:orient="portrait"/>
          <w:cols w:equalWidth="0" w:num="1">
            <w:col w:w="11020"/>
          </w:cols>
          <w:pgMar w:left="440" w:top="279" w:right="439" w:bottom="1440" w:gutter="0" w:footer="0" w:header="0"/>
        </w:sectPr>
      </w:pPr>
    </w:p>
    <w:bookmarkStart w:id="11" w:name="page12"/>
    <w:bookmarkEnd w:id="11"/>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Reservoir Performance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75"/>
        </w:trPr>
        <w:tc>
          <w:tcPr>
            <w:tcW w:w="3960" w:type="dxa"/>
            <w:vAlign w:val="bottom"/>
          </w:tcPr>
          <w:p>
            <w:pPr>
              <w:spacing w:after="0"/>
              <w:rPr>
                <w:sz w:val="15"/>
                <w:szCs w:val="15"/>
                <w:color w:val="auto"/>
              </w:rPr>
            </w:pPr>
          </w:p>
        </w:tc>
        <w:tc>
          <w:tcPr>
            <w:tcW w:w="18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60" w:type="dxa"/>
            <w:vAlign w:val="bottom"/>
            <w:gridSpan w:val="7"/>
          </w:tcPr>
          <w:p>
            <w:pPr>
              <w:jc w:val="center"/>
              <w:ind w:left="25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4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960" w:type="dxa"/>
            <w:vAlign w:val="bottom"/>
          </w:tcPr>
          <w:p>
            <w:pPr>
              <w:spacing w:after="0"/>
              <w:rPr>
                <w:sz w:val="12"/>
                <w:szCs w:val="12"/>
                <w:color w:val="auto"/>
              </w:rPr>
            </w:pPr>
          </w:p>
        </w:tc>
        <w:tc>
          <w:tcPr>
            <w:tcW w:w="1880" w:type="dxa"/>
            <w:vAlign w:val="bottom"/>
          </w:tcPr>
          <w:p>
            <w:pPr>
              <w:spacing w:after="0"/>
              <w:rPr>
                <w:sz w:val="12"/>
                <w:szCs w:val="12"/>
                <w:color w:val="auto"/>
              </w:rPr>
            </w:pPr>
          </w:p>
        </w:tc>
        <w:tc>
          <w:tcPr>
            <w:tcW w:w="1020" w:type="dxa"/>
            <w:vAlign w:val="bottom"/>
            <w:tcBorders>
              <w:top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rPr>
              <w:t>Mar. 31,</w:t>
            </w:r>
          </w:p>
        </w:tc>
        <w:tc>
          <w:tcPr>
            <w:tcW w:w="8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60" w:type="dxa"/>
            <w:vAlign w:val="bottom"/>
          </w:tcPr>
          <w:p>
            <w:pPr>
              <w:spacing w:after="0"/>
              <w:rPr>
                <w:sz w:val="14"/>
                <w:szCs w:val="14"/>
                <w:color w:val="auto"/>
              </w:rPr>
            </w:pPr>
          </w:p>
        </w:tc>
        <w:tc>
          <w:tcPr>
            <w:tcW w:w="18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2025</w:t>
            </w:r>
          </w:p>
        </w:tc>
        <w:tc>
          <w:tcPr>
            <w:tcW w:w="400" w:type="dxa"/>
            <w:vAlign w:val="bottom"/>
          </w:tcPr>
          <w:p>
            <w:pPr>
              <w:spacing w:after="0"/>
              <w:rPr>
                <w:sz w:val="14"/>
                <w:szCs w:val="14"/>
                <w:color w:val="auto"/>
              </w:rPr>
            </w:pPr>
          </w:p>
        </w:tc>
        <w:tc>
          <w:tcPr>
            <w:tcW w:w="1180" w:type="dxa"/>
            <w:vAlign w:val="bottom"/>
            <w:gridSpan w:val="2"/>
          </w:tcPr>
          <w:p>
            <w:pPr>
              <w:jc w:val="right"/>
              <w:ind w:right="34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39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8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1,445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1,596</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1,557</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-7%</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143</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146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142</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3960" w:type="dxa"/>
            <w:vAlign w:val="bottom"/>
          </w:tcPr>
          <w:p>
            <w:pPr>
              <w:ind w:left="360"/>
              <w:spacing w:after="0"/>
              <w:rPr>
                <w:sz w:val="20"/>
                <w:szCs w:val="20"/>
                <w:color w:val="auto"/>
              </w:rPr>
            </w:pPr>
            <w:r>
              <w:rPr>
                <w:rFonts w:ascii="Arial" w:cs="Arial" w:eastAsia="Arial" w:hAnsi="Arial"/>
                <w:sz w:val="18"/>
                <w:szCs w:val="18"/>
                <w:color w:val="auto"/>
              </w:rPr>
              <w:t>Other</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6</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1</w:t>
            </w:r>
          </w:p>
        </w:tc>
        <w:tc>
          <w:tcPr>
            <w:tcW w:w="118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3960" w:type="dxa"/>
            <w:vAlign w:val="bottom"/>
          </w:tcPr>
          <w:p>
            <w:pPr>
              <w:spacing w:after="0"/>
              <w:rPr>
                <w:sz w:val="2"/>
                <w:szCs w:val="2"/>
                <w:color w:val="auto"/>
              </w:rPr>
            </w:pPr>
          </w:p>
        </w:tc>
        <w:tc>
          <w:tcPr>
            <w:tcW w:w="188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60" w:type="dxa"/>
            <w:vAlign w:val="bottom"/>
            <w:shd w:val="clear" w:color="auto" w:fill="CCEEFF"/>
          </w:tcPr>
          <w:p>
            <w:pPr>
              <w:spacing w:after="0"/>
              <w:rPr>
                <w:sz w:val="18"/>
                <w:szCs w:val="18"/>
                <w:color w:val="auto"/>
              </w:rPr>
            </w:pP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1,594</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1,748</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1,700</w:t>
            </w:r>
          </w:p>
        </w:tc>
        <w:tc>
          <w:tcPr>
            <w:tcW w:w="118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-9%</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396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8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60" w:type="dxa"/>
            <w:vAlign w:val="bottom"/>
            <w:vMerge w:val="continue"/>
          </w:tcPr>
          <w:p>
            <w:pPr>
              <w:spacing w:after="0"/>
              <w:rPr>
                <w:sz w:val="18"/>
                <w:szCs w:val="18"/>
                <w:color w:val="auto"/>
              </w:rPr>
            </w:pPr>
          </w:p>
        </w:tc>
        <w:tc>
          <w:tcPr>
            <w:tcW w:w="200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342</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282</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-25%</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-9%</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16.1%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19.6%</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16.6%</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-348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 bps</w:t>
            </w:r>
          </w:p>
        </w:tc>
        <w:tc>
          <w:tcPr>
            <w:tcW w:w="0" w:type="dxa"/>
            <w:vAlign w:val="bottom"/>
          </w:tcPr>
          <w:p>
            <w:pPr>
              <w:spacing w:after="0"/>
              <w:rPr>
                <w:sz w:val="1"/>
                <w:szCs w:val="1"/>
                <w:color w:val="auto"/>
              </w:rPr>
            </w:pPr>
          </w:p>
        </w:tc>
      </w:tr>
      <w:tr>
        <w:trPr>
          <w:trHeight w:val="216"/>
        </w:trPr>
        <w:tc>
          <w:tcPr>
            <w:tcW w:w="3960" w:type="dxa"/>
            <w:vAlign w:val="bottom"/>
          </w:tcPr>
          <w:p>
            <w:pPr>
              <w:spacing w:after="0"/>
              <w:rPr>
                <w:sz w:val="20"/>
                <w:szCs w:val="20"/>
                <w:color w:val="auto"/>
              </w:rPr>
            </w:pPr>
            <w:r>
              <w:rPr>
                <w:rFonts w:ascii="Arial" w:cs="Arial" w:eastAsia="Arial" w:hAnsi="Arial"/>
                <w:sz w:val="18"/>
                <w:szCs w:val="18"/>
                <w:color w:val="auto"/>
              </w:rPr>
              <w:t>Adjusted EBITDA*</w:t>
            </w:r>
          </w:p>
        </w:tc>
        <w:tc>
          <w:tcPr>
            <w:tcW w:w="18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369</w:t>
            </w: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456</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385</w:t>
            </w:r>
          </w:p>
        </w:tc>
        <w:tc>
          <w:tcPr>
            <w:tcW w:w="118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-4%</w:t>
            </w:r>
          </w:p>
        </w:tc>
        <w:tc>
          <w:tcPr>
            <w:tcW w:w="0" w:type="dxa"/>
            <w:vAlign w:val="bottom"/>
          </w:tcPr>
          <w:p>
            <w:pPr>
              <w:spacing w:after="0"/>
              <w:rPr>
                <w:sz w:val="1"/>
                <w:szCs w:val="1"/>
                <w:color w:val="auto"/>
              </w:rPr>
            </w:pPr>
          </w:p>
        </w:tc>
      </w:tr>
      <w:tr>
        <w:trPr>
          <w:trHeight w:val="216"/>
        </w:trPr>
        <w:tc>
          <w:tcPr>
            <w:tcW w:w="396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8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23.1%</w:t>
            </w: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26.1%</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22.7%</w:t>
            </w:r>
          </w:p>
        </w:tc>
        <w:tc>
          <w:tcPr>
            <w:tcW w:w="118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-297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47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485" w:lineRule="auto"/>
        <w:tabs>
          <w:tab w:leader="none" w:pos="220" w:val="left"/>
        </w:tabs>
        <w:numPr>
          <w:ilvl w:val="0"/>
          <w:numId w:val="9"/>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ind w:left="4" w:right="420"/>
        <w:spacing w:after="0" w:line="253" w:lineRule="auto"/>
        <w:rPr>
          <w:sz w:val="20"/>
          <w:szCs w:val="20"/>
          <w:color w:val="auto"/>
        </w:rPr>
      </w:pPr>
      <w:r>
        <w:rPr>
          <w:rFonts w:ascii="Arial" w:cs="Arial" w:eastAsia="Arial" w:hAnsi="Arial"/>
          <w:sz w:val="18"/>
          <w:szCs w:val="18"/>
          <w:color w:val="auto"/>
        </w:rPr>
        <w:t>Reservoir Performance revenue of $1.59 billion decreased 6% year on year due to lower stimulation and intervention activity primarily driven by operational disruptions caused by the Middle East conflict. Revenue in North America was steady while revenue in Latin America and Asia slightly increased.</w:t>
      </w:r>
    </w:p>
    <w:p>
      <w:pPr>
        <w:spacing w:after="0" w:line="169" w:lineRule="exact"/>
        <w:rPr>
          <w:sz w:val="20"/>
          <w:szCs w:val="20"/>
          <w:color w:val="auto"/>
        </w:rPr>
      </w:pPr>
    </w:p>
    <w:p>
      <w:pPr>
        <w:ind w:left="4" w:right="600"/>
        <w:spacing w:after="0" w:line="271" w:lineRule="auto"/>
        <w:rPr>
          <w:sz w:val="20"/>
          <w:szCs w:val="20"/>
          <w:color w:val="auto"/>
        </w:rPr>
      </w:pPr>
      <w:r>
        <w:rPr>
          <w:rFonts w:ascii="Arial" w:cs="Arial" w:eastAsia="Arial" w:hAnsi="Arial"/>
          <w:sz w:val="18"/>
          <w:szCs w:val="18"/>
          <w:color w:val="auto"/>
        </w:rPr>
        <w:t>Sequentially, revenue declined 9%, reflecting the combined effects of seasonally lower activity in Europe &amp; Africa and Asia, and the disruptions related to the Middle East conflict.</w:t>
      </w:r>
    </w:p>
    <w:p>
      <w:pPr>
        <w:spacing w:after="0" w:line="154" w:lineRule="exact"/>
        <w:rPr>
          <w:sz w:val="20"/>
          <w:szCs w:val="20"/>
          <w:color w:val="auto"/>
        </w:rPr>
      </w:pPr>
    </w:p>
    <w:p>
      <w:pPr>
        <w:ind w:left="4" w:right="420"/>
        <w:spacing w:after="0" w:line="271" w:lineRule="auto"/>
        <w:rPr>
          <w:sz w:val="20"/>
          <w:szCs w:val="20"/>
          <w:color w:val="auto"/>
        </w:rPr>
      </w:pPr>
      <w:r>
        <w:rPr>
          <w:rFonts w:ascii="Arial" w:cs="Arial" w:eastAsia="Arial" w:hAnsi="Arial"/>
          <w:sz w:val="18"/>
          <w:szCs w:val="18"/>
          <w:color w:val="auto"/>
        </w:rPr>
        <w:t>Reservoir Performance pretax operating margin of 16% contracted 47 bps year on year, reflecting lower profitability in stimulation and intervention, partially offset by higher profitability in evaluation.</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Sequentially, pretax operating margin contracted 348 bps due to seasonally lower activity and disruptions in the Middle East.</w:t>
      </w:r>
    </w:p>
    <w:p>
      <w:pPr>
        <w:sectPr>
          <w:pgSz w:w="11900" w:h="16838" w:orient="portrait"/>
          <w:cols w:equalWidth="0" w:num="1">
            <w:col w:w="11024"/>
          </w:cols>
          <w:pgMar w:left="436" w:top="269" w:right="439" w:bottom="1440" w:gutter="0" w:footer="0" w:header="0"/>
        </w:sectPr>
      </w:pPr>
    </w:p>
    <w:bookmarkStart w:id="12" w:name="page13"/>
    <w:bookmarkEnd w:id="12"/>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74865" cy="38735"/>
                    </a:xfrm>
                    <a:prstGeom prst="rect">
                      <a:avLst/>
                    </a:prstGeom>
                    <a:noFill/>
                  </pic:spPr>
                </pic:pic>
              </a:graphicData>
            </a:graphic>
          </wp:anchor>
        </w:drawing>
        <w:t>Well Construction</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46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8"/>
          </w:tcPr>
          <w:p>
            <w:pPr>
              <w:jc w:val="center"/>
              <w:ind w:left="234"/>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260" w:type="dxa"/>
            <w:vAlign w:val="bottom"/>
            <w:gridSpan w:val="4"/>
          </w:tcPr>
          <w:p>
            <w:pPr>
              <w:jc w:val="right"/>
              <w:ind w:right="98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5800" w:type="dxa"/>
            <w:vAlign w:val="bottom"/>
          </w:tcPr>
          <w:p>
            <w:pPr>
              <w:spacing w:after="0"/>
              <w:rPr>
                <w:sz w:val="12"/>
                <w:szCs w:val="12"/>
                <w:color w:val="auto"/>
              </w:rPr>
            </w:pPr>
          </w:p>
        </w:tc>
        <w:tc>
          <w:tcPr>
            <w:tcW w:w="900" w:type="dxa"/>
            <w:vAlign w:val="bottom"/>
            <w:tcBorders>
              <w:top w:val="single" w:sz="8" w:color="auto"/>
            </w:tcBorders>
            <w:gridSpan w:val="3"/>
          </w:tcPr>
          <w:p>
            <w:pPr>
              <w:jc w:val="center"/>
              <w:ind w:right="280"/>
              <w:spacing w:after="0" w:line="147" w:lineRule="exact"/>
              <w:rPr>
                <w:sz w:val="20"/>
                <w:szCs w:val="20"/>
                <w:color w:val="auto"/>
              </w:rPr>
            </w:pPr>
            <w:r>
              <w:rPr>
                <w:rFonts w:ascii="Arial" w:cs="Arial" w:eastAsia="Arial" w:hAnsi="Arial"/>
                <w:sz w:val="14"/>
                <w:szCs w:val="14"/>
                <w:b w:val="1"/>
                <w:bCs w:val="1"/>
                <w:color w:val="auto"/>
              </w:rPr>
              <w:t>Mar. 31,</w:t>
            </w:r>
          </w:p>
        </w:tc>
        <w:tc>
          <w:tcPr>
            <w:tcW w:w="12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8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4"/>
              <w:spacing w:after="0"/>
              <w:rPr>
                <w:sz w:val="20"/>
                <w:szCs w:val="20"/>
                <w:color w:val="auto"/>
              </w:rPr>
            </w:pPr>
            <w:r>
              <w:rPr>
                <w:rFonts w:ascii="Arial" w:cs="Arial" w:eastAsia="Arial" w:hAnsi="Arial"/>
                <w:sz w:val="14"/>
                <w:szCs w:val="14"/>
                <w:b w:val="1"/>
                <w:bCs w:val="1"/>
                <w:color w:val="auto"/>
              </w:rPr>
              <w:t>2026</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2025</w:t>
            </w: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2"/>
              <w:spacing w:after="0"/>
              <w:rPr>
                <w:sz w:val="20"/>
                <w:szCs w:val="20"/>
                <w:color w:val="auto"/>
              </w:rPr>
            </w:pPr>
            <w:r>
              <w:rPr>
                <w:rFonts w:ascii="Arial" w:cs="Arial" w:eastAsia="Arial" w:hAnsi="Arial"/>
                <w:sz w:val="14"/>
                <w:szCs w:val="14"/>
                <w:color w:val="auto"/>
                <w:w w:val="96"/>
              </w:rPr>
              <w:t>2025</w:t>
            </w:r>
          </w:p>
        </w:tc>
        <w:tc>
          <w:tcPr>
            <w:tcW w:w="4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580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2,195</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w w:val="97"/>
              </w:rPr>
              <w:t>2,329</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2,381</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-6%</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548</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rPr>
              <w:t>556</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541</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-2%</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w:t>
            </w:r>
          </w:p>
        </w:tc>
        <w:tc>
          <w:tcPr>
            <w:tcW w:w="0" w:type="dxa"/>
            <w:vAlign w:val="bottom"/>
          </w:tcPr>
          <w:p>
            <w:pPr>
              <w:spacing w:after="0"/>
              <w:rPr>
                <w:sz w:val="1"/>
                <w:szCs w:val="1"/>
                <w:color w:val="auto"/>
              </w:rPr>
            </w:pPr>
          </w:p>
        </w:tc>
      </w:tr>
      <w:tr>
        <w:trPr>
          <w:trHeight w:val="216"/>
        </w:trPr>
        <w:tc>
          <w:tcPr>
            <w:tcW w:w="580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64</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55</w:t>
            </w:r>
          </w:p>
        </w:tc>
        <w:tc>
          <w:tcPr>
            <w:tcW w:w="1200" w:type="dxa"/>
            <w:vAlign w:val="bottom"/>
            <w:gridSpan w:val="2"/>
          </w:tcPr>
          <w:p>
            <w:pPr>
              <w:jc w:val="right"/>
              <w:ind w:right="32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8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80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b w:val="1"/>
                <w:bCs w:val="1"/>
                <w:color w:val="auto"/>
              </w:rPr>
              <w:t>2,797</w:t>
            </w:r>
          </w:p>
        </w:tc>
        <w:tc>
          <w:tcPr>
            <w:tcW w:w="22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79"/>
              </w:rPr>
              <w:t>$</w:t>
            </w:r>
          </w:p>
        </w:tc>
        <w:tc>
          <w:tcPr>
            <w:tcW w:w="740" w:type="dxa"/>
            <w:vAlign w:val="bottom"/>
            <w:gridSpan w:val="2"/>
            <w:shd w:val="clear" w:color="auto" w:fill="CCEEFF"/>
          </w:tcPr>
          <w:p>
            <w:pPr>
              <w:jc w:val="right"/>
              <w:ind w:right="280"/>
              <w:spacing w:after="0"/>
              <w:rPr>
                <w:sz w:val="20"/>
                <w:szCs w:val="20"/>
                <w:color w:val="auto"/>
              </w:rPr>
            </w:pPr>
            <w:r>
              <w:rPr>
                <w:rFonts w:ascii="Arial" w:cs="Arial" w:eastAsia="Arial" w:hAnsi="Arial"/>
                <w:sz w:val="18"/>
                <w:szCs w:val="18"/>
                <w:color w:val="auto"/>
                <w:w w:val="97"/>
              </w:rPr>
              <w:t>2,949</w:t>
            </w:r>
          </w:p>
        </w:tc>
        <w:tc>
          <w:tcPr>
            <w:tcW w:w="240" w:type="dxa"/>
            <w:vAlign w:val="bottom"/>
            <w:gridSpan w:val="2"/>
            <w:shd w:val="clear" w:color="auto" w:fill="CCEEFF"/>
          </w:tcPr>
          <w:p>
            <w:pPr>
              <w:ind w:left="120"/>
              <w:spacing w:after="0"/>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2,977</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-5%</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0"/>
        </w:trPr>
        <w:tc>
          <w:tcPr>
            <w:tcW w:w="580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80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424</w:t>
            </w:r>
          </w:p>
        </w:tc>
        <w:tc>
          <w:tcPr>
            <w:tcW w:w="220" w:type="dxa"/>
            <w:vAlign w:val="bottom"/>
            <w:gridSpan w:val="2"/>
          </w:tcPr>
          <w:p>
            <w:pPr>
              <w:ind w:left="120"/>
              <w:spacing w:after="0"/>
              <w:rPr>
                <w:sz w:val="20"/>
                <w:szCs w:val="20"/>
                <w:color w:val="auto"/>
              </w:rPr>
            </w:pPr>
            <w:r>
              <w:rPr>
                <w:rFonts w:ascii="Arial" w:cs="Arial" w:eastAsia="Arial" w:hAnsi="Arial"/>
                <w:sz w:val="18"/>
                <w:szCs w:val="18"/>
                <w:color w:val="auto"/>
                <w:w w:val="79"/>
              </w:rPr>
              <w:t>$</w:t>
            </w: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550</w:t>
            </w:r>
          </w:p>
        </w:tc>
        <w:tc>
          <w:tcPr>
            <w:tcW w:w="240" w:type="dxa"/>
            <w:vAlign w:val="bottom"/>
            <w:gridSpan w:val="2"/>
          </w:tcPr>
          <w:p>
            <w:pPr>
              <w:ind w:left="120"/>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589</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-23%</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-28%</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15.2%</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-350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-463 bps</w:t>
            </w:r>
          </w:p>
        </w:tc>
        <w:tc>
          <w:tcPr>
            <w:tcW w:w="0" w:type="dxa"/>
            <w:vAlign w:val="bottom"/>
          </w:tcPr>
          <w:p>
            <w:pPr>
              <w:spacing w:after="0"/>
              <w:rPr>
                <w:sz w:val="1"/>
                <w:szCs w:val="1"/>
                <w:color w:val="auto"/>
              </w:rPr>
            </w:pPr>
          </w:p>
        </w:tc>
      </w:tr>
      <w:tr>
        <w:trPr>
          <w:trHeight w:val="216"/>
        </w:trPr>
        <w:tc>
          <w:tcPr>
            <w:tcW w:w="580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8"/>
                <w:szCs w:val="18"/>
                <w:color w:val="auto"/>
              </w:rPr>
            </w:pPr>
          </w:p>
        </w:tc>
        <w:tc>
          <w:tcPr>
            <w:tcW w:w="780" w:type="dxa"/>
            <w:vAlign w:val="bottom"/>
            <w:gridSpan w:val="2"/>
          </w:tcPr>
          <w:p>
            <w:pPr>
              <w:jc w:val="right"/>
              <w:ind w:right="280"/>
              <w:spacing w:after="0"/>
              <w:rPr>
                <w:sz w:val="20"/>
                <w:szCs w:val="20"/>
                <w:color w:val="auto"/>
              </w:rPr>
            </w:pPr>
            <w:r>
              <w:rPr>
                <w:rFonts w:ascii="Arial" w:cs="Arial" w:eastAsia="Arial" w:hAnsi="Arial"/>
                <w:sz w:val="18"/>
                <w:szCs w:val="18"/>
                <w:b w:val="1"/>
                <w:bCs w:val="1"/>
                <w:color w:val="auto"/>
              </w:rPr>
              <w:t>584</w:t>
            </w: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40" w:type="dxa"/>
            <w:vAlign w:val="bottom"/>
            <w:gridSpan w:val="2"/>
          </w:tcPr>
          <w:p>
            <w:pPr>
              <w:jc w:val="right"/>
              <w:ind w:right="280"/>
              <w:spacing w:after="0"/>
              <w:rPr>
                <w:sz w:val="20"/>
                <w:szCs w:val="20"/>
                <w:color w:val="auto"/>
              </w:rPr>
            </w:pPr>
            <w:r>
              <w:rPr>
                <w:rFonts w:ascii="Arial" w:cs="Arial" w:eastAsia="Arial" w:hAnsi="Arial"/>
                <w:sz w:val="18"/>
                <w:szCs w:val="18"/>
                <w:color w:val="auto"/>
              </w:rPr>
              <w:t>719</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753</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-19%</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-22%</w:t>
            </w:r>
          </w:p>
        </w:tc>
        <w:tc>
          <w:tcPr>
            <w:tcW w:w="0" w:type="dxa"/>
            <w:vAlign w:val="bottom"/>
          </w:tcPr>
          <w:p>
            <w:pPr>
              <w:spacing w:after="0"/>
              <w:rPr>
                <w:sz w:val="1"/>
                <w:szCs w:val="1"/>
                <w:color w:val="auto"/>
              </w:rPr>
            </w:pPr>
          </w:p>
        </w:tc>
      </w:tr>
      <w:tr>
        <w:trPr>
          <w:trHeight w:val="216"/>
        </w:trPr>
        <w:tc>
          <w:tcPr>
            <w:tcW w:w="58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8"/>
                <w:szCs w:val="18"/>
                <w:color w:val="auto"/>
              </w:rPr>
            </w:pPr>
          </w:p>
        </w:tc>
        <w:tc>
          <w:tcPr>
            <w:tcW w:w="7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b w:val="1"/>
                <w:bCs w:val="1"/>
                <w:color w:val="auto"/>
              </w:rPr>
              <w:t>20.9%</w:t>
            </w:r>
          </w:p>
        </w:tc>
        <w:tc>
          <w:tcPr>
            <w:tcW w:w="1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24.4%</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25.3%</w:t>
            </w: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-351 bps</w:t>
            </w:r>
          </w:p>
        </w:tc>
        <w:tc>
          <w:tcPr>
            <w:tcW w:w="10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-440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485" w:lineRule="auto"/>
        <w:tabs>
          <w:tab w:leader="none" w:pos="220" w:val="left"/>
        </w:tabs>
        <w:numPr>
          <w:ilvl w:val="0"/>
          <w:numId w:val="10"/>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ind w:left="4" w:right="60"/>
        <w:spacing w:after="0" w:line="271" w:lineRule="auto"/>
        <w:rPr>
          <w:sz w:val="20"/>
          <w:szCs w:val="20"/>
          <w:color w:val="auto"/>
        </w:rPr>
      </w:pPr>
      <w:r>
        <w:rPr>
          <w:rFonts w:ascii="Arial" w:cs="Arial" w:eastAsia="Arial" w:hAnsi="Arial"/>
          <w:sz w:val="18"/>
          <w:szCs w:val="18"/>
          <w:color w:val="auto"/>
        </w:rPr>
        <w:t>Well Construction revenue of $2.80 billion decreased 6% year on year primarily from lower activity due to the Middle East conflict, partially offset by higher offshore drilling activity in Europe &amp; Africa, Latin America and North America.</w:t>
      </w:r>
    </w:p>
    <w:p>
      <w:pPr>
        <w:spacing w:after="0" w:line="154" w:lineRule="exact"/>
        <w:rPr>
          <w:sz w:val="20"/>
          <w:szCs w:val="20"/>
          <w:color w:val="auto"/>
        </w:rPr>
      </w:pPr>
    </w:p>
    <w:p>
      <w:pPr>
        <w:ind w:left="4" w:right="740"/>
        <w:spacing w:after="0" w:line="271" w:lineRule="auto"/>
        <w:rPr>
          <w:sz w:val="20"/>
          <w:szCs w:val="20"/>
          <w:color w:val="auto"/>
        </w:rPr>
      </w:pPr>
      <w:r>
        <w:rPr>
          <w:rFonts w:ascii="Arial" w:cs="Arial" w:eastAsia="Arial" w:hAnsi="Arial"/>
          <w:sz w:val="18"/>
          <w:szCs w:val="18"/>
          <w:color w:val="auto"/>
        </w:rPr>
        <w:t>Sequentially, revenue declined 5% reflecting the combined effect of seasonally lower activity in Europe &amp; Africa and Asia, and the disruptions related to the Middle East conflict, partially offset by higher offshore drilling activity in Latin America.</w:t>
      </w:r>
    </w:p>
    <w:p>
      <w:pPr>
        <w:spacing w:after="0" w:line="154" w:lineRule="exact"/>
        <w:rPr>
          <w:sz w:val="20"/>
          <w:szCs w:val="20"/>
          <w:color w:val="auto"/>
        </w:rPr>
      </w:pPr>
    </w:p>
    <w:p>
      <w:pPr>
        <w:ind w:left="4" w:right="100"/>
        <w:spacing w:after="0" w:line="271" w:lineRule="auto"/>
        <w:rPr>
          <w:sz w:val="20"/>
          <w:szCs w:val="20"/>
          <w:color w:val="auto"/>
        </w:rPr>
      </w:pPr>
      <w:r>
        <w:rPr>
          <w:rFonts w:ascii="Arial" w:cs="Arial" w:eastAsia="Arial" w:hAnsi="Arial"/>
          <w:sz w:val="18"/>
          <w:szCs w:val="18"/>
          <w:color w:val="auto"/>
        </w:rPr>
        <w:t>Well Construction pretax operating margin of 15% contracted 463 bps year on year mainly from lower profitability as a result of the Middle East conflict, compounded by pricing headwinds in select markets.</w:t>
      </w:r>
    </w:p>
    <w:p>
      <w:pPr>
        <w:spacing w:after="0" w:line="154" w:lineRule="exact"/>
        <w:rPr>
          <w:sz w:val="20"/>
          <w:szCs w:val="20"/>
          <w:color w:val="auto"/>
        </w:rPr>
      </w:pPr>
    </w:p>
    <w:p>
      <w:pPr>
        <w:ind w:left="4"/>
        <w:spacing w:after="0"/>
        <w:rPr>
          <w:sz w:val="20"/>
          <w:szCs w:val="20"/>
          <w:color w:val="auto"/>
        </w:rPr>
      </w:pPr>
      <w:r>
        <w:rPr>
          <w:rFonts w:ascii="Arial" w:cs="Arial" w:eastAsia="Arial" w:hAnsi="Arial"/>
          <w:sz w:val="18"/>
          <w:szCs w:val="18"/>
          <w:color w:val="auto"/>
        </w:rPr>
        <w:t>Sequentially, pretax operating margin contracted 350 bps due to seasonally lower activity and disruptions in the Middle East.</w:t>
      </w:r>
    </w:p>
    <w:p>
      <w:pPr>
        <w:sectPr>
          <w:pgSz w:w="11900" w:h="16838" w:orient="portrait"/>
          <w:cols w:equalWidth="0" w:num="1">
            <w:col w:w="11024"/>
          </w:cols>
          <w:pgMar w:left="436" w:top="269" w:right="439" w:bottom="1440" w:gutter="0" w:footer="0" w:header="0"/>
        </w:sectPr>
      </w:pPr>
    </w:p>
    <w:bookmarkStart w:id="13" w:name="page14"/>
    <w:bookmarkEnd w:id="1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74865" cy="38735"/>
                    </a:xfrm>
                    <a:prstGeom prst="rect">
                      <a:avLst/>
                    </a:prstGeom>
                    <a:noFill/>
                  </pic:spPr>
                </pic:pic>
              </a:graphicData>
            </a:graphic>
          </wp:anchor>
        </w:drawing>
        <w:t>Production Systems</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5240" w:type="dxa"/>
            <w:vAlign w:val="bottom"/>
          </w:tcPr>
          <w:p>
            <w:pPr>
              <w:spacing w:after="0"/>
              <w:rPr>
                <w:sz w:val="20"/>
                <w:szCs w:val="20"/>
                <w:color w:val="auto"/>
              </w:rPr>
            </w:pPr>
            <w:r>
              <w:rPr>
                <w:rFonts w:ascii="Arial" w:cs="Arial" w:eastAsia="Arial" w:hAnsi="Arial"/>
                <w:sz w:val="14"/>
                <w:szCs w:val="14"/>
                <w:b w:val="1"/>
                <w:bCs w:val="1"/>
                <w:color w:val="auto"/>
              </w:rPr>
              <w:t>As reported</w:t>
            </w: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480" w:type="dxa"/>
            <w:vAlign w:val="bottom"/>
            <w:gridSpan w:val="4"/>
          </w:tcPr>
          <w:p>
            <w:pPr>
              <w:jc w:val="center"/>
              <w:ind w:right="60"/>
              <w:spacing w:after="0"/>
              <w:rPr>
                <w:sz w:val="20"/>
                <w:szCs w:val="20"/>
                <w:color w:val="auto"/>
              </w:rPr>
            </w:pPr>
            <w:r>
              <w:rPr>
                <w:rFonts w:ascii="Arial" w:cs="Arial" w:eastAsia="Arial" w:hAnsi="Arial"/>
                <w:sz w:val="14"/>
                <w:szCs w:val="14"/>
                <w:b w:val="1"/>
                <w:bCs w:val="1"/>
                <w:color w:val="auto"/>
              </w:rPr>
              <w:t>Three Months Ended</w:t>
            </w: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700" w:type="dxa"/>
            <w:vAlign w:val="bottom"/>
            <w:gridSpan w:val="3"/>
          </w:tcPr>
          <w:p>
            <w:pPr>
              <w:jc w:val="right"/>
              <w:ind w:right="1180"/>
              <w:spacing w:after="0"/>
              <w:rPr>
                <w:sz w:val="20"/>
                <w:szCs w:val="20"/>
                <w:color w:val="auto"/>
              </w:rPr>
            </w:pPr>
            <w:r>
              <w:rPr>
                <w:rFonts w:ascii="Arial" w:cs="Arial" w:eastAsia="Arial" w:hAnsi="Arial"/>
                <w:sz w:val="14"/>
                <w:szCs w:val="14"/>
                <w:b w:val="1"/>
                <w:bCs w:val="1"/>
                <w:color w:val="auto"/>
                <w:w w:val="97"/>
              </w:rPr>
              <w:t>Change</w:t>
            </w:r>
          </w:p>
        </w:tc>
        <w:tc>
          <w:tcPr>
            <w:tcW w:w="0" w:type="dxa"/>
            <w:vAlign w:val="bottom"/>
          </w:tcPr>
          <w:p>
            <w:pPr>
              <w:spacing w:after="0"/>
              <w:rPr>
                <w:sz w:val="1"/>
                <w:szCs w:val="1"/>
                <w:color w:val="auto"/>
              </w:rPr>
            </w:pPr>
          </w:p>
        </w:tc>
      </w:tr>
      <w:tr>
        <w:trPr>
          <w:trHeight w:val="146"/>
        </w:trPr>
        <w:tc>
          <w:tcPr>
            <w:tcW w:w="5240" w:type="dxa"/>
            <w:vAlign w:val="bottom"/>
          </w:tcPr>
          <w:p>
            <w:pPr>
              <w:spacing w:after="0"/>
              <w:rPr>
                <w:sz w:val="12"/>
                <w:szCs w:val="12"/>
                <w:color w:val="auto"/>
              </w:rPr>
            </w:pPr>
          </w:p>
        </w:tc>
        <w:tc>
          <w:tcPr>
            <w:tcW w:w="1080" w:type="dxa"/>
            <w:vAlign w:val="bottom"/>
            <w:tcBorders>
              <w:top w:val="single" w:sz="8" w:color="auto"/>
            </w:tcBorders>
            <w:gridSpan w:val="3"/>
          </w:tcPr>
          <w:p>
            <w:pPr>
              <w:jc w:val="right"/>
              <w:ind w:right="448"/>
              <w:spacing w:after="0" w:line="147" w:lineRule="exact"/>
              <w:rPr>
                <w:sz w:val="20"/>
                <w:szCs w:val="20"/>
                <w:color w:val="auto"/>
              </w:rPr>
            </w:pPr>
            <w:r>
              <w:rPr>
                <w:rFonts w:ascii="Arial" w:cs="Arial" w:eastAsia="Arial" w:hAnsi="Arial"/>
                <w:sz w:val="14"/>
                <w:szCs w:val="14"/>
                <w:b w:val="1"/>
                <w:bCs w:val="1"/>
                <w:color w:val="auto"/>
              </w:rPr>
              <w:t>Mar. 31,</w:t>
            </w:r>
          </w:p>
        </w:tc>
        <w:tc>
          <w:tcPr>
            <w:tcW w:w="102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56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60" w:type="dxa"/>
            <w:vAlign w:val="bottom"/>
          </w:tcPr>
          <w:p>
            <w:pPr>
              <w:spacing w:after="0"/>
              <w:rPr>
                <w:sz w:val="12"/>
                <w:szCs w:val="12"/>
                <w:color w:val="auto"/>
              </w:rPr>
            </w:pPr>
          </w:p>
        </w:tc>
        <w:tc>
          <w:tcPr>
            <w:tcW w:w="78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280" w:type="dxa"/>
            <w:vAlign w:val="bottom"/>
            <w:tcBorders>
              <w:top w:val="single" w:sz="8" w:color="auto"/>
            </w:tcBorders>
          </w:tcPr>
          <w:p>
            <w:pPr>
              <w:spacing w:after="0"/>
              <w:rPr>
                <w:sz w:val="12"/>
                <w:szCs w:val="12"/>
                <w:color w:val="auto"/>
              </w:rPr>
            </w:pPr>
          </w:p>
        </w:tc>
        <w:tc>
          <w:tcPr>
            <w:tcW w:w="120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52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72"/>
              <w:spacing w:after="0"/>
              <w:rPr>
                <w:sz w:val="20"/>
                <w:szCs w:val="20"/>
                <w:color w:val="auto"/>
              </w:rPr>
            </w:pPr>
            <w:r>
              <w:rPr>
                <w:rFonts w:ascii="Arial" w:cs="Arial" w:eastAsia="Arial" w:hAnsi="Arial"/>
                <w:sz w:val="14"/>
                <w:szCs w:val="14"/>
                <w:b w:val="1"/>
                <w:bCs w:val="1"/>
                <w:color w:val="auto"/>
              </w:rPr>
              <w:t>2026</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2025</w:t>
            </w: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2"/>
              <w:spacing w:after="0"/>
              <w:rPr>
                <w:sz w:val="20"/>
                <w:szCs w:val="20"/>
                <w:color w:val="auto"/>
              </w:rPr>
            </w:pPr>
            <w:r>
              <w:rPr>
                <w:rFonts w:ascii="Arial" w:cs="Arial" w:eastAsia="Arial" w:hAnsi="Arial"/>
                <w:sz w:val="14"/>
                <w:szCs w:val="14"/>
                <w:color w:val="auto"/>
              </w:rPr>
              <w:t>2025</w:t>
            </w:r>
          </w:p>
        </w:tc>
        <w:tc>
          <w:tcPr>
            <w:tcW w:w="460" w:type="dxa"/>
            <w:vAlign w:val="bottom"/>
          </w:tcPr>
          <w:p>
            <w:pPr>
              <w:spacing w:after="0"/>
              <w:rPr>
                <w:sz w:val="14"/>
                <w:szCs w:val="14"/>
                <w:color w:val="auto"/>
              </w:rPr>
            </w:pPr>
          </w:p>
        </w:tc>
        <w:tc>
          <w:tcPr>
            <w:tcW w:w="960" w:type="dxa"/>
            <w:vAlign w:val="bottom"/>
            <w:gridSpan w:val="2"/>
          </w:tcPr>
          <w:p>
            <w:pPr>
              <w:jc w:val="right"/>
              <w:ind w:right="200"/>
              <w:spacing w:after="0"/>
              <w:rPr>
                <w:sz w:val="20"/>
                <w:szCs w:val="20"/>
                <w:color w:val="auto"/>
              </w:rPr>
            </w:pPr>
            <w:r>
              <w:rPr>
                <w:rFonts w:ascii="Arial" w:cs="Arial" w:eastAsia="Arial" w:hAnsi="Arial"/>
                <w:sz w:val="14"/>
                <w:szCs w:val="14"/>
                <w:b w:val="1"/>
                <w:bCs w:val="1"/>
                <w:color w:val="auto"/>
              </w:rPr>
              <w:t>Sequential</w:t>
            </w:r>
          </w:p>
        </w:tc>
        <w:tc>
          <w:tcPr>
            <w:tcW w:w="280" w:type="dxa"/>
            <w:vAlign w:val="bottom"/>
          </w:tcPr>
          <w:p>
            <w:pPr>
              <w:spacing w:after="0"/>
              <w:rPr>
                <w:sz w:val="14"/>
                <w:szCs w:val="14"/>
                <w:color w:val="auto"/>
              </w:rPr>
            </w:pPr>
          </w:p>
        </w:tc>
        <w:tc>
          <w:tcPr>
            <w:tcW w:w="1420" w:type="dxa"/>
            <w:vAlign w:val="bottom"/>
            <w:gridSpan w:val="2"/>
          </w:tcPr>
          <w:p>
            <w:pPr>
              <w:jc w:val="right"/>
              <w:ind w:right="400"/>
              <w:spacing w:after="0"/>
              <w:rPr>
                <w:sz w:val="20"/>
                <w:szCs w:val="20"/>
                <w:color w:val="auto"/>
              </w:rPr>
            </w:pPr>
            <w:r>
              <w:rPr>
                <w:rFonts w:ascii="Arial" w:cs="Arial" w:eastAsia="Arial" w:hAnsi="Arial"/>
                <w:sz w:val="14"/>
                <w:szCs w:val="14"/>
                <w:color w:val="auto"/>
              </w:rPr>
              <w:t>Year-on-year</w:t>
            </w:r>
          </w:p>
        </w:tc>
        <w:tc>
          <w:tcPr>
            <w:tcW w:w="0" w:type="dxa"/>
            <w:vAlign w:val="bottom"/>
          </w:tcPr>
          <w:p>
            <w:pPr>
              <w:spacing w:after="0"/>
              <w:rPr>
                <w:sz w:val="1"/>
                <w:szCs w:val="1"/>
                <w:color w:val="auto"/>
              </w:rPr>
            </w:pPr>
          </w:p>
        </w:tc>
      </w:tr>
      <w:tr>
        <w:trPr>
          <w:trHeight w:val="196"/>
        </w:trPr>
        <w:tc>
          <w:tcPr>
            <w:tcW w:w="52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CCEEFF"/>
            </w:tcBorders>
            <w:shd w:val="clear" w:color="auto" w:fill="CCEEFF"/>
          </w:tcPr>
          <w:p>
            <w:pPr>
              <w:spacing w:after="0"/>
              <w:rPr>
                <w:sz w:val="17"/>
                <w:szCs w:val="17"/>
                <w:color w:val="auto"/>
              </w:rPr>
            </w:pPr>
          </w:p>
        </w:tc>
        <w:tc>
          <w:tcPr>
            <w:tcW w:w="780" w:type="dxa"/>
            <w:vAlign w:val="bottom"/>
            <w:tcBorders>
              <w:top w:val="single" w:sz="8" w:color="auto"/>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CCEEFF"/>
            </w:tcBorders>
            <w:shd w:val="clear" w:color="auto" w:fill="CCEEFF"/>
          </w:tcPr>
          <w:p>
            <w:pPr>
              <w:spacing w:after="0"/>
              <w:rPr>
                <w:sz w:val="17"/>
                <w:szCs w:val="17"/>
                <w:color w:val="auto"/>
              </w:rPr>
            </w:pPr>
          </w:p>
        </w:tc>
        <w:tc>
          <w:tcPr>
            <w:tcW w:w="120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2,272</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2,853</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w w:val="97"/>
              </w:rPr>
              <w:t>2,166</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America</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388"/>
              <w:spacing w:after="0"/>
              <w:rPr>
                <w:sz w:val="20"/>
                <w:szCs w:val="20"/>
                <w:color w:val="auto"/>
              </w:rPr>
            </w:pPr>
            <w:r>
              <w:rPr>
                <w:rFonts w:ascii="Arial" w:cs="Arial" w:eastAsia="Arial" w:hAnsi="Arial"/>
                <w:sz w:val="18"/>
                <w:szCs w:val="18"/>
                <w:b w:val="1"/>
                <w:bCs w:val="1"/>
                <w:color w:val="auto"/>
              </w:rPr>
              <w:t>1,206</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1,200</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rPr>
              <w:t>671</w:t>
            </w:r>
          </w:p>
        </w:tc>
        <w:tc>
          <w:tcPr>
            <w:tcW w:w="96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b w:val="1"/>
                <w:bCs w:val="1"/>
                <w:color w:val="auto"/>
              </w:rPr>
              <w:t>— </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80%</w:t>
            </w:r>
          </w:p>
        </w:tc>
        <w:tc>
          <w:tcPr>
            <w:tcW w:w="0" w:type="dxa"/>
            <w:vAlign w:val="bottom"/>
          </w:tcPr>
          <w:p>
            <w:pPr>
              <w:spacing w:after="0"/>
              <w:rPr>
                <w:sz w:val="1"/>
                <w:szCs w:val="1"/>
                <w:color w:val="auto"/>
              </w:rPr>
            </w:pPr>
          </w:p>
        </w:tc>
      </w:tr>
      <w:tr>
        <w:trPr>
          <w:trHeight w:val="216"/>
        </w:trPr>
        <w:tc>
          <w:tcPr>
            <w:tcW w:w="5240" w:type="dxa"/>
            <w:vAlign w:val="bottom"/>
          </w:tcPr>
          <w:p>
            <w:pPr>
              <w:ind w:left="360"/>
              <w:spacing w:after="0"/>
              <w:rPr>
                <w:sz w:val="20"/>
                <w:szCs w:val="20"/>
                <w:color w:val="auto"/>
              </w:rPr>
            </w:pPr>
            <w:r>
              <w:rPr>
                <w:rFonts w:ascii="Arial" w:cs="Arial" w:eastAsia="Arial" w:hAnsi="Arial"/>
                <w:sz w:val="18"/>
                <w:szCs w:val="18"/>
                <w:color w:val="auto"/>
              </w:rPr>
              <w:t>Other</w:t>
            </w:r>
          </w:p>
        </w:tc>
        <w:tc>
          <w:tcPr>
            <w:tcW w:w="120" w:type="dxa"/>
            <w:vAlign w:val="bottom"/>
          </w:tcPr>
          <w:p>
            <w:pPr>
              <w:spacing w:after="0"/>
              <w:rPr>
                <w:sz w:val="18"/>
                <w:szCs w:val="18"/>
                <w:color w:val="auto"/>
              </w:rPr>
            </w:pPr>
          </w:p>
        </w:tc>
        <w:tc>
          <w:tcPr>
            <w:tcW w:w="500" w:type="dxa"/>
            <w:vAlign w:val="bottom"/>
          </w:tcPr>
          <w:p>
            <w:pPr>
              <w:jc w:val="right"/>
              <w:spacing w:after="0"/>
              <w:rPr>
                <w:sz w:val="20"/>
                <w:szCs w:val="20"/>
                <w:color w:val="auto"/>
              </w:rPr>
            </w:pPr>
            <w:r>
              <w:rPr>
                <w:rFonts w:ascii="Arial" w:cs="Arial" w:eastAsia="Arial" w:hAnsi="Arial"/>
                <w:sz w:val="18"/>
                <w:szCs w:val="18"/>
                <w:b w:val="1"/>
                <w:bCs w:val="1"/>
                <w:color w:val="auto"/>
              </w:rPr>
              <w:t>30</w:t>
            </w:r>
          </w:p>
        </w:tc>
        <w:tc>
          <w:tcPr>
            <w:tcW w:w="460" w:type="dxa"/>
            <w:vAlign w:val="bottom"/>
          </w:tcPr>
          <w:p>
            <w:pPr>
              <w:spacing w:after="0"/>
              <w:rPr>
                <w:sz w:val="18"/>
                <w:szCs w:val="18"/>
                <w:color w:val="auto"/>
              </w:rPr>
            </w:pP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25</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4</w:t>
            </w:r>
          </w:p>
        </w:tc>
        <w:tc>
          <w:tcPr>
            <w:tcW w:w="960" w:type="dxa"/>
            <w:vAlign w:val="bottom"/>
            <w:gridSpan w:val="2"/>
          </w:tcPr>
          <w:p>
            <w:pPr>
              <w:jc w:val="right"/>
              <w:ind w:right="180"/>
              <w:spacing w:after="0"/>
              <w:rPr>
                <w:sz w:val="20"/>
                <w:szCs w:val="20"/>
                <w:color w:val="auto"/>
              </w:rPr>
            </w:pPr>
            <w:r>
              <w:rPr>
                <w:rFonts w:ascii="Arial" w:cs="Arial" w:eastAsia="Arial" w:hAnsi="Arial"/>
                <w:sz w:val="18"/>
                <w:szCs w:val="18"/>
                <w:b w:val="1"/>
                <w:bCs w:val="1"/>
                <w:color w:val="auto"/>
              </w:rPr>
              <w:t>n/m</w:t>
            </w:r>
          </w:p>
        </w:tc>
        <w:tc>
          <w:tcPr>
            <w:tcW w:w="280" w:type="dxa"/>
            <w:vAlign w:val="bottom"/>
          </w:tcPr>
          <w:p>
            <w:pPr>
              <w:spacing w:after="0"/>
              <w:rPr>
                <w:sz w:val="18"/>
                <w:szCs w:val="18"/>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c>
          <w:tcPr>
            <w:tcW w:w="0" w:type="dxa"/>
            <w:vAlign w:val="bottom"/>
          </w:tcPr>
          <w:p>
            <w:pPr>
              <w:spacing w:after="0"/>
              <w:rPr>
                <w:sz w:val="1"/>
                <w:szCs w:val="1"/>
                <w:color w:val="auto"/>
              </w:rPr>
            </w:pPr>
          </w:p>
        </w:tc>
      </w:tr>
      <w:tr>
        <w:trPr>
          <w:trHeight w:val="27"/>
        </w:trPr>
        <w:tc>
          <w:tcPr>
            <w:tcW w:w="524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tcPr>
          <w:p>
            <w:pPr>
              <w:spacing w:after="0"/>
              <w:rPr>
                <w:sz w:val="2"/>
                <w:szCs w:val="2"/>
                <w:color w:val="auto"/>
              </w:rPr>
            </w:pPr>
          </w:p>
        </w:tc>
        <w:tc>
          <w:tcPr>
            <w:tcW w:w="120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524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5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3,508</w:t>
            </w:r>
          </w:p>
        </w:tc>
        <w:tc>
          <w:tcPr>
            <w:tcW w:w="4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4,078</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920" w:type="dxa"/>
            <w:vAlign w:val="bottom"/>
            <w:gridSpan w:val="2"/>
            <w:shd w:val="clear" w:color="auto" w:fill="CCEEFF"/>
          </w:tcPr>
          <w:p>
            <w:pPr>
              <w:jc w:val="right"/>
              <w:ind w:right="460"/>
              <w:spacing w:after="0"/>
              <w:rPr>
                <w:sz w:val="20"/>
                <w:szCs w:val="20"/>
                <w:color w:val="auto"/>
              </w:rPr>
            </w:pPr>
            <w:r>
              <w:rPr>
                <w:rFonts w:ascii="Arial" w:cs="Arial" w:eastAsia="Arial" w:hAnsi="Arial"/>
                <w:sz w:val="18"/>
                <w:szCs w:val="18"/>
                <w:color w:val="auto"/>
                <w:w w:val="97"/>
              </w:rPr>
              <w:t>2,841</w:t>
            </w:r>
          </w:p>
        </w:tc>
        <w:tc>
          <w:tcPr>
            <w:tcW w:w="96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-14%</w:t>
            </w:r>
          </w:p>
        </w:tc>
        <w:tc>
          <w:tcPr>
            <w:tcW w:w="17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color w:val="auto"/>
              </w:rPr>
              <w:t>23%</w:t>
            </w:r>
          </w:p>
        </w:tc>
        <w:tc>
          <w:tcPr>
            <w:tcW w:w="0" w:type="dxa"/>
            <w:vAlign w:val="bottom"/>
          </w:tcPr>
          <w:p>
            <w:pPr>
              <w:spacing w:after="0"/>
              <w:rPr>
                <w:sz w:val="1"/>
                <w:szCs w:val="1"/>
                <w:color w:val="auto"/>
              </w:rPr>
            </w:pPr>
          </w:p>
        </w:tc>
      </w:tr>
      <w:tr>
        <w:trPr>
          <w:trHeight w:val="20"/>
        </w:trPr>
        <w:tc>
          <w:tcPr>
            <w:tcW w:w="5240" w:type="dxa"/>
            <w:vAlign w:val="bottom"/>
            <w:vMerge w:val="restart"/>
          </w:tcPr>
          <w:p>
            <w:pPr>
              <w:spacing w:after="0"/>
              <w:rPr>
                <w:sz w:val="20"/>
                <w:szCs w:val="20"/>
                <w:color w:val="auto"/>
              </w:rPr>
            </w:pPr>
            <w:r>
              <w:rPr>
                <w:rFonts w:ascii="Arial" w:cs="Arial" w:eastAsia="Arial" w:hAnsi="Arial"/>
                <w:sz w:val="18"/>
                <w:szCs w:val="18"/>
                <w:color w:val="auto"/>
              </w:rPr>
              <w:t>Pretax operating income</w:t>
            </w: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5240" w:type="dxa"/>
            <w:vAlign w:val="bottom"/>
            <w:vMerge w:val="continue"/>
          </w:tcPr>
          <w:p>
            <w:pPr>
              <w:spacing w:after="0"/>
              <w:rPr>
                <w:sz w:val="18"/>
                <w:szCs w:val="18"/>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6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497</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664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471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-25%</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Pretax operating margin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14.2%</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16.3%</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16.6%</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-212 bps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-240 bps</w:t>
            </w:r>
          </w:p>
        </w:tc>
        <w:tc>
          <w:tcPr>
            <w:tcW w:w="0" w:type="dxa"/>
            <w:vAlign w:val="bottom"/>
          </w:tcPr>
          <w:p>
            <w:pPr>
              <w:spacing w:after="0"/>
              <w:rPr>
                <w:sz w:val="1"/>
                <w:szCs w:val="1"/>
                <w:color w:val="auto"/>
              </w:rPr>
            </w:pPr>
          </w:p>
        </w:tc>
      </w:tr>
      <w:tr>
        <w:trPr>
          <w:trHeight w:val="216"/>
        </w:trPr>
        <w:tc>
          <w:tcPr>
            <w:tcW w:w="5240" w:type="dxa"/>
            <w:vAlign w:val="bottom"/>
          </w:tcPr>
          <w:p>
            <w:pPr>
              <w:spacing w:after="0"/>
              <w:rPr>
                <w:sz w:val="20"/>
                <w:szCs w:val="20"/>
                <w:color w:val="auto"/>
              </w:rPr>
            </w:pPr>
            <w:r>
              <w:rPr>
                <w:rFonts w:ascii="Arial" w:cs="Arial" w:eastAsia="Arial" w:hAnsi="Arial"/>
                <w:sz w:val="18"/>
                <w:szCs w:val="18"/>
                <w:color w:val="auto"/>
              </w:rPr>
              <w:t>Adjusted EBITDA*</w:t>
            </w:r>
          </w:p>
        </w:tc>
        <w:tc>
          <w:tcPr>
            <w:tcW w:w="120" w:type="dxa"/>
            <w:vAlign w:val="bottom"/>
          </w:tcPr>
          <w:p>
            <w:pPr>
              <w:spacing w:after="0"/>
              <w:rPr>
                <w:sz w:val="18"/>
                <w:szCs w:val="18"/>
                <w:color w:val="auto"/>
              </w:rPr>
            </w:pPr>
          </w:p>
        </w:tc>
        <w:tc>
          <w:tcPr>
            <w:tcW w:w="960" w:type="dxa"/>
            <w:vAlign w:val="bottom"/>
            <w:gridSpan w:val="2"/>
          </w:tcPr>
          <w:p>
            <w:pPr>
              <w:jc w:val="right"/>
              <w:ind w:right="388"/>
              <w:spacing w:after="0"/>
              <w:rPr>
                <w:sz w:val="20"/>
                <w:szCs w:val="20"/>
                <w:color w:val="auto"/>
              </w:rPr>
            </w:pPr>
            <w:r>
              <w:rPr>
                <w:rFonts w:ascii="Arial" w:cs="Arial" w:eastAsia="Arial" w:hAnsi="Arial"/>
                <w:sz w:val="18"/>
                <w:szCs w:val="18"/>
                <w:b w:val="1"/>
                <w:bCs w:val="1"/>
                <w:color w:val="auto"/>
              </w:rPr>
              <w:t>648</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815</w:t>
            </w:r>
          </w:p>
        </w:tc>
        <w:tc>
          <w:tcPr>
            <w:tcW w:w="100" w:type="dxa"/>
            <w:vAlign w:val="bottom"/>
          </w:tcPr>
          <w:p>
            <w:pPr>
              <w:spacing w:after="0"/>
              <w:rPr>
                <w:sz w:val="18"/>
                <w:szCs w:val="18"/>
                <w:color w:val="auto"/>
              </w:rPr>
            </w:pPr>
          </w:p>
        </w:tc>
        <w:tc>
          <w:tcPr>
            <w:tcW w:w="920" w:type="dxa"/>
            <w:vAlign w:val="bottom"/>
            <w:gridSpan w:val="2"/>
          </w:tcPr>
          <w:p>
            <w:pPr>
              <w:jc w:val="right"/>
              <w:ind w:right="460"/>
              <w:spacing w:after="0"/>
              <w:rPr>
                <w:sz w:val="20"/>
                <w:szCs w:val="20"/>
                <w:color w:val="auto"/>
              </w:rPr>
            </w:pPr>
            <w:r>
              <w:rPr>
                <w:rFonts w:ascii="Arial" w:cs="Arial" w:eastAsia="Arial" w:hAnsi="Arial"/>
                <w:sz w:val="18"/>
                <w:szCs w:val="18"/>
                <w:color w:val="auto"/>
              </w:rPr>
              <w:t>561</w:t>
            </w:r>
          </w:p>
        </w:tc>
        <w:tc>
          <w:tcPr>
            <w:tcW w:w="96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-20%</w:t>
            </w:r>
          </w:p>
        </w:tc>
        <w:tc>
          <w:tcPr>
            <w:tcW w:w="1700" w:type="dxa"/>
            <w:vAlign w:val="bottom"/>
            <w:gridSpan w:val="3"/>
          </w:tcPr>
          <w:p>
            <w:pPr>
              <w:jc w:val="right"/>
              <w:ind w:right="60"/>
              <w:spacing w:after="0"/>
              <w:rPr>
                <w:sz w:val="20"/>
                <w:szCs w:val="20"/>
                <w:color w:val="auto"/>
              </w:rPr>
            </w:pPr>
            <w:r>
              <w:rPr>
                <w:rFonts w:ascii="Arial" w:cs="Arial" w:eastAsia="Arial" w:hAnsi="Arial"/>
                <w:sz w:val="18"/>
                <w:szCs w:val="18"/>
                <w:color w:val="auto"/>
              </w:rPr>
              <w:t>16%</w:t>
            </w:r>
          </w:p>
        </w:tc>
        <w:tc>
          <w:tcPr>
            <w:tcW w:w="0" w:type="dxa"/>
            <w:vAlign w:val="bottom"/>
          </w:tcPr>
          <w:p>
            <w:pPr>
              <w:spacing w:after="0"/>
              <w:rPr>
                <w:sz w:val="1"/>
                <w:szCs w:val="1"/>
                <w:color w:val="auto"/>
              </w:rPr>
            </w:pPr>
          </w:p>
        </w:tc>
      </w:tr>
      <w:tr>
        <w:trPr>
          <w:trHeight w:val="216"/>
        </w:trPr>
        <w:tc>
          <w:tcPr>
            <w:tcW w:w="524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120" w:type="dxa"/>
            <w:vAlign w:val="bottom"/>
            <w:shd w:val="clear" w:color="auto" w:fill="CCEEFF"/>
          </w:tcPr>
          <w:p>
            <w:pPr>
              <w:spacing w:after="0"/>
              <w:rPr>
                <w:sz w:val="18"/>
                <w:szCs w:val="18"/>
                <w:color w:val="auto"/>
              </w:rPr>
            </w:pPr>
          </w:p>
        </w:tc>
        <w:tc>
          <w:tcPr>
            <w:tcW w:w="960" w:type="dxa"/>
            <w:vAlign w:val="bottom"/>
            <w:gridSpan w:val="2"/>
            <w:shd w:val="clear" w:color="auto" w:fill="CCEEFF"/>
          </w:tcPr>
          <w:p>
            <w:pPr>
              <w:jc w:val="right"/>
              <w:ind w:right="228"/>
              <w:spacing w:after="0"/>
              <w:rPr>
                <w:sz w:val="20"/>
                <w:szCs w:val="20"/>
                <w:color w:val="auto"/>
              </w:rPr>
            </w:pPr>
            <w:r>
              <w:rPr>
                <w:rFonts w:ascii="Arial" w:cs="Arial" w:eastAsia="Arial" w:hAnsi="Arial"/>
                <w:sz w:val="18"/>
                <w:szCs w:val="18"/>
                <w:b w:val="1"/>
                <w:bCs w:val="1"/>
                <w:color w:val="auto"/>
              </w:rPr>
              <w:t>18.5%</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20.0%</w:t>
            </w:r>
          </w:p>
        </w:tc>
        <w:tc>
          <w:tcPr>
            <w:tcW w:w="100" w:type="dxa"/>
            <w:vAlign w:val="bottom"/>
            <w:shd w:val="clear" w:color="auto" w:fill="CCEEFF"/>
          </w:tcPr>
          <w:p>
            <w:pPr>
              <w:spacing w:after="0"/>
              <w:rPr>
                <w:sz w:val="18"/>
                <w:szCs w:val="18"/>
                <w:color w:val="auto"/>
              </w:rPr>
            </w:pPr>
          </w:p>
        </w:tc>
        <w:tc>
          <w:tcPr>
            <w:tcW w:w="92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19.7%</w:t>
            </w:r>
          </w:p>
        </w:tc>
        <w:tc>
          <w:tcPr>
            <w:tcW w:w="9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-150 bps</w:t>
            </w:r>
          </w:p>
        </w:tc>
        <w:tc>
          <w:tcPr>
            <w:tcW w:w="280" w:type="dxa"/>
            <w:vAlign w:val="bottom"/>
            <w:shd w:val="clear" w:color="auto" w:fill="CCEEFF"/>
          </w:tcPr>
          <w:p>
            <w:pPr>
              <w:spacing w:after="0"/>
              <w:rPr>
                <w:sz w:val="18"/>
                <w:szCs w:val="18"/>
                <w:color w:val="auto"/>
              </w:rPr>
            </w:pPr>
          </w:p>
        </w:tc>
        <w:tc>
          <w:tcPr>
            <w:tcW w:w="142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-126 bps</w:t>
            </w:r>
          </w:p>
        </w:tc>
        <w:tc>
          <w:tcPr>
            <w:tcW w:w="0" w:type="dxa"/>
            <w:vAlign w:val="bottom"/>
          </w:tcPr>
          <w:p>
            <w:pPr>
              <w:spacing w:after="0"/>
              <w:rPr>
                <w:sz w:val="1"/>
                <w:szCs w:val="1"/>
                <w:color w:val="auto"/>
              </w:rPr>
            </w:pPr>
          </w:p>
        </w:tc>
      </w:tr>
    </w:tbl>
    <w:p>
      <w:pPr>
        <w:spacing w:after="0" w:line="224" w:lineRule="exact"/>
        <w:rPr>
          <w:sz w:val="20"/>
          <w:szCs w:val="20"/>
          <w:color w:val="auto"/>
        </w:rPr>
      </w:pPr>
    </w:p>
    <w:p>
      <w:pPr>
        <w:ind w:left="4" w:right="1700" w:hanging="4"/>
        <w:spacing w:after="0" w:line="485" w:lineRule="auto"/>
        <w:tabs>
          <w:tab w:leader="none" w:pos="220" w:val="left"/>
        </w:tabs>
        <w:numPr>
          <w:ilvl w:val="0"/>
          <w:numId w:val="11"/>
        </w:numPr>
        <w:rPr>
          <w:rFonts w:ascii="Arial" w:cs="Arial" w:eastAsia="Arial" w:hAnsi="Arial"/>
          <w:sz w:val="18"/>
          <w:szCs w:val="18"/>
          <w:color w:val="auto"/>
        </w:rPr>
      </w:pPr>
      <w:r>
        <w:rPr>
          <w:rFonts w:ascii="Arial" w:cs="Arial" w:eastAsia="Arial" w:hAnsi="Arial"/>
          <w:sz w:val="18"/>
          <w:szCs w:val="18"/>
          <w:color w:val="auto"/>
        </w:rPr>
        <w:t>These are non-GAAP financial measures. See reconciliation in the section “Supplementary Information“ for details. n/m = not meaningful</w:t>
      </w:r>
    </w:p>
    <w:p>
      <w:pPr>
        <w:ind w:left="4" w:right="40"/>
        <w:spacing w:after="0" w:line="271" w:lineRule="auto"/>
        <w:rPr>
          <w:sz w:val="20"/>
          <w:szCs w:val="20"/>
          <w:color w:val="auto"/>
        </w:rPr>
      </w:pPr>
      <w:r>
        <w:rPr>
          <w:rFonts w:ascii="Arial" w:cs="Arial" w:eastAsia="Arial" w:hAnsi="Arial"/>
          <w:sz w:val="18"/>
          <w:szCs w:val="18"/>
          <w:color w:val="auto"/>
        </w:rPr>
        <w:t>Production Systems revenue of $ 3.51 billion increased 23% year on year from the acquired ChampionX production chemicals and artificial lift businesses, which contributed $833 million revenue and $148 million in pretax operating income during the quarter.</w:t>
      </w:r>
    </w:p>
    <w:p>
      <w:pPr>
        <w:spacing w:after="0" w:line="154" w:lineRule="exact"/>
        <w:rPr>
          <w:sz w:val="20"/>
          <w:szCs w:val="20"/>
          <w:color w:val="auto"/>
        </w:rPr>
      </w:pPr>
    </w:p>
    <w:p>
      <w:pPr>
        <w:ind w:left="4" w:right="120"/>
        <w:spacing w:after="0" w:line="271" w:lineRule="auto"/>
        <w:rPr>
          <w:sz w:val="20"/>
          <w:szCs w:val="20"/>
          <w:color w:val="auto"/>
        </w:rPr>
      </w:pPr>
      <w:r>
        <w:rPr>
          <w:rFonts w:ascii="Arial" w:cs="Arial" w:eastAsia="Arial" w:hAnsi="Arial"/>
          <w:sz w:val="18"/>
          <w:szCs w:val="18"/>
          <w:color w:val="auto"/>
        </w:rPr>
        <w:t>Excluding the impact of the acquisition, Production Systems first-quarter 2026 revenue decreased 6% year on year due to the disruptions from the Middle East conflict.</w:t>
      </w:r>
    </w:p>
    <w:p>
      <w:pPr>
        <w:spacing w:after="0" w:line="154" w:lineRule="exact"/>
        <w:rPr>
          <w:sz w:val="20"/>
          <w:szCs w:val="20"/>
          <w:color w:val="auto"/>
        </w:rPr>
      </w:pPr>
    </w:p>
    <w:p>
      <w:pPr>
        <w:ind w:left="4" w:right="400"/>
        <w:spacing w:after="0" w:line="253" w:lineRule="auto"/>
        <w:rPr>
          <w:sz w:val="20"/>
          <w:szCs w:val="20"/>
          <w:color w:val="auto"/>
        </w:rPr>
      </w:pPr>
      <w:r>
        <w:rPr>
          <w:rFonts w:ascii="Arial" w:cs="Arial" w:eastAsia="Arial" w:hAnsi="Arial"/>
          <w:sz w:val="18"/>
          <w:szCs w:val="18"/>
          <w:color w:val="auto"/>
        </w:rPr>
        <w:t>Production Systems pretax operating margin of 14% contracted 240 bps year on year due to lower profitability in surface production systems, SLB OneSubsea and completions. This decline was partially offset by the accretive contribution from ChampionX production chemicals and artificial lift.</w:t>
      </w:r>
    </w:p>
    <w:p>
      <w:pPr>
        <w:spacing w:after="0" w:line="169" w:lineRule="exact"/>
        <w:rPr>
          <w:sz w:val="20"/>
          <w:szCs w:val="20"/>
          <w:color w:val="auto"/>
        </w:rPr>
      </w:pPr>
    </w:p>
    <w:p>
      <w:pPr>
        <w:ind w:left="4" w:right="380"/>
        <w:spacing w:after="0" w:line="271" w:lineRule="auto"/>
        <w:rPr>
          <w:sz w:val="20"/>
          <w:szCs w:val="20"/>
          <w:color w:val="auto"/>
        </w:rPr>
      </w:pPr>
      <w:r>
        <w:rPr>
          <w:rFonts w:ascii="Arial" w:cs="Arial" w:eastAsia="Arial" w:hAnsi="Arial"/>
          <w:sz w:val="18"/>
          <w:szCs w:val="18"/>
          <w:color w:val="auto"/>
        </w:rPr>
        <w:t>Sequentially, first-quarter pretax operating margin contracted 212 bps reflecting seasonally lower profitability following strong year-end product sales in the fourth quarter of 2025.</w:t>
      </w:r>
    </w:p>
    <w:p>
      <w:pPr>
        <w:sectPr>
          <w:pgSz w:w="11900" w:h="16838" w:orient="portrait"/>
          <w:cols w:equalWidth="0" w:num="1">
            <w:col w:w="11024"/>
          </w:cols>
          <w:pgMar w:left="436" w:top="269" w:right="439" w:bottom="1440" w:gutter="0" w:footer="0" w:header="0"/>
        </w:sectPr>
      </w:pPr>
    </w:p>
    <w:bookmarkStart w:id="14" w:name="page15"/>
    <w:bookmarkEnd w:id="14"/>
    <w:p>
      <w:pPr>
        <w:spacing w:after="0"/>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The following table and commentary are presented on a pro forma basis assuming that ChampionX was acquired on January 1, 2025.</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740" w:type="dxa"/>
            <w:vAlign w:val="bottom"/>
          </w:tcPr>
          <w:p>
            <w:pPr>
              <w:spacing w:after="0"/>
              <w:rPr>
                <w:sz w:val="15"/>
                <w:szCs w:val="15"/>
                <w:color w:val="auto"/>
              </w:rPr>
            </w:pPr>
          </w:p>
        </w:tc>
        <w:tc>
          <w:tcPr>
            <w:tcW w:w="23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154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r>
      <w:tr>
        <w:trPr>
          <w:trHeight w:val="171"/>
        </w:trPr>
        <w:tc>
          <w:tcPr>
            <w:tcW w:w="3740" w:type="dxa"/>
            <w:vAlign w:val="bottom"/>
          </w:tcPr>
          <w:p>
            <w:pPr>
              <w:spacing w:after="0"/>
              <w:rPr>
                <w:sz w:val="20"/>
                <w:szCs w:val="20"/>
                <w:color w:val="auto"/>
              </w:rPr>
            </w:pPr>
            <w:r>
              <w:rPr>
                <w:rFonts w:ascii="Arial" w:cs="Arial" w:eastAsia="Arial" w:hAnsi="Arial"/>
                <w:sz w:val="14"/>
                <w:szCs w:val="14"/>
                <w:b w:val="1"/>
                <w:bCs w:val="1"/>
                <w:color w:val="auto"/>
              </w:rPr>
              <w:t>Pro forma</w:t>
            </w:r>
          </w:p>
        </w:tc>
        <w:tc>
          <w:tcPr>
            <w:tcW w:w="2320" w:type="dxa"/>
            <w:vAlign w:val="bottom"/>
          </w:tcPr>
          <w:p>
            <w:pPr>
              <w:spacing w:after="0"/>
              <w:rPr>
                <w:sz w:val="14"/>
                <w:szCs w:val="14"/>
                <w:color w:val="auto"/>
              </w:rPr>
            </w:pPr>
          </w:p>
        </w:tc>
        <w:tc>
          <w:tcPr>
            <w:tcW w:w="2680" w:type="dxa"/>
            <w:vAlign w:val="bottom"/>
            <w:gridSpan w:val="8"/>
          </w:tcPr>
          <w:p>
            <w:pPr>
              <w:jc w:val="center"/>
              <w:ind w:right="340"/>
              <w:spacing w:after="0"/>
              <w:rPr>
                <w:sz w:val="20"/>
                <w:szCs w:val="20"/>
                <w:color w:val="auto"/>
              </w:rPr>
            </w:pPr>
            <w:r>
              <w:rPr>
                <w:rFonts w:ascii="Arial" w:cs="Arial" w:eastAsia="Arial" w:hAnsi="Arial"/>
                <w:sz w:val="14"/>
                <w:szCs w:val="14"/>
                <w:b w:val="1"/>
                <w:bCs w:val="1"/>
                <w:color w:val="auto"/>
              </w:rPr>
              <w:t>Three Months Ended</w:t>
            </w:r>
          </w:p>
        </w:tc>
        <w:tc>
          <w:tcPr>
            <w:tcW w:w="740" w:type="dxa"/>
            <w:vAlign w:val="bottom"/>
          </w:tcPr>
          <w:p>
            <w:pPr>
              <w:spacing w:after="0"/>
              <w:rPr>
                <w:sz w:val="14"/>
                <w:szCs w:val="14"/>
                <w:color w:val="auto"/>
              </w:rPr>
            </w:pPr>
          </w:p>
        </w:tc>
        <w:tc>
          <w:tcPr>
            <w:tcW w:w="1540" w:type="dxa"/>
            <w:vAlign w:val="bottom"/>
            <w:gridSpan w:val="3"/>
          </w:tcPr>
          <w:p>
            <w:pPr>
              <w:jc w:val="right"/>
              <w:ind w:right="980"/>
              <w:spacing w:after="0"/>
              <w:rPr>
                <w:sz w:val="20"/>
                <w:szCs w:val="20"/>
                <w:color w:val="auto"/>
              </w:rPr>
            </w:pPr>
            <w:r>
              <w:rPr>
                <w:rFonts w:ascii="Arial" w:cs="Arial" w:eastAsia="Arial" w:hAnsi="Arial"/>
                <w:sz w:val="14"/>
                <w:szCs w:val="14"/>
                <w:b w:val="1"/>
                <w:bCs w:val="1"/>
                <w:color w:val="auto"/>
              </w:rPr>
              <w:t>Change</w:t>
            </w:r>
          </w:p>
        </w:tc>
      </w:tr>
      <w:tr>
        <w:trPr>
          <w:trHeight w:val="146"/>
        </w:trPr>
        <w:tc>
          <w:tcPr>
            <w:tcW w:w="3740" w:type="dxa"/>
            <w:vAlign w:val="bottom"/>
          </w:tcPr>
          <w:p>
            <w:pPr>
              <w:spacing w:after="0"/>
              <w:rPr>
                <w:sz w:val="12"/>
                <w:szCs w:val="12"/>
                <w:color w:val="auto"/>
              </w:rPr>
            </w:pPr>
          </w:p>
        </w:tc>
        <w:tc>
          <w:tcPr>
            <w:tcW w:w="2320" w:type="dxa"/>
            <w:vAlign w:val="bottom"/>
          </w:tcPr>
          <w:p>
            <w:pPr>
              <w:spacing w:after="0"/>
              <w:rPr>
                <w:sz w:val="12"/>
                <w:szCs w:val="12"/>
                <w:color w:val="auto"/>
              </w:rPr>
            </w:pPr>
          </w:p>
        </w:tc>
        <w:tc>
          <w:tcPr>
            <w:tcW w:w="720" w:type="dxa"/>
            <w:vAlign w:val="bottom"/>
            <w:tcBorders>
              <w:top w:val="single" w:sz="8" w:color="auto"/>
            </w:tcBorders>
            <w:gridSpan w:val="2"/>
          </w:tcPr>
          <w:p>
            <w:pPr>
              <w:jc w:val="center"/>
              <w:ind w:right="160"/>
              <w:spacing w:after="0" w:line="147" w:lineRule="exact"/>
              <w:rPr>
                <w:sz w:val="20"/>
                <w:szCs w:val="20"/>
                <w:color w:val="auto"/>
              </w:rPr>
            </w:pPr>
            <w:r>
              <w:rPr>
                <w:rFonts w:ascii="Arial" w:cs="Arial" w:eastAsia="Arial" w:hAnsi="Arial"/>
                <w:sz w:val="14"/>
                <w:szCs w:val="14"/>
                <w:b w:val="1"/>
                <w:bCs w:val="1"/>
                <w:color w:val="auto"/>
                <w:w w:val="99"/>
              </w:rPr>
              <w:t>Mar. 31,</w:t>
            </w:r>
          </w:p>
        </w:tc>
        <w:tc>
          <w:tcPr>
            <w:tcW w:w="160" w:type="dxa"/>
            <w:vAlign w:val="bottom"/>
            <w:tcBorders>
              <w:top w:val="single" w:sz="8" w:color="auto"/>
            </w:tcBorders>
          </w:tcPr>
          <w:p>
            <w:pPr>
              <w:spacing w:after="0"/>
              <w:rPr>
                <w:sz w:val="12"/>
                <w:szCs w:val="12"/>
                <w:color w:val="auto"/>
              </w:rPr>
            </w:pPr>
          </w:p>
        </w:tc>
        <w:tc>
          <w:tcPr>
            <w:tcW w:w="740" w:type="dxa"/>
            <w:vAlign w:val="bottom"/>
            <w:tcBorders>
              <w:top w:val="single" w:sz="8" w:color="auto"/>
            </w:tcBorders>
            <w:gridSpan w:val="2"/>
          </w:tcPr>
          <w:p>
            <w:pPr>
              <w:jc w:val="center"/>
              <w:ind w:right="160"/>
              <w:spacing w:after="0" w:line="147" w:lineRule="exact"/>
              <w:rPr>
                <w:sz w:val="20"/>
                <w:szCs w:val="20"/>
                <w:color w:val="auto"/>
              </w:rPr>
            </w:pPr>
            <w:r>
              <w:rPr>
                <w:rFonts w:ascii="Arial" w:cs="Arial" w:eastAsia="Arial" w:hAnsi="Arial"/>
                <w:sz w:val="14"/>
                <w:szCs w:val="14"/>
                <w:color w:val="auto"/>
              </w:rPr>
              <w:t>Dec. 31,</w:t>
            </w: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tcPr>
          <w:p>
            <w:pPr>
              <w:jc w:val="center"/>
              <w:spacing w:after="0" w:line="147" w:lineRule="exact"/>
              <w:rPr>
                <w:sz w:val="20"/>
                <w:szCs w:val="20"/>
                <w:color w:val="auto"/>
              </w:rPr>
            </w:pPr>
            <w:r>
              <w:rPr>
                <w:rFonts w:ascii="Arial" w:cs="Arial" w:eastAsia="Arial" w:hAnsi="Arial"/>
                <w:sz w:val="14"/>
                <w:szCs w:val="14"/>
                <w:color w:val="auto"/>
              </w:rPr>
              <w:t>Mar. 31,</w:t>
            </w:r>
          </w:p>
        </w:tc>
        <w:tc>
          <w:tcPr>
            <w:tcW w:w="340" w:type="dxa"/>
            <w:vAlign w:val="bottom"/>
          </w:tcPr>
          <w:p>
            <w:pPr>
              <w:spacing w:after="0"/>
              <w:rPr>
                <w:sz w:val="12"/>
                <w:szCs w:val="12"/>
                <w:color w:val="auto"/>
              </w:rPr>
            </w:pPr>
          </w:p>
        </w:tc>
        <w:tc>
          <w:tcPr>
            <w:tcW w:w="7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r>
      <w:tr>
        <w:trPr>
          <w:trHeight w:val="171"/>
        </w:trPr>
        <w:tc>
          <w:tcPr>
            <w:tcW w:w="3740" w:type="dxa"/>
            <w:vAlign w:val="bottom"/>
          </w:tcPr>
          <w:p>
            <w:pPr>
              <w:spacing w:after="0"/>
              <w:rPr>
                <w:sz w:val="14"/>
                <w:szCs w:val="14"/>
                <w:color w:val="auto"/>
              </w:rPr>
            </w:pPr>
          </w:p>
        </w:tc>
        <w:tc>
          <w:tcPr>
            <w:tcW w:w="2880" w:type="dxa"/>
            <w:vAlign w:val="bottom"/>
            <w:gridSpan w:val="2"/>
          </w:tcPr>
          <w:p>
            <w:pPr>
              <w:jc w:val="right"/>
              <w:ind w:right="42"/>
              <w:spacing w:after="0"/>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4"/>
                <w:szCs w:val="14"/>
                <w:color w:val="auto"/>
              </w:rPr>
            </w:pPr>
          </w:p>
        </w:tc>
        <w:tc>
          <w:tcPr>
            <w:tcW w:w="740" w:type="dxa"/>
            <w:vAlign w:val="bottom"/>
            <w:gridSpan w:val="2"/>
          </w:tcPr>
          <w:p>
            <w:pPr>
              <w:jc w:val="center"/>
              <w:ind w:left="94"/>
              <w:spacing w:after="0"/>
              <w:rPr>
                <w:sz w:val="20"/>
                <w:szCs w:val="20"/>
                <w:color w:val="auto"/>
              </w:rPr>
            </w:pPr>
            <w:r>
              <w:rPr>
                <w:rFonts w:ascii="Arial" w:cs="Arial" w:eastAsia="Arial" w:hAnsi="Arial"/>
                <w:sz w:val="14"/>
                <w:szCs w:val="14"/>
                <w:color w:val="auto"/>
              </w:rPr>
              <w:t>2025</w:t>
            </w:r>
          </w:p>
        </w:tc>
        <w:tc>
          <w:tcPr>
            <w:tcW w:w="160" w:type="dxa"/>
            <w:vAlign w:val="bottom"/>
          </w:tcPr>
          <w:p>
            <w:pPr>
              <w:spacing w:after="0"/>
              <w:rPr>
                <w:sz w:val="14"/>
                <w:szCs w:val="14"/>
                <w:color w:val="auto"/>
              </w:rPr>
            </w:pPr>
          </w:p>
        </w:tc>
        <w:tc>
          <w:tcPr>
            <w:tcW w:w="720" w:type="dxa"/>
            <w:vAlign w:val="bottom"/>
            <w:gridSpan w:val="2"/>
          </w:tcPr>
          <w:p>
            <w:pPr>
              <w:jc w:val="right"/>
              <w:ind w:right="48"/>
              <w:spacing w:after="0"/>
              <w:rPr>
                <w:sz w:val="20"/>
                <w:szCs w:val="20"/>
                <w:color w:val="auto"/>
              </w:rPr>
            </w:pPr>
            <w:r>
              <w:rPr>
                <w:rFonts w:ascii="Arial" w:cs="Arial" w:eastAsia="Arial" w:hAnsi="Arial"/>
                <w:sz w:val="14"/>
                <w:szCs w:val="14"/>
                <w:color w:val="auto"/>
              </w:rPr>
              <w:t>2025</w:t>
            </w:r>
          </w:p>
        </w:tc>
        <w:tc>
          <w:tcPr>
            <w:tcW w:w="340" w:type="dxa"/>
            <w:vAlign w:val="bottom"/>
          </w:tcPr>
          <w:p>
            <w:pPr>
              <w:spacing w:after="0"/>
              <w:rPr>
                <w:sz w:val="14"/>
                <w:szCs w:val="14"/>
                <w:color w:val="auto"/>
              </w:rPr>
            </w:pPr>
          </w:p>
        </w:tc>
        <w:tc>
          <w:tcPr>
            <w:tcW w:w="1220" w:type="dxa"/>
            <w:vAlign w:val="bottom"/>
            <w:gridSpan w:val="2"/>
          </w:tcPr>
          <w:p>
            <w:pPr>
              <w:jc w:val="right"/>
              <w:ind w:right="408"/>
              <w:spacing w:after="0"/>
              <w:rPr>
                <w:sz w:val="20"/>
                <w:szCs w:val="20"/>
                <w:color w:val="auto"/>
              </w:rPr>
            </w:pPr>
            <w:r>
              <w:rPr>
                <w:rFonts w:ascii="Arial" w:cs="Arial" w:eastAsia="Arial" w:hAnsi="Arial"/>
                <w:sz w:val="14"/>
                <w:szCs w:val="14"/>
                <w:b w:val="1"/>
                <w:bCs w:val="1"/>
                <w:color w:val="auto"/>
              </w:rPr>
              <w:t>Sequential</w:t>
            </w:r>
          </w:p>
        </w:tc>
        <w:tc>
          <w:tcPr>
            <w:tcW w:w="1060" w:type="dxa"/>
            <w:vAlign w:val="bottom"/>
            <w:gridSpan w:val="2"/>
          </w:tcPr>
          <w:p>
            <w:pPr>
              <w:jc w:val="right"/>
              <w:ind w:right="220"/>
              <w:spacing w:after="0"/>
              <w:rPr>
                <w:sz w:val="20"/>
                <w:szCs w:val="20"/>
                <w:color w:val="auto"/>
              </w:rPr>
            </w:pPr>
            <w:r>
              <w:rPr>
                <w:rFonts w:ascii="Arial" w:cs="Arial" w:eastAsia="Arial" w:hAnsi="Arial"/>
                <w:sz w:val="14"/>
                <w:szCs w:val="14"/>
                <w:color w:val="auto"/>
              </w:rPr>
              <w:t>Year-on-year</w:t>
            </w:r>
          </w:p>
        </w:tc>
      </w:tr>
      <w:tr>
        <w:trPr>
          <w:trHeight w:val="196"/>
        </w:trPr>
        <w:tc>
          <w:tcPr>
            <w:tcW w:w="3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232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560" w:type="dxa"/>
            <w:vAlign w:val="bottom"/>
            <w:tcBorders>
              <w:top w:val="single" w:sz="8" w:color="auto"/>
            </w:tcBorders>
            <w:shd w:val="clear" w:color="auto" w:fill="CCEEFF"/>
          </w:tcPr>
          <w:p>
            <w:pPr>
              <w:spacing w:after="0"/>
              <w:rPr>
                <w:sz w:val="17"/>
                <w:szCs w:val="17"/>
                <w:color w:val="auto"/>
              </w:rPr>
            </w:pPr>
          </w:p>
        </w:tc>
        <w:tc>
          <w:tcPr>
            <w:tcW w:w="340" w:type="dxa"/>
            <w:vAlign w:val="bottom"/>
            <w:tcBorders>
              <w:top w:val="single" w:sz="8" w:color="CCEEFF"/>
            </w:tcBorders>
            <w:shd w:val="clear" w:color="auto" w:fill="CCEEFF"/>
          </w:tcPr>
          <w:p>
            <w:pPr>
              <w:spacing w:after="0"/>
              <w:rPr>
                <w:sz w:val="17"/>
                <w:szCs w:val="17"/>
                <w:color w:val="auto"/>
              </w:rPr>
            </w:pPr>
          </w:p>
        </w:tc>
        <w:tc>
          <w:tcPr>
            <w:tcW w:w="740" w:type="dxa"/>
            <w:vAlign w:val="bottom"/>
            <w:tcBorders>
              <w:top w:val="single" w:sz="8" w:color="auto"/>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84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International</w:t>
            </w:r>
          </w:p>
        </w:tc>
        <w:tc>
          <w:tcPr>
            <w:tcW w:w="3040" w:type="dxa"/>
            <w:vAlign w:val="bottom"/>
            <w:gridSpan w:val="3"/>
          </w:tcPr>
          <w:p>
            <w:pPr>
              <w:jc w:val="right"/>
              <w:ind w:right="160"/>
              <w:spacing w:after="0"/>
              <w:rPr>
                <w:sz w:val="20"/>
                <w:szCs w:val="20"/>
                <w:color w:val="auto"/>
              </w:rPr>
            </w:pPr>
            <w:r>
              <w:rPr>
                <w:rFonts w:ascii="Arial" w:cs="Arial" w:eastAsia="Arial" w:hAnsi="Arial"/>
                <w:sz w:val="18"/>
                <w:szCs w:val="18"/>
                <w:b w:val="1"/>
                <w:bCs w:val="1"/>
                <w:color w:val="auto"/>
              </w:rPr>
              <w:t>$2,272</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$2,853</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$2,408</w:t>
            </w:r>
          </w:p>
        </w:tc>
        <w:tc>
          <w:tcPr>
            <w:tcW w:w="1220" w:type="dxa"/>
            <w:vAlign w:val="bottom"/>
            <w:gridSpan w:val="2"/>
          </w:tcPr>
          <w:p>
            <w:pPr>
              <w:ind w:left="480"/>
              <w:spacing w:after="0"/>
              <w:rPr>
                <w:sz w:val="20"/>
                <w:szCs w:val="20"/>
                <w:color w:val="auto"/>
              </w:rPr>
            </w:pPr>
            <w:r>
              <w:rPr>
                <w:rFonts w:ascii="Arial" w:cs="Arial" w:eastAsia="Arial" w:hAnsi="Arial"/>
                <w:sz w:val="18"/>
                <w:szCs w:val="18"/>
                <w:b w:val="1"/>
                <w:bCs w:val="1"/>
                <w:color w:val="auto"/>
              </w:rPr>
              <w:t>-20%</w:t>
            </w:r>
          </w:p>
        </w:tc>
        <w:tc>
          <w:tcPr>
            <w:tcW w:w="1060" w:type="dxa"/>
            <w:vAlign w:val="bottom"/>
            <w:gridSpan w:val="2"/>
          </w:tcPr>
          <w:p>
            <w:pPr>
              <w:jc w:val="right"/>
              <w:ind w:right="60"/>
              <w:spacing w:after="0"/>
              <w:rPr>
                <w:sz w:val="20"/>
                <w:szCs w:val="20"/>
                <w:color w:val="auto"/>
              </w:rPr>
            </w:pPr>
            <w:r>
              <w:rPr>
                <w:rFonts w:ascii="Arial" w:cs="Arial" w:eastAsia="Arial" w:hAnsi="Arial"/>
                <w:sz w:val="18"/>
                <w:szCs w:val="18"/>
                <w:color w:val="auto"/>
              </w:rPr>
              <w:t>-6%</w:t>
            </w:r>
          </w:p>
        </w:tc>
      </w:tr>
      <w:tr>
        <w:trPr>
          <w:trHeight w:val="216"/>
        </w:trPr>
        <w:tc>
          <w:tcPr>
            <w:tcW w:w="3740" w:type="dxa"/>
            <w:vAlign w:val="bottom"/>
            <w:shd w:val="clear" w:color="auto" w:fill="CCEEFF"/>
          </w:tcPr>
          <w:p>
            <w:pPr>
              <w:ind w:left="360"/>
              <w:spacing w:after="0"/>
              <w:rPr>
                <w:sz w:val="20"/>
                <w:szCs w:val="20"/>
                <w:color w:val="auto"/>
              </w:rPr>
            </w:pPr>
            <w:r>
              <w:rPr>
                <w:rFonts w:ascii="Arial" w:cs="Arial" w:eastAsia="Arial" w:hAnsi="Arial"/>
                <w:sz w:val="18"/>
                <w:szCs w:val="18"/>
                <w:color w:val="auto"/>
              </w:rPr>
              <w:t>North Amrica</w:t>
            </w:r>
          </w:p>
        </w:tc>
        <w:tc>
          <w:tcPr>
            <w:tcW w:w="3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1,206</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1,200</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color w:val="auto"/>
              </w:rPr>
              <w:t>1,206</w:t>
            </w:r>
          </w:p>
        </w:tc>
        <w:tc>
          <w:tcPr>
            <w:tcW w:w="1220" w:type="dxa"/>
            <w:vAlign w:val="bottom"/>
            <w:gridSpan w:val="2"/>
            <w:shd w:val="clear" w:color="auto" w:fill="CCEEFF"/>
          </w:tcPr>
          <w:p>
            <w:pPr>
              <w:ind w:left="460"/>
              <w:spacing w:after="0"/>
              <w:rPr>
                <w:sz w:val="20"/>
                <w:szCs w:val="20"/>
                <w:color w:val="auto"/>
              </w:rPr>
            </w:pPr>
            <w:r>
              <w:rPr>
                <w:rFonts w:ascii="Arial" w:cs="Arial" w:eastAsia="Arial" w:hAnsi="Arial"/>
                <w:sz w:val="18"/>
                <w:szCs w:val="18"/>
                <w:color w:val="auto"/>
              </w:rPr>
              <w:t>— </w:t>
            </w:r>
          </w:p>
        </w:tc>
        <w:tc>
          <w:tcPr>
            <w:tcW w:w="106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— </w:t>
            </w:r>
          </w:p>
        </w:tc>
      </w:tr>
      <w:tr>
        <w:trPr>
          <w:trHeight w:val="216"/>
        </w:trPr>
        <w:tc>
          <w:tcPr>
            <w:tcW w:w="3740" w:type="dxa"/>
            <w:vAlign w:val="bottom"/>
          </w:tcPr>
          <w:p>
            <w:pPr>
              <w:ind w:left="360"/>
              <w:spacing w:after="0"/>
              <w:rPr>
                <w:sz w:val="20"/>
                <w:szCs w:val="20"/>
                <w:color w:val="auto"/>
              </w:rPr>
            </w:pPr>
            <w:r>
              <w:rPr>
                <w:rFonts w:ascii="Arial" w:cs="Arial" w:eastAsia="Arial" w:hAnsi="Arial"/>
                <w:sz w:val="18"/>
                <w:szCs w:val="18"/>
                <w:color w:val="auto"/>
              </w:rPr>
              <w:t>Other</w:t>
            </w:r>
          </w:p>
        </w:tc>
        <w:tc>
          <w:tcPr>
            <w:tcW w:w="2320" w:type="dxa"/>
            <w:vAlign w:val="bottom"/>
          </w:tcPr>
          <w:p>
            <w:pPr>
              <w:spacing w:after="0"/>
              <w:rPr>
                <w:sz w:val="18"/>
                <w:szCs w:val="18"/>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30</w:t>
            </w:r>
          </w:p>
        </w:tc>
        <w:tc>
          <w:tcPr>
            <w:tcW w:w="900" w:type="dxa"/>
            <w:vAlign w:val="bottom"/>
            <w:gridSpan w:val="3"/>
          </w:tcPr>
          <w:p>
            <w:pPr>
              <w:jc w:val="right"/>
              <w:ind w:right="160"/>
              <w:spacing w:after="0"/>
              <w:rPr>
                <w:sz w:val="20"/>
                <w:szCs w:val="20"/>
                <w:color w:val="auto"/>
              </w:rPr>
            </w:pPr>
            <w:r>
              <w:rPr>
                <w:rFonts w:ascii="Arial" w:cs="Arial" w:eastAsia="Arial" w:hAnsi="Arial"/>
                <w:sz w:val="18"/>
                <w:szCs w:val="18"/>
                <w:color w:val="auto"/>
              </w:rPr>
              <w:t>25</w:t>
            </w:r>
          </w:p>
        </w:tc>
        <w:tc>
          <w:tcPr>
            <w:tcW w:w="1060" w:type="dxa"/>
            <w:vAlign w:val="bottom"/>
            <w:gridSpan w:val="3"/>
          </w:tcPr>
          <w:p>
            <w:pPr>
              <w:jc w:val="right"/>
              <w:ind w:right="340"/>
              <w:spacing w:after="0"/>
              <w:rPr>
                <w:sz w:val="20"/>
                <w:szCs w:val="20"/>
                <w:color w:val="auto"/>
              </w:rPr>
            </w:pPr>
            <w:r>
              <w:rPr>
                <w:rFonts w:ascii="Arial" w:cs="Arial" w:eastAsia="Arial" w:hAnsi="Arial"/>
                <w:sz w:val="18"/>
                <w:szCs w:val="18"/>
                <w:color w:val="auto"/>
              </w:rPr>
              <w:t>36</w:t>
            </w:r>
          </w:p>
        </w:tc>
        <w:tc>
          <w:tcPr>
            <w:tcW w:w="1220" w:type="dxa"/>
            <w:vAlign w:val="bottom"/>
            <w:gridSpan w:val="2"/>
          </w:tcPr>
          <w:p>
            <w:pPr>
              <w:jc w:val="right"/>
              <w:ind w:right="408"/>
              <w:spacing w:after="0"/>
              <w:rPr>
                <w:sz w:val="20"/>
                <w:szCs w:val="20"/>
                <w:color w:val="auto"/>
              </w:rPr>
            </w:pPr>
            <w:r>
              <w:rPr>
                <w:rFonts w:ascii="Arial" w:cs="Arial" w:eastAsia="Arial" w:hAnsi="Arial"/>
                <w:sz w:val="18"/>
                <w:szCs w:val="18"/>
                <w:b w:val="1"/>
                <w:bCs w:val="1"/>
                <w:color w:val="auto"/>
              </w:rPr>
              <w:t>n/m</w:t>
            </w:r>
          </w:p>
        </w:tc>
        <w:tc>
          <w:tcPr>
            <w:tcW w:w="1060" w:type="dxa"/>
            <w:vAlign w:val="bottom"/>
            <w:gridSpan w:val="2"/>
          </w:tcPr>
          <w:p>
            <w:pPr>
              <w:jc w:val="right"/>
              <w:ind w:right="220"/>
              <w:spacing w:after="0"/>
              <w:rPr>
                <w:sz w:val="20"/>
                <w:szCs w:val="20"/>
                <w:color w:val="auto"/>
              </w:rPr>
            </w:pPr>
            <w:r>
              <w:rPr>
                <w:rFonts w:ascii="Arial" w:cs="Arial" w:eastAsia="Arial" w:hAnsi="Arial"/>
                <w:sz w:val="18"/>
                <w:szCs w:val="18"/>
                <w:color w:val="auto"/>
              </w:rPr>
              <w:t>n/m</w:t>
            </w:r>
          </w:p>
        </w:tc>
      </w:tr>
      <w:tr>
        <w:trPr>
          <w:trHeight w:val="27"/>
        </w:trPr>
        <w:tc>
          <w:tcPr>
            <w:tcW w:w="37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56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80" w:type="dxa"/>
            <w:vAlign w:val="bottom"/>
          </w:tcPr>
          <w:p>
            <w:pPr>
              <w:spacing w:after="0"/>
              <w:rPr>
                <w:sz w:val="2"/>
                <w:szCs w:val="2"/>
                <w:color w:val="auto"/>
              </w:rPr>
            </w:pPr>
          </w:p>
        </w:tc>
        <w:tc>
          <w:tcPr>
            <w:tcW w:w="84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r>
      <w:tr>
        <w:trPr>
          <w:trHeight w:val="216"/>
        </w:trPr>
        <w:tc>
          <w:tcPr>
            <w:tcW w:w="3740" w:type="dxa"/>
            <w:vAlign w:val="bottom"/>
            <w:shd w:val="clear" w:color="auto" w:fill="CCEEFF"/>
          </w:tcPr>
          <w:p>
            <w:pPr>
              <w:spacing w:after="0"/>
              <w:rPr>
                <w:sz w:val="18"/>
                <w:szCs w:val="18"/>
                <w:color w:val="auto"/>
              </w:rPr>
            </w:pPr>
          </w:p>
        </w:tc>
        <w:tc>
          <w:tcPr>
            <w:tcW w:w="304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b w:val="1"/>
                <w:bCs w:val="1"/>
                <w:u w:val="single" w:color="auto"/>
                <w:color w:val="auto"/>
              </w:rPr>
              <w:t>$</w:t>
            </w:r>
            <w:r>
              <w:rPr>
                <w:rFonts w:ascii="Arial" w:cs="Arial" w:eastAsia="Arial" w:hAnsi="Arial"/>
                <w:sz w:val="18"/>
                <w:szCs w:val="18"/>
                <w:b w:val="1"/>
                <w:bCs w:val="1"/>
                <w:color w:val="auto"/>
              </w:rPr>
              <w:t>3,508</w:t>
            </w:r>
          </w:p>
        </w:tc>
        <w:tc>
          <w:tcPr>
            <w:tcW w:w="90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4,078</w:t>
            </w:r>
          </w:p>
        </w:tc>
        <w:tc>
          <w:tcPr>
            <w:tcW w:w="1060" w:type="dxa"/>
            <w:vAlign w:val="bottom"/>
            <w:gridSpan w:val="3"/>
            <w:shd w:val="clear" w:color="auto" w:fill="CCEEFF"/>
          </w:tcPr>
          <w:p>
            <w:pPr>
              <w:jc w:val="right"/>
              <w:ind w:right="34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3,650</w:t>
            </w:r>
          </w:p>
        </w:tc>
        <w:tc>
          <w:tcPr>
            <w:tcW w:w="1220" w:type="dxa"/>
            <w:vAlign w:val="bottom"/>
            <w:gridSpan w:val="2"/>
            <w:shd w:val="clear" w:color="auto" w:fill="CCEEFF"/>
          </w:tcPr>
          <w:p>
            <w:pPr>
              <w:ind w:left="480"/>
              <w:spacing w:after="0"/>
              <w:rPr>
                <w:sz w:val="20"/>
                <w:szCs w:val="20"/>
                <w:color w:val="auto"/>
              </w:rPr>
            </w:pPr>
            <w:r>
              <w:rPr>
                <w:rFonts w:ascii="Arial" w:cs="Arial" w:eastAsia="Arial" w:hAnsi="Arial"/>
                <w:sz w:val="18"/>
                <w:szCs w:val="18"/>
                <w:b w:val="1"/>
                <w:bCs w:val="1"/>
                <w:color w:val="auto"/>
              </w:rPr>
              <w:t>-14%</w:t>
            </w:r>
          </w:p>
        </w:tc>
        <w:tc>
          <w:tcPr>
            <w:tcW w:w="10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w:t>
            </w:r>
          </w:p>
        </w:tc>
      </w:tr>
      <w:tr>
        <w:trPr>
          <w:trHeight w:val="20"/>
        </w:trPr>
        <w:tc>
          <w:tcPr>
            <w:tcW w:w="37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r>
    </w:tbl>
    <w:p>
      <w:pPr>
        <w:spacing w:after="0" w:line="211" w:lineRule="exact"/>
        <w:rPr>
          <w:sz w:val="20"/>
          <w:szCs w:val="20"/>
          <w:color w:val="auto"/>
        </w:rPr>
      </w:pPr>
    </w:p>
    <w:p>
      <w:pPr>
        <w:ind w:right="140"/>
        <w:spacing w:after="0" w:line="253" w:lineRule="auto"/>
        <w:rPr>
          <w:sz w:val="20"/>
          <w:szCs w:val="20"/>
          <w:color w:val="auto"/>
        </w:rPr>
      </w:pPr>
      <w:r>
        <w:rPr>
          <w:rFonts w:ascii="Arial" w:cs="Arial" w:eastAsia="Arial" w:hAnsi="Arial"/>
          <w:sz w:val="18"/>
          <w:szCs w:val="18"/>
          <w:color w:val="auto"/>
        </w:rPr>
        <w:t>Production Systems pro forma revenue of $3.51 billion decreased 4% year on year due to lower revenue in SLB OneSubsea and surface production systems, partially offset by higher sales of production chemicals, artificial lift and valves. Disruptions from the Middle East conflict also contributed to the year-on-year decline.</w:t>
      </w:r>
    </w:p>
    <w:p>
      <w:pPr>
        <w:spacing w:after="0" w:line="169" w:lineRule="exact"/>
        <w:rPr>
          <w:sz w:val="20"/>
          <w:szCs w:val="20"/>
          <w:color w:val="auto"/>
        </w:rPr>
      </w:pPr>
    </w:p>
    <w:p>
      <w:pPr>
        <w:ind w:right="720"/>
        <w:spacing w:after="0" w:line="271" w:lineRule="auto"/>
        <w:rPr>
          <w:sz w:val="20"/>
          <w:szCs w:val="20"/>
          <w:color w:val="auto"/>
        </w:rPr>
      </w:pPr>
      <w:r>
        <w:rPr>
          <w:rFonts w:ascii="Arial" w:cs="Arial" w:eastAsia="Arial" w:hAnsi="Arial"/>
          <w:sz w:val="18"/>
          <w:szCs w:val="18"/>
          <w:color w:val="auto"/>
        </w:rPr>
        <w:t>Sequentially, revenue declined 14% following strong year-end product sales internationally in the fourth quarter of 2025 as well as disruptions from the Middle East conflict.</w:t>
      </w:r>
    </w:p>
    <w:p>
      <w:pPr>
        <w:spacing w:after="0" w:line="26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All Other</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All Other is comprised of APS, Data Center Solutions and SLB Capturi</w:t>
      </w:r>
      <w:r>
        <w:rPr>
          <w:rFonts w:ascii="Arial" w:cs="Arial" w:eastAsia="Arial" w:hAnsi="Arial"/>
          <w:sz w:val="26"/>
          <w:szCs w:val="26"/>
          <w:color w:val="auto"/>
          <w:vertAlign w:val="superscript"/>
        </w:rPr>
        <w:t>™</w:t>
      </w:r>
      <w:r>
        <w:rPr>
          <w:rFonts w:ascii="Arial" w:cs="Arial" w:eastAsia="Arial" w:hAnsi="Arial"/>
          <w:sz w:val="18"/>
          <w:szCs w:val="18"/>
          <w:color w:val="auto"/>
        </w:rPr>
        <w:t>.</w:t>
      </w:r>
    </w:p>
    <w:p>
      <w:pPr>
        <w:spacing w:after="0" w:line="120" w:lineRule="exact"/>
        <w:rPr>
          <w:sz w:val="20"/>
          <w:szCs w:val="20"/>
          <w:color w:val="auto"/>
        </w:rPr>
      </w:pPr>
    </w:p>
    <w:p>
      <w:pPr>
        <w:ind w:right="20"/>
        <w:spacing w:after="0" w:line="253" w:lineRule="auto"/>
        <w:rPr>
          <w:sz w:val="20"/>
          <w:szCs w:val="20"/>
          <w:color w:val="auto"/>
        </w:rPr>
      </w:pPr>
      <w:r>
        <w:rPr>
          <w:rFonts w:ascii="Arial" w:cs="Arial" w:eastAsia="Arial" w:hAnsi="Arial"/>
          <w:sz w:val="18"/>
          <w:szCs w:val="18"/>
          <w:color w:val="auto"/>
        </w:rPr>
        <w:t>Revenue decreased 21% year on year due to lower APS revenue following the divestiture of the Palliser asset in Canada in the second quarter of 2025 coupled with reduced revenue in SLB Capturi. This decline was partially offset by a 45% increase in Data Center Solutions revenue.</w:t>
      </w:r>
    </w:p>
    <w:p>
      <w:pPr>
        <w:spacing w:after="0" w:line="169" w:lineRule="exact"/>
        <w:rPr>
          <w:sz w:val="20"/>
          <w:szCs w:val="20"/>
          <w:color w:val="auto"/>
        </w:rPr>
      </w:pPr>
    </w:p>
    <w:p>
      <w:pPr>
        <w:ind w:right="20"/>
        <w:spacing w:after="0" w:line="271" w:lineRule="auto"/>
        <w:rPr>
          <w:sz w:val="20"/>
          <w:szCs w:val="20"/>
          <w:color w:val="auto"/>
        </w:rPr>
      </w:pPr>
      <w:r>
        <w:rPr>
          <w:rFonts w:ascii="Arial" w:cs="Arial" w:eastAsia="Arial" w:hAnsi="Arial"/>
          <w:sz w:val="18"/>
          <w:szCs w:val="18"/>
          <w:color w:val="auto"/>
        </w:rPr>
        <w:t>Sequentially, revenue declined slightly by 1% due to lower revenue from APS projects in Ecuador partially offset by higher revenue in Data Center Solutions.</w:t>
      </w:r>
    </w:p>
    <w:p>
      <w:pPr>
        <w:spacing w:after="0" w:line="154" w:lineRule="exact"/>
        <w:rPr>
          <w:sz w:val="20"/>
          <w:szCs w:val="20"/>
          <w:color w:val="auto"/>
        </w:rPr>
      </w:pPr>
    </w:p>
    <w:p>
      <w:pPr>
        <w:ind w:right="400"/>
        <w:spacing w:after="0" w:line="271" w:lineRule="auto"/>
        <w:rPr>
          <w:sz w:val="20"/>
          <w:szCs w:val="20"/>
          <w:color w:val="auto"/>
        </w:rPr>
      </w:pPr>
      <w:r>
        <w:rPr>
          <w:rFonts w:ascii="Arial" w:cs="Arial" w:eastAsia="Arial" w:hAnsi="Arial"/>
          <w:sz w:val="18"/>
          <w:szCs w:val="18"/>
          <w:color w:val="auto"/>
        </w:rPr>
        <w:t>Pretax operating income declined year on year due to lower profitability in APS projects following the Palliser divestiture. Sequentially, pretax operating income increased due to an improved performance in SLB Capturi.</w:t>
      </w:r>
    </w:p>
    <w:p>
      <w:pPr>
        <w:sectPr>
          <w:pgSz w:w="11900" w:h="16838" w:orient="portrait"/>
          <w:cols w:equalWidth="0" w:num="1">
            <w:col w:w="11020"/>
          </w:cols>
          <w:pgMar w:left="440" w:top="269" w:right="439" w:bottom="1440" w:gutter="0" w:footer="0" w:header="0"/>
        </w:sectPr>
      </w:pPr>
    </w:p>
    <w:bookmarkStart w:id="15" w:name="page16"/>
    <w:bookmarkEnd w:id="15"/>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74865" cy="38735"/>
                    </a:xfrm>
                    <a:prstGeom prst="rect">
                      <a:avLst/>
                    </a:prstGeom>
                    <a:noFill/>
                  </pic:spPr>
                </pic:pic>
              </a:graphicData>
            </a:graphic>
          </wp:anchor>
        </w:drawing>
        <w:t>Quarterly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Core</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Contract Awards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SLB continues to win new contract awards that align with SLB’s strengths in the Core. Notable highlights include the following:</w:t>
      </w:r>
    </w:p>
    <w:p>
      <w:pPr>
        <w:spacing w:after="0" w:line="117" w:lineRule="exact"/>
        <w:rPr>
          <w:sz w:val="20"/>
          <w:szCs w:val="20"/>
          <w:color w:val="auto"/>
        </w:rPr>
      </w:pPr>
    </w:p>
    <w:p>
      <w:pPr>
        <w:ind w:left="960" w:hanging="424"/>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Kuwait, Kuwait Oil Company awarded SLB a $1.5 billion, five-year integrated contract for the Mutriba field, including design, development and production management. The work builds on SLB’s subsurface characterization of the Mutriba field to support development planning and execution across deeper, technically demanding reservoir conditions. The contract covers development of high-pressure, high-temperature reservoirs with sour conditions.</w:t>
      </w:r>
    </w:p>
    <w:p>
      <w:pPr>
        <w:spacing w:after="0" w:line="79" w:lineRule="exact"/>
        <w:rPr>
          <w:rFonts w:ascii="Arial" w:cs="Arial" w:eastAsia="Arial" w:hAnsi="Arial"/>
          <w:sz w:val="18"/>
          <w:szCs w:val="18"/>
          <w:color w:val="auto"/>
        </w:rPr>
      </w:pPr>
    </w:p>
    <w:p>
      <w:pPr>
        <w:ind w:left="960" w:right="200" w:hanging="424"/>
        <w:spacing w:after="0" w:line="244"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Suriname, SLB signed a strategic collaboration agreement between PETRONAS Suriname E&amp;P B.V., a subsidiary of PETRONAS, and Subsea Integration Alliance, comprising SLB OneSubsea and Subsea7. This partnership aims to unlock resources in Suriname’s emerging frontier basin through innovative and cost-effective subsea solutions. The agreement establishes a long-term framework for collaboration across the project lifecycle. This approach enables early involvement to co-develop and co-create cost-effective solutions, accelerate field development, and enhance project economics.</w:t>
      </w:r>
    </w:p>
    <w:p>
      <w:pPr>
        <w:spacing w:after="0" w:line="81" w:lineRule="exact"/>
        <w:rPr>
          <w:rFonts w:ascii="Arial" w:cs="Arial" w:eastAsia="Arial" w:hAnsi="Arial"/>
          <w:sz w:val="18"/>
          <w:szCs w:val="18"/>
          <w:color w:val="auto"/>
        </w:rPr>
      </w:pPr>
    </w:p>
    <w:p>
      <w:pPr>
        <w:ind w:left="960" w:right="80" w:hanging="424"/>
        <w:spacing w:after="0" w:line="242"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Norway, Equinor awarded SLB OneSubsea an engineering, procurement and construction (EPC) contract to upgrade the subsea compression system for the Gullfaks field in the North Sea. Under the contract, SLB OneSubsea will deliver two next-generation compressor modules to optimize the units originally supplied in 2015 as part of the world’s first multiphase subsea compression system. The upgraded modules will increase differential pressure and flow capacity, enhancing recovery and extending field life. Installation within the existing subsea infrastructure will minimize downtime and reduce overall campaign costs.</w:t>
      </w:r>
    </w:p>
    <w:p>
      <w:pPr>
        <w:spacing w:after="0" w:line="84" w:lineRule="exact"/>
        <w:rPr>
          <w:rFonts w:ascii="Arial" w:cs="Arial" w:eastAsia="Arial" w:hAnsi="Arial"/>
          <w:sz w:val="18"/>
          <w:szCs w:val="18"/>
          <w:color w:val="auto"/>
        </w:rPr>
      </w:pPr>
    </w:p>
    <w:p>
      <w:pPr>
        <w:ind w:left="960" w:right="300" w:hanging="424"/>
        <w:spacing w:after="0" w:line="247"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Oman, Petroleum Development Oman (PDO) awarded SLB two five-year contracts to supply wellheads and artificial lift technologies for operations in Block-6, Oman’s largest oil and gas concession. The contracts include the provision of low-pressure, high-pressure, and thermal wellheads, as well as electric submersible pumps (ESPs) and progressing cavity pumps (PCPs). These solutions are expected to increase recovery rates and extend the productive life of Block-6 assets.</w:t>
      </w:r>
    </w:p>
    <w:p>
      <w:pPr>
        <w:spacing w:after="0" w:line="79" w:lineRule="exact"/>
        <w:rPr>
          <w:rFonts w:ascii="Arial" w:cs="Arial" w:eastAsia="Arial" w:hAnsi="Arial"/>
          <w:sz w:val="18"/>
          <w:szCs w:val="18"/>
          <w:color w:val="auto"/>
        </w:rPr>
      </w:pPr>
    </w:p>
    <w:p>
      <w:pPr>
        <w:ind w:left="960" w:right="20" w:hanging="424"/>
        <w:spacing w:after="0" w:line="244"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In China, China National Offshore Oil Corporation awarded SLB OneSubsea a multiwell, integrated EPC contract. The contract encompasses 20 wells and covers the delivery of integrated subsea production systems (SPS) for the deepwater Kaiping 18-1 field development in the South China Sea. Under the contract, SLB OneSubsea will deliver standardized subsea production technology that includes dual ESP, gas lift and gas injection horizontal trees, manifolds, connectors and control systems, along with installation and commissioning support.</w:t>
      </w:r>
    </w:p>
    <w:p>
      <w:pPr>
        <w:spacing w:after="0" w:line="81" w:lineRule="exact"/>
        <w:rPr>
          <w:rFonts w:ascii="Arial" w:cs="Arial" w:eastAsia="Arial" w:hAnsi="Arial"/>
          <w:sz w:val="18"/>
          <w:szCs w:val="18"/>
          <w:color w:val="auto"/>
        </w:rPr>
      </w:pPr>
    </w:p>
    <w:p>
      <w:pPr>
        <w:jc w:val="both"/>
        <w:ind w:left="960" w:right="360" w:hanging="424"/>
        <w:spacing w:after="0" w:line="253"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Offshore Malaysia, PTTEP Sabah Oil Limited, a subsidiary company of PTT Exploration and Production Public Company Limited (PTTEP), awarded SLB OneSubsea an EPC contract. The contract expands SLB OneSubsea’s role in delivering integrated SPS for PTTEP’s deepwater portfolio and marks the third major SPS award from PTTEP in the last 12 months.</w:t>
      </w:r>
    </w:p>
    <w:p>
      <w:pPr>
        <w:spacing w:after="0" w:line="74" w:lineRule="exact"/>
        <w:rPr>
          <w:rFonts w:ascii="Arial" w:cs="Arial" w:eastAsia="Arial" w:hAnsi="Arial"/>
          <w:sz w:val="18"/>
          <w:szCs w:val="18"/>
          <w:color w:val="auto"/>
        </w:rPr>
      </w:pPr>
    </w:p>
    <w:p>
      <w:pPr>
        <w:ind w:left="960" w:right="40" w:hanging="424"/>
        <w:spacing w:after="0" w:line="242" w:lineRule="auto"/>
        <w:tabs>
          <w:tab w:leader="none" w:pos="960" w:val="left"/>
        </w:tabs>
        <w:numPr>
          <w:ilvl w:val="0"/>
          <w:numId w:val="12"/>
        </w:numPr>
        <w:rPr>
          <w:rFonts w:ascii="Arial" w:cs="Arial" w:eastAsia="Arial" w:hAnsi="Arial"/>
          <w:sz w:val="18"/>
          <w:szCs w:val="18"/>
          <w:color w:val="auto"/>
        </w:rPr>
      </w:pPr>
      <w:r>
        <w:rPr>
          <w:rFonts w:ascii="Arial" w:cs="Arial" w:eastAsia="Arial" w:hAnsi="Arial"/>
          <w:sz w:val="18"/>
          <w:szCs w:val="18"/>
          <w:color w:val="auto"/>
        </w:rPr>
        <w:t>Offshore Indonesia, Mubadala Energy, the Abu Dhabi-headquartered international energy company, awarded SLB multiple offshore drilling services contracts for the Tangkulo natural gas deepwater development and associated exploration and appraisal drilling activities in the Andaman Sea. Under the awards, SLB will work with Mubadala Energy to deliver integrated drilling and well services across the full well life cycle. The scope includes directional drilling, drilling fluids, cementing, wireline, slickline, coiled tubing, well testing, mud logging and upper and lower completions. The integrated model is designed to streamline execution while enhancing safety, reliability and operational performance.</w:t>
      </w:r>
    </w:p>
    <w:p>
      <w:pPr>
        <w:sectPr>
          <w:pgSz w:w="11900" w:h="16838" w:orient="portrait"/>
          <w:cols w:equalWidth="0" w:num="1">
            <w:col w:w="10980"/>
          </w:cols>
          <w:pgMar w:left="440" w:top="269" w:right="479" w:bottom="1440" w:gutter="0" w:footer="0" w:header="0"/>
        </w:sectPr>
      </w:pPr>
    </w:p>
    <w:bookmarkStart w:id="16" w:name="page17"/>
    <w:bookmarkEnd w:id="16"/>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74865" cy="38735"/>
                    </a:xfrm>
                    <a:prstGeom prst="rect">
                      <a:avLst/>
                    </a:prstGeom>
                    <a:noFill/>
                  </pic:spPr>
                </pic:pic>
              </a:graphicData>
            </a:graphic>
          </wp:anchor>
        </w:drawing>
        <w:t>Technology Highlights</w:t>
      </w:r>
    </w:p>
    <w:p>
      <w:pPr>
        <w:spacing w:after="0" w:line="104" w:lineRule="exact"/>
        <w:rPr>
          <w:sz w:val="20"/>
          <w:szCs w:val="20"/>
          <w:color w:val="auto"/>
        </w:rPr>
      </w:pPr>
    </w:p>
    <w:p>
      <w:pPr>
        <w:spacing w:after="0"/>
        <w:rPr>
          <w:sz w:val="20"/>
          <w:szCs w:val="20"/>
          <w:color w:val="auto"/>
        </w:rPr>
      </w:pPr>
      <w:r>
        <w:rPr>
          <w:rFonts w:ascii="Arial" w:cs="Arial" w:eastAsia="Arial" w:hAnsi="Arial"/>
          <w:sz w:val="18"/>
          <w:szCs w:val="18"/>
          <w:color w:val="auto"/>
        </w:rPr>
        <w:t>Notable technology introductions and deployments in the quarter include the following:</w:t>
      </w:r>
    </w:p>
    <w:p>
      <w:pPr>
        <w:spacing w:after="0" w:line="117" w:lineRule="exact"/>
        <w:rPr>
          <w:sz w:val="20"/>
          <w:szCs w:val="20"/>
          <w:color w:val="auto"/>
        </w:rPr>
      </w:pPr>
    </w:p>
    <w:p>
      <w:pPr>
        <w:ind w:left="960" w:right="20" w:hanging="424"/>
        <w:spacing w:after="0" w:line="22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SLB introduced the next-generation Cameron frac fluid delivery system, a fully electric solution for hydraulic fracturing operations designed to improve efficiency, reduce operational complexity and support more automated wellsite execution. The system combines a maintenance-free frac valve, electric actuation and ValveCommander</w:t>
      </w:r>
      <w:r>
        <w:rPr>
          <w:rFonts w:ascii="Arial" w:cs="Arial" w:eastAsia="Arial" w:hAnsi="Arial"/>
          <w:sz w:val="26"/>
          <w:szCs w:val="26"/>
          <w:color w:val="auto"/>
          <w:vertAlign w:val="superscript"/>
        </w:rPr>
        <w:t>™</w:t>
      </w:r>
      <w:r>
        <w:rPr>
          <w:rFonts w:ascii="Arial" w:cs="Arial" w:eastAsia="Arial" w:hAnsi="Arial"/>
          <w:sz w:val="18"/>
          <w:szCs w:val="18"/>
          <w:color w:val="auto"/>
        </w:rPr>
        <w:t xml:space="preserve"> fluid delivery control to give operators digital control across any actuation type. Key benefits include the elimination of onsite greasing and routine maintenance, more precise valve operation, faster rig-up and rig-down, and removal of hydraulic units. The system also reduces the use of hydraulic fluids and diesel-powered equipment, helping customers streamline workflows, improve uptime and advance cleaner fracturing operations.</w:t>
      </w:r>
    </w:p>
    <w:p>
      <w:pPr>
        <w:spacing w:after="0" w:line="87" w:lineRule="exact"/>
        <w:rPr>
          <w:rFonts w:ascii="Arial" w:cs="Arial" w:eastAsia="Arial" w:hAnsi="Arial"/>
          <w:sz w:val="18"/>
          <w:szCs w:val="18"/>
          <w:color w:val="auto"/>
        </w:rPr>
      </w:pPr>
    </w:p>
    <w:p>
      <w:pPr>
        <w:ind w:left="960" w:right="20" w:hanging="424"/>
        <w:spacing w:after="0" w:line="226"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Offshore Brazil, Trident Energy and SLB addressed productivity impairment in aging subsea gravel-packed wells in the Marimba field. Following rigorous corrosion testing, SLB deployed the OneSTEP EF</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sandstone stimulation solution through a decades-old subsea flowline from an existing P-08 semi-submersible platform — mitigating corrosion risk and eliminating the need for a light well intervention vessel or subsea tree. The treatment exceeded performance objectives, delivering nearly threefold higher oil rates. The application demonstrates that sandstone stimulation can be executed through subsea pipelines, expanding the candidate envelope and improving brownfield economics. The operation reflects strong collaboration between Trident Energy and SLB in executing complex subsea interventions.</w:t>
      </w:r>
    </w:p>
    <w:p>
      <w:pPr>
        <w:spacing w:after="0" w:line="87" w:lineRule="exact"/>
        <w:rPr>
          <w:rFonts w:ascii="Arial" w:cs="Arial" w:eastAsia="Arial" w:hAnsi="Arial"/>
          <w:sz w:val="18"/>
          <w:szCs w:val="18"/>
          <w:color w:val="auto"/>
        </w:rPr>
      </w:pPr>
    </w:p>
    <w:p>
      <w:pPr>
        <w:ind w:left="960" w:right="100" w:hanging="424"/>
        <w:spacing w:after="0" w:line="220"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Offshore Suriname, SLB and PETRONAS Suriname E&amp;P B.V. avoided unnecessary rig time by deploying the Ora</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reservoir sampling platform and its advanced digital workflows. The Ora platform captured high-quality reservoir samples under complex conditions, including from a zone where oil mobility was very low and extraction was much more difficult. This deployment of a practical solution accelerated value creation and improved operations.</w:t>
      </w:r>
    </w:p>
    <w:p>
      <w:pPr>
        <w:spacing w:after="0" w:line="88" w:lineRule="exact"/>
        <w:rPr>
          <w:rFonts w:ascii="Arial" w:cs="Arial" w:eastAsia="Arial" w:hAnsi="Arial"/>
          <w:sz w:val="18"/>
          <w:szCs w:val="18"/>
          <w:color w:val="auto"/>
        </w:rPr>
      </w:pPr>
    </w:p>
    <w:p>
      <w:pPr>
        <w:ind w:left="960" w:hanging="424"/>
        <w:spacing w:after="0" w:line="242"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On the Norwegian continental shelf (NCS), OKEA ASA and SLB overcame unique geological and operational challenges in an ultralong well by leveraging an integrated suite of SLB directional drilling, real-time downhole measurement and formation evaluation, drilling optimization, advanced bit and fluid technologies, and extended-reach well planning and monitoring capabilities. With a measured depth of 10,895 meters, this well became the longest well ever drilled on the NCS, and more than 3,400 meters were drilled in a single run while also enlarging the borehole. As part of the Talisker project, this well supports extending the life of the Brage field and unlocking additional resources.</w:t>
      </w:r>
    </w:p>
    <w:p>
      <w:pPr>
        <w:spacing w:after="0" w:line="84" w:lineRule="exact"/>
        <w:rPr>
          <w:rFonts w:ascii="Arial" w:cs="Arial" w:eastAsia="Arial" w:hAnsi="Arial"/>
          <w:sz w:val="18"/>
          <w:szCs w:val="18"/>
          <w:color w:val="auto"/>
        </w:rPr>
      </w:pPr>
    </w:p>
    <w:p>
      <w:pPr>
        <w:ind w:left="960" w:right="80" w:hanging="424"/>
        <w:spacing w:after="0" w:line="228" w:lineRule="auto"/>
        <w:tabs>
          <w:tab w:leader="none" w:pos="960" w:val="left"/>
        </w:tabs>
        <w:numPr>
          <w:ilvl w:val="0"/>
          <w:numId w:val="13"/>
        </w:numPr>
        <w:rPr>
          <w:rFonts w:ascii="Arial" w:cs="Arial" w:eastAsia="Arial" w:hAnsi="Arial"/>
          <w:sz w:val="18"/>
          <w:szCs w:val="18"/>
          <w:color w:val="auto"/>
        </w:rPr>
      </w:pPr>
      <w:r>
        <w:rPr>
          <w:rFonts w:ascii="Arial" w:cs="Arial" w:eastAsia="Arial" w:hAnsi="Arial"/>
          <w:sz w:val="18"/>
          <w:szCs w:val="18"/>
          <w:color w:val="auto"/>
        </w:rPr>
        <w:t>In Azerbaijan, bp awarded SLB a contract to deploy the Optiq</w:t>
      </w:r>
      <w:r>
        <w:rPr>
          <w:rFonts w:ascii="Arial" w:cs="Arial" w:eastAsia="Arial" w:hAnsi="Arial"/>
          <w:sz w:val="26"/>
          <w:szCs w:val="26"/>
          <w:color w:val="auto"/>
          <w:vertAlign w:val="superscript"/>
        </w:rPr>
        <w:t>™</w:t>
      </w:r>
      <w:r>
        <w:rPr>
          <w:rFonts w:ascii="Arial" w:cs="Arial" w:eastAsia="Arial" w:hAnsi="Arial"/>
          <w:sz w:val="18"/>
          <w:szCs w:val="18"/>
          <w:color w:val="auto"/>
        </w:rPr>
        <w:t xml:space="preserve"> real-time fiber optic interpretation and analysis solution, with the companies working together to advance an automated, real-time workflow for qualitative and quantitative distributed temperature sensing assessment, multiphase production profiling and injection profiling. The solution — which is currently being configured for bp’s surveillance requirements and will be deployed across more than 50 offshore wells equipped with existing optical fiber on six platforms — aims to overcome key barriers to realizing the full value of fiber optic sensing, including the generation of terabytes of data per day and the traditionally time-intensive interpretation process. By automating real-time analysis at the edge and enabling secure, cloud-based access to production and reservoir surveillance insights, the collaboration is designed to help production and reservoir engineers maximize recovery and prevent or mitigate production disruption.</w:t>
      </w:r>
    </w:p>
    <w:p>
      <w:pPr>
        <w:sectPr>
          <w:pgSz w:w="11900" w:h="16838" w:orient="portrait"/>
          <w:cols w:equalWidth="0" w:num="1">
            <w:col w:w="11000"/>
          </w:cols>
          <w:pgMar w:left="440" w:top="269" w:right="459" w:bottom="1440" w:gutter="0" w:footer="0" w:header="0"/>
        </w:sectPr>
      </w:pPr>
    </w:p>
    <w:bookmarkStart w:id="17" w:name="page18"/>
    <w:bookmarkEnd w:id="17"/>
    <w:p>
      <w:pPr>
        <w:ind w:left="424" w:hanging="424"/>
        <w:spacing w:after="0" w:line="221" w:lineRule="auto"/>
        <w:tabs>
          <w:tab w:leader="none" w:pos="424" w:val="left"/>
        </w:tabs>
        <w:numPr>
          <w:ilvl w:val="0"/>
          <w:numId w:val="14"/>
        </w:numPr>
        <w:rPr>
          <w:rFonts w:ascii="Arial" w:cs="Arial" w:eastAsia="Arial" w:hAnsi="Arial"/>
          <w:sz w:val="17"/>
          <w:szCs w:val="17"/>
          <w:color w:val="auto"/>
        </w:rPr>
      </w:pPr>
      <w:r>
        <w:rPr>
          <w:rFonts w:ascii="Arial" w:cs="Arial" w:eastAsia="Arial" w:hAnsi="Arial"/>
          <w:sz w:val="17"/>
          <w:szCs w:val="17"/>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the United Arab Emirates, SLB and ADNOC Offshore unlocked marginal tight carbonate reserves in the Abu Al Bukhoosh (ABK) field using an Intelligent Stimulation workflow. A mixed-completion multilateral well — comprising limited-entry liner and openhole laterals — was treated in a single-vessel trip using OpenPath Flex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customizable acid stimulation service with VDA</w:t>
      </w:r>
      <w:r>
        <w:rPr>
          <w:rFonts w:ascii="Arial" w:cs="Arial" w:eastAsia="Arial" w:hAnsi="Arial"/>
          <w:sz w:val="25"/>
          <w:szCs w:val="25"/>
          <w:color w:val="auto"/>
          <w:vertAlign w:val="superscript"/>
        </w:rPr>
        <w:t>™</w:t>
      </w:r>
      <w:r>
        <w:rPr>
          <w:rFonts w:ascii="Arial" w:cs="Arial" w:eastAsia="Arial" w:hAnsi="Arial"/>
          <w:sz w:val="17"/>
          <w:szCs w:val="17"/>
          <w:color w:val="auto"/>
        </w:rPr>
        <w:t xml:space="preserve"> viscoelastic diverting acid and stimulation designs generated by Kinetix Matrix</w:t>
      </w:r>
      <w:r>
        <w:rPr>
          <w:rFonts w:ascii="Arial" w:cs="Arial" w:eastAsia="Arial" w:hAnsi="Arial"/>
          <w:sz w:val="25"/>
          <w:szCs w:val="25"/>
          <w:color w:val="auto"/>
          <w:vertAlign w:val="superscript"/>
        </w:rPr>
        <w:t>™</w:t>
      </w:r>
      <w:r>
        <w:rPr>
          <w:rFonts w:ascii="Arial" w:cs="Arial" w:eastAsia="Arial" w:hAnsi="Arial"/>
          <w:sz w:val="17"/>
          <w:szCs w:val="17"/>
          <w:color w:val="auto"/>
        </w:rPr>
        <w:t xml:space="preserve"> software. The designs were calibrated with the client support lab’s core-flow data, ensuring uniform stimulation. The intervention delivered more than two times the initial production forecast and provided a template for future acid stimulation jobs for the upcoming wells in the same reservoir.</w:t>
      </w:r>
    </w:p>
    <w:p>
      <w:pPr>
        <w:spacing w:after="0" w:line="87" w:lineRule="exact"/>
        <w:rPr>
          <w:rFonts w:ascii="Arial" w:cs="Arial" w:eastAsia="Arial" w:hAnsi="Arial"/>
          <w:sz w:val="17"/>
          <w:szCs w:val="17"/>
          <w:color w:val="auto"/>
        </w:rPr>
      </w:pPr>
    </w:p>
    <w:p>
      <w:pPr>
        <w:ind w:left="424" w:right="20" w:hanging="424"/>
        <w:spacing w:after="0" w:line="251"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Malaysia, PETRONAS Carigali Sdn. Bhd. awarded SLB a five-year contract to provide offshore subsea system managed pressure drilling (MPD) services. SLB will deploy a comprehensive MPD and pressurized mud cap drilling solution, featuring a compact above-tension-ring rotating control device and the @balance Control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MPD system.</w:t>
      </w:r>
    </w:p>
    <w:p>
      <w:pPr>
        <w:spacing w:after="0" w:line="1" w:lineRule="exact"/>
        <w:rPr>
          <w:rFonts w:ascii="Arial" w:cs="Arial" w:eastAsia="Arial" w:hAnsi="Arial"/>
          <w:sz w:val="18"/>
          <w:szCs w:val="18"/>
          <w:color w:val="auto"/>
        </w:rPr>
      </w:pPr>
    </w:p>
    <w:p>
      <w:pPr>
        <w:ind w:left="424" w:hanging="424"/>
        <w:spacing w:after="0" w:line="238" w:lineRule="auto"/>
        <w:tabs>
          <w:tab w:leader="none" w:pos="424" w:val="left"/>
        </w:tabs>
        <w:numPr>
          <w:ilvl w:val="0"/>
          <w:numId w:val="14"/>
        </w:numPr>
        <w:rPr>
          <w:rFonts w:ascii="Arial" w:cs="Arial" w:eastAsia="Arial" w:hAnsi="Arial"/>
          <w:sz w:val="18"/>
          <w:szCs w:val="18"/>
          <w:color w:val="auto"/>
        </w:rPr>
      </w:pPr>
      <w:r>
        <w:rPr>
          <w:rFonts w:ascii="Arial" w:cs="Arial" w:eastAsia="Arial" w:hAnsi="Arial"/>
          <w:sz w:val="18"/>
          <w:szCs w:val="18"/>
          <w:color w:val="auto"/>
        </w:rPr>
        <w:t>In Australia, SLB and ConocoPhillips deployed the Ora intelligent wireline formation testing platform for the first time in the country as part of an exploration program in the Otway Basin. The Ora deep transient testing (DTT) replaced the originally planned conventional drillstem testing for the Otway Exploration Drilling Program. The testing focused on the Waarre A reservoir, where limited reservoir and production data exist across the Otway Basin compared with the better-characterized Waarre C reservoir. Ora DTT results verified the reservoir quality and deliverability in the tests, providing key input data for the ongoing assessment of the reservoir’s commerciality.</w:t>
      </w:r>
    </w:p>
    <w:p>
      <w:pPr>
        <w:sectPr>
          <w:pgSz w:w="11900" w:h="16838" w:orient="portrait"/>
          <w:cols w:equalWidth="0" w:num="1">
            <w:col w:w="10444"/>
          </w:cols>
          <w:pgMar w:left="976" w:top="269" w:right="479" w:bottom="1440" w:gutter="0" w:footer="0" w:header="0"/>
        </w:sectPr>
      </w:pPr>
    </w:p>
    <w:bookmarkStart w:id="18" w:name="page19"/>
    <w:bookmarkEnd w:id="18"/>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Digital</w:t>
      </w:r>
    </w:p>
    <w:p>
      <w:pPr>
        <w:spacing w:after="0" w:line="104" w:lineRule="exact"/>
        <w:rPr>
          <w:sz w:val="20"/>
          <w:szCs w:val="20"/>
          <w:color w:val="auto"/>
        </w:rPr>
      </w:pPr>
    </w:p>
    <w:p>
      <w:pPr>
        <w:ind w:right="520"/>
        <w:spacing w:after="0" w:line="301" w:lineRule="auto"/>
        <w:rPr>
          <w:sz w:val="20"/>
          <w:szCs w:val="20"/>
          <w:color w:val="auto"/>
        </w:rPr>
      </w:pPr>
      <w:r>
        <w:rPr>
          <w:rFonts w:ascii="Arial" w:cs="Arial" w:eastAsia="Arial" w:hAnsi="Arial"/>
          <w:sz w:val="17"/>
          <w:szCs w:val="17"/>
          <w:color w:val="auto"/>
        </w:rPr>
        <w:t>SLB is deploying digital technology at scale, partnering with customers to migrate their technology and workflows into the cloud, to embrace new AI-enabled capabilities, and to leverage insights to elevate their performance. Notable highlights include the following:</w:t>
      </w:r>
    </w:p>
    <w:p>
      <w:pPr>
        <w:spacing w:after="0" w:line="36" w:lineRule="exact"/>
        <w:rPr>
          <w:sz w:val="20"/>
          <w:szCs w:val="20"/>
          <w:color w:val="auto"/>
        </w:rPr>
      </w:pPr>
    </w:p>
    <w:p>
      <w:pPr>
        <w:ind w:left="960" w:right="240" w:hanging="424"/>
        <w:spacing w:after="0" w:line="244"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SLB and NVIDIA expanded their technology collaboration to develop an “AI Factory for Energy,” a reference environment powered by domain-specific generative AI models and industrial-scale agentic AI. This will run on SLB’s digital platforms to help energy companies scale AI for their data and operations. The companies will also work together to optimize the processing of large datasets and AI models across SLB digital platforms using the latest NVIDIA AI infrastructure, aiming to establish new benchmarks for performance and efficiency in energy applications.</w:t>
      </w:r>
    </w:p>
    <w:p>
      <w:pPr>
        <w:spacing w:after="0" w:line="81" w:lineRule="exact"/>
        <w:rPr>
          <w:rFonts w:ascii="Arial" w:cs="Arial" w:eastAsia="Arial" w:hAnsi="Arial"/>
          <w:sz w:val="18"/>
          <w:szCs w:val="18"/>
          <w:color w:val="auto"/>
        </w:rPr>
      </w:pPr>
    </w:p>
    <w:p>
      <w:pPr>
        <w:ind w:left="960" w:right="60" w:hanging="424"/>
        <w:spacing w:after="0" w:line="22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Angola, Azule Energy awarded SLB a three-year agreement to continue and expand the use of its enterprise digital platform across its operations. The platform will help Azule drive more consistent execution, accelerate decision making and support reliable energy delivery across its portfolio. Azule Energy — a joint venture of bp and Eni and the largest independent energy producer in Angola — operates some of the region’s most complex assets. The agreement builds on two years of Delfi</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platform use within Azule’s reservoir organization, where the platform supports reservoir studies, modeling, simulation, and well planning workflows, and supports enterprise-scale digital integration by connecting reservoir workflows with broader operational data environments over time.</w:t>
      </w:r>
    </w:p>
    <w:p>
      <w:pPr>
        <w:spacing w:after="0" w:line="87" w:lineRule="exact"/>
        <w:rPr>
          <w:rFonts w:ascii="Arial" w:cs="Arial" w:eastAsia="Arial" w:hAnsi="Arial"/>
          <w:sz w:val="18"/>
          <w:szCs w:val="18"/>
          <w:color w:val="auto"/>
        </w:rPr>
      </w:pPr>
    </w:p>
    <w:p>
      <w:pPr>
        <w:ind w:left="960" w:right="40" w:hanging="424"/>
        <w:spacing w:after="0" w:line="226"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Tanzania and Uganda, SLB was awarded a four-year contract to deliver a production data management system (PDMS) for the East Africa Crude Oil Pipeline, the world’s longest electrically heated crude oil pipeline. SLB will deploy the Avocet</w:t>
      </w:r>
      <w:r>
        <w:rPr>
          <w:rFonts w:ascii="Arial" w:cs="Arial" w:eastAsia="Arial" w:hAnsi="Arial"/>
          <w:sz w:val="26"/>
          <w:szCs w:val="26"/>
          <w:color w:val="auto"/>
          <w:vertAlign w:val="superscript"/>
        </w:rPr>
        <w:t>™</w:t>
      </w:r>
      <w:r>
        <w:rPr>
          <w:rFonts w:ascii="Arial" w:cs="Arial" w:eastAsia="Arial" w:hAnsi="Arial"/>
          <w:sz w:val="18"/>
          <w:szCs w:val="18"/>
          <w:color w:val="auto"/>
        </w:rPr>
        <w:t xml:space="preserve"> production operations software platform to collect, analyze and securely store production data, including a mobile interface to enable real-time volumetric tracking and production optimization across the Tilenga and Kingfisher fields. The PDMS solution will support operational excellence, flow assurance and pipeline integrity. This marks SLB’s strategic entry into two key countries in the East African market and demonstrates its capability to deliver digital solutions at scale for complex, multi-operator infrastructure projects supporting energy transformation.</w:t>
      </w:r>
    </w:p>
    <w:p>
      <w:pPr>
        <w:spacing w:after="0" w:line="87" w:lineRule="exact"/>
        <w:rPr>
          <w:rFonts w:ascii="Arial" w:cs="Arial" w:eastAsia="Arial" w:hAnsi="Arial"/>
          <w:sz w:val="18"/>
          <w:szCs w:val="18"/>
          <w:color w:val="auto"/>
        </w:rPr>
      </w:pPr>
    </w:p>
    <w:p>
      <w:pPr>
        <w:ind w:left="960" w:right="180" w:hanging="424"/>
        <w:spacing w:after="0" w:line="22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Qatar, SLB secured a strategic contract with a major operator, signaling a significant acceleration in the region’s move toward autonomous drilling technologies. Building on the strong performance of DrillOps</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advisory since its deployment in June 2025, the technology is now operating across three land rigs and is set to be introduced on the operator’s first offshore rig. More than 10 wells and 26 sections have already been drilled using DrillOps advisory, delivering an impressive 21% average increase in rate of penetration. The deployment has also demonstrated the solution’s rapid scalability and agnostic compatibility across diverse rig environments.</w:t>
      </w:r>
    </w:p>
    <w:p>
      <w:pPr>
        <w:spacing w:after="0" w:line="85" w:lineRule="exact"/>
        <w:rPr>
          <w:rFonts w:ascii="Arial" w:cs="Arial" w:eastAsia="Arial" w:hAnsi="Arial"/>
          <w:sz w:val="18"/>
          <w:szCs w:val="18"/>
          <w:color w:val="auto"/>
        </w:rPr>
      </w:pPr>
    </w:p>
    <w:p>
      <w:pPr>
        <w:ind w:left="960" w:hanging="424"/>
        <w:spacing w:after="0" w:line="227"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Oman, PDO awarded SLB a four-year contract to implement its DrillOps intelligent well delivery and insights solutions, aimed at enhancing the wells operations center through advanced AI-driven capabilities. The scope covers DrillOps advisory services and predictive analytics across PDO’s fleet of 50 rigs, enabling automated alerts that detect risks such as stuck pipe and washouts at an early stage. This supports timely preventive actions and promotes more consistent and efficient drilling performance. As part of the contract, SLB will also deploy DrillOps automation — a rig-based application designed to streamline and coordinate drilling workflows — alongside Neuro</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autonomous directional drilling technology on compatible rigs. This award follows a successful field trial conducted in 2025 on 13 wells, which resulted in an 18% improvement in rate of penetration and a 13% reduction in invisible lost time, ultimately saving 25 rig days.</w:t>
      </w:r>
    </w:p>
    <w:p>
      <w:pPr>
        <w:spacing w:after="0" w:line="88" w:lineRule="exact"/>
        <w:rPr>
          <w:rFonts w:ascii="Arial" w:cs="Arial" w:eastAsia="Arial" w:hAnsi="Arial"/>
          <w:sz w:val="18"/>
          <w:szCs w:val="18"/>
          <w:color w:val="auto"/>
        </w:rPr>
      </w:pPr>
    </w:p>
    <w:p>
      <w:pPr>
        <w:ind w:left="960" w:right="20" w:hanging="424"/>
        <w:spacing w:after="0" w:line="225" w:lineRule="auto"/>
        <w:tabs>
          <w:tab w:leader="none" w:pos="960" w:val="left"/>
        </w:tabs>
        <w:numPr>
          <w:ilvl w:val="0"/>
          <w:numId w:val="15"/>
        </w:numPr>
        <w:rPr>
          <w:rFonts w:ascii="Arial" w:cs="Arial" w:eastAsia="Arial" w:hAnsi="Arial"/>
          <w:sz w:val="18"/>
          <w:szCs w:val="18"/>
          <w:color w:val="auto"/>
        </w:rPr>
      </w:pPr>
      <w:r>
        <w:rPr>
          <w:rFonts w:ascii="Arial" w:cs="Arial" w:eastAsia="Arial" w:hAnsi="Arial"/>
          <w:sz w:val="18"/>
          <w:szCs w:val="18"/>
          <w:color w:val="auto"/>
        </w:rPr>
        <w:t>In India, Oil and Natural Gas Corporation (ONGC) awarded SLB a major digital contract, representing an important milestone in ONGC’s digital transformation program. Under the agreement, SLB’s Lumi data and AI platform will be deployed as an enterprise solution across all ONGC assets, establishing a unified and scalable data foundation to support advanced analytics and AI-enabled workflows. In parallel, OptiFlow</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OptiSite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solutions will be deployed to support and enhance production operations through actionable insights and improved efficiency. The deployment supports ONGC’s objective of becoming a leading digital- and AI-enabled energy company, with SLB as their trusted partner.</w:t>
      </w:r>
    </w:p>
    <w:p>
      <w:pPr>
        <w:sectPr>
          <w:pgSz w:w="11900" w:h="16838" w:orient="portrait"/>
          <w:cols w:equalWidth="0" w:num="1">
            <w:col w:w="11000"/>
          </w:cols>
          <w:pgMar w:left="440" w:top="269" w:right="459" w:bottom="1440" w:gutter="0" w:footer="0" w:header="0"/>
        </w:sectPr>
      </w:pPr>
    </w:p>
    <w:bookmarkStart w:id="19" w:name="page20"/>
    <w:bookmarkEnd w:id="19"/>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74865" cy="38735"/>
                    </a:xfrm>
                    <a:prstGeom prst="rect">
                      <a:avLst/>
                    </a:prstGeom>
                    <a:noFill/>
                  </pic:spPr>
                </pic:pic>
              </a:graphicData>
            </a:graphic>
          </wp:anchor>
        </w:drawing>
        <w:t>New Horizons of Growth</w:t>
      </w:r>
    </w:p>
    <w:p>
      <w:pPr>
        <w:spacing w:after="0" w:line="104" w:lineRule="exact"/>
        <w:rPr>
          <w:sz w:val="20"/>
          <w:szCs w:val="20"/>
          <w:color w:val="auto"/>
        </w:rPr>
      </w:pPr>
    </w:p>
    <w:p>
      <w:pPr>
        <w:ind w:right="640"/>
        <w:spacing w:after="0" w:line="271" w:lineRule="auto"/>
        <w:rPr>
          <w:sz w:val="20"/>
          <w:szCs w:val="20"/>
          <w:color w:val="auto"/>
        </w:rPr>
      </w:pPr>
      <w:r>
        <w:rPr>
          <w:rFonts w:ascii="Arial" w:cs="Arial" w:eastAsia="Arial" w:hAnsi="Arial"/>
          <w:sz w:val="18"/>
          <w:szCs w:val="18"/>
          <w:color w:val="auto"/>
        </w:rPr>
        <w:t>SLB is participating at scale in high-growth markets, including Data Center Solutions and New Energy, through strategic innovative technology and partnerships, including the following:</w:t>
      </w:r>
    </w:p>
    <w:p>
      <w:pPr>
        <w:spacing w:after="0" w:line="59" w:lineRule="exact"/>
        <w:rPr>
          <w:sz w:val="20"/>
          <w:szCs w:val="20"/>
          <w:color w:val="auto"/>
        </w:rPr>
      </w:pPr>
    </w:p>
    <w:p>
      <w:pPr>
        <w:ind w:left="960" w:hanging="424"/>
        <w:spacing w:after="0" w:line="247"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SLB and NVIDIA expanded their technology collaboration to design and deploy critical AI infrastructure. SLB will serve as the modular design partner for NVIDIA DSX AI factories. This modular approach, where components are manufactured offsite, will drive increased quality and reliability while also reducing costs, labor constraints and lead times. It also enables rapid and flexible scaling, which allows customers to expand data center capacity quickly as demand grows.</w:t>
      </w:r>
    </w:p>
    <w:p>
      <w:pPr>
        <w:spacing w:after="0" w:line="79" w:lineRule="exact"/>
        <w:rPr>
          <w:rFonts w:ascii="Arial" w:cs="Arial" w:eastAsia="Arial" w:hAnsi="Arial"/>
          <w:sz w:val="18"/>
          <w:szCs w:val="18"/>
          <w:color w:val="auto"/>
        </w:rPr>
      </w:pPr>
    </w:p>
    <w:p>
      <w:pPr>
        <w:ind w:left="960" w:right="20" w:hanging="424"/>
        <w:spacing w:after="0" w:line="242" w:lineRule="auto"/>
        <w:tabs>
          <w:tab w:leader="none" w:pos="960" w:val="left"/>
        </w:tabs>
        <w:numPr>
          <w:ilvl w:val="0"/>
          <w:numId w:val="16"/>
        </w:numPr>
        <w:rPr>
          <w:rFonts w:ascii="Arial" w:cs="Arial" w:eastAsia="Arial" w:hAnsi="Arial"/>
          <w:sz w:val="18"/>
          <w:szCs w:val="18"/>
          <w:color w:val="auto"/>
        </w:rPr>
      </w:pPr>
      <w:r>
        <w:rPr>
          <w:rFonts w:ascii="Arial" w:cs="Arial" w:eastAsia="Arial" w:hAnsi="Arial"/>
          <w:sz w:val="18"/>
          <w:szCs w:val="18"/>
          <w:color w:val="auto"/>
        </w:rPr>
        <w:t>In Turkey, Maren Maras Electric Production Industry and Trade Co. Inc. awarded SLB a four-year agreement to deploy a customized artificial lift solution supporting its geothermal portfolio. The system is engineered for high-temperature geothermal environments and delivered through an integrated commercial and operational model that reduces upfront capital requirements and provides life cycle support. Under the agreement, SLB will supply artificial lift equipment, field services and performance optimization expertise. The solution improves well productivity and system reliability under geothermal conditions and supports scalable geothermal development.</w:t>
      </w:r>
    </w:p>
    <w:p>
      <w:pPr>
        <w:sectPr>
          <w:pgSz w:w="11900" w:h="16838" w:orient="portrait"/>
          <w:cols w:equalWidth="0" w:num="1">
            <w:col w:w="11000"/>
          </w:cols>
          <w:pgMar w:left="440" w:top="269" w:right="459" w:bottom="1440" w:gutter="0" w:footer="0" w:header="0"/>
        </w:sectPr>
      </w:pPr>
    </w:p>
    <w:bookmarkStart w:id="20" w:name="page21"/>
    <w:bookmarkEnd w:id="20"/>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74865" cy="38735"/>
                    </a:xfrm>
                    <a:prstGeom prst="rect">
                      <a:avLst/>
                    </a:prstGeom>
                    <a:noFill/>
                  </pic:spPr>
                </pic:pic>
              </a:graphicData>
            </a:graphic>
          </wp:anchor>
        </w:drawing>
        <w:t>FINANCIAL TABLES</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Condensed Consolidated Statement of Income</w:t>
      </w:r>
    </w:p>
    <w:p>
      <w:pPr>
        <w:spacing w:after="0" w:line="248"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7580" w:type="dxa"/>
            <w:vAlign w:val="bottom"/>
          </w:tcPr>
          <w:p>
            <w:pPr>
              <w:spacing w:after="0"/>
              <w:rPr>
                <w:sz w:val="14"/>
                <w:szCs w:val="14"/>
                <w:color w:val="auto"/>
              </w:rPr>
            </w:pPr>
          </w:p>
        </w:tc>
        <w:tc>
          <w:tcPr>
            <w:tcW w:w="3440" w:type="dxa"/>
            <w:vAlign w:val="bottom"/>
            <w:gridSpan w:val="7"/>
          </w:tcPr>
          <w:p>
            <w:pPr>
              <w:ind w:left="460"/>
              <w:spacing w:after="0"/>
              <w:rPr>
                <w:sz w:val="20"/>
                <w:szCs w:val="20"/>
                <w:color w:val="auto"/>
              </w:rPr>
            </w:pPr>
            <w:r>
              <w:rPr>
                <w:rFonts w:ascii="Arial" w:cs="Arial" w:eastAsia="Arial" w:hAnsi="Arial"/>
                <w:sz w:val="14"/>
                <w:szCs w:val="14"/>
                <w:color w:val="auto"/>
              </w:rPr>
              <w:t>(Stated in millions, except per share amounts)</w:t>
            </w:r>
          </w:p>
        </w:tc>
        <w:tc>
          <w:tcPr>
            <w:tcW w:w="0" w:type="dxa"/>
            <w:vAlign w:val="bottom"/>
          </w:tcPr>
          <w:p>
            <w:pPr>
              <w:spacing w:after="0"/>
              <w:rPr>
                <w:sz w:val="1"/>
                <w:szCs w:val="1"/>
                <w:color w:val="auto"/>
              </w:rPr>
            </w:pPr>
          </w:p>
        </w:tc>
      </w:tr>
      <w:tr>
        <w:trPr>
          <w:trHeight w:val="171"/>
        </w:trPr>
        <w:tc>
          <w:tcPr>
            <w:tcW w:w="7580" w:type="dxa"/>
            <w:vAlign w:val="bottom"/>
          </w:tcPr>
          <w:p>
            <w:pPr>
              <w:spacing w:after="0"/>
              <w:rPr>
                <w:sz w:val="14"/>
                <w:szCs w:val="14"/>
                <w:color w:val="auto"/>
              </w:rPr>
            </w:pPr>
          </w:p>
        </w:tc>
        <w:tc>
          <w:tcPr>
            <w:tcW w:w="820" w:type="dxa"/>
            <w:vAlign w:val="bottom"/>
            <w:tcBorders>
              <w:bottom w:val="single" w:sz="8" w:color="auto"/>
            </w:tcBorders>
          </w:tcPr>
          <w:p>
            <w:pPr>
              <w:spacing w:after="0"/>
              <w:rPr>
                <w:sz w:val="14"/>
                <w:szCs w:val="14"/>
                <w:color w:val="auto"/>
              </w:rPr>
            </w:pPr>
          </w:p>
        </w:tc>
        <w:tc>
          <w:tcPr>
            <w:tcW w:w="1540" w:type="dxa"/>
            <w:vAlign w:val="bottom"/>
            <w:tcBorders>
              <w:bottom w:val="single" w:sz="8" w:color="auto"/>
            </w:tcBorders>
            <w:gridSpan w:val="4"/>
          </w:tcPr>
          <w:p>
            <w:pPr>
              <w:jc w:val="right"/>
              <w:ind w:right="150"/>
              <w:spacing w:after="0"/>
              <w:rPr>
                <w:sz w:val="20"/>
                <w:szCs w:val="20"/>
                <w:color w:val="auto"/>
              </w:rPr>
            </w:pPr>
            <w:r>
              <w:rPr>
                <w:rFonts w:ascii="Arial" w:cs="Arial" w:eastAsia="Arial" w:hAnsi="Arial"/>
                <w:sz w:val="14"/>
                <w:szCs w:val="14"/>
                <w:b w:val="1"/>
                <w:bCs w:val="1"/>
                <w:color w:val="auto"/>
              </w:rPr>
              <w:t>First Quarter</w:t>
            </w:r>
          </w:p>
        </w:tc>
        <w:tc>
          <w:tcPr>
            <w:tcW w:w="1020" w:type="dxa"/>
            <w:vAlign w:val="bottom"/>
            <w:tcBorders>
              <w:bottom w:val="single" w:sz="8" w:color="auto"/>
            </w:tcBorders>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55"/>
        </w:trPr>
        <w:tc>
          <w:tcPr>
            <w:tcW w:w="7580" w:type="dxa"/>
            <w:vAlign w:val="bottom"/>
            <w:tcBorders>
              <w:bottom w:val="single" w:sz="8" w:color="CCEEFF"/>
            </w:tcBorders>
          </w:tcPr>
          <w:p>
            <w:pPr>
              <w:spacing w:after="0"/>
              <w:rPr>
                <w:sz w:val="13"/>
                <w:szCs w:val="13"/>
                <w:color w:val="auto"/>
              </w:rPr>
            </w:pPr>
          </w:p>
        </w:tc>
        <w:tc>
          <w:tcPr>
            <w:tcW w:w="820" w:type="dxa"/>
            <w:vAlign w:val="bottom"/>
            <w:tcBorders>
              <w:bottom w:val="single" w:sz="8" w:color="auto"/>
            </w:tcBorders>
          </w:tcPr>
          <w:p>
            <w:pPr>
              <w:jc w:val="right"/>
              <w:spacing w:after="0" w:line="155" w:lineRule="exact"/>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auto"/>
            </w:tcBorders>
          </w:tcPr>
          <w:p>
            <w:pPr>
              <w:spacing w:after="0"/>
              <w:rPr>
                <w:sz w:val="13"/>
                <w:szCs w:val="13"/>
                <w:color w:val="auto"/>
              </w:rPr>
            </w:pPr>
          </w:p>
        </w:tc>
        <w:tc>
          <w:tcPr>
            <w:tcW w:w="20" w:type="dxa"/>
            <w:vAlign w:val="bottom"/>
            <w:tcBorders>
              <w:bottom w:val="single" w:sz="8" w:color="CCEEFF"/>
            </w:tcBorders>
          </w:tcPr>
          <w:p>
            <w:pPr>
              <w:spacing w:after="0"/>
              <w:rPr>
                <w:sz w:val="13"/>
                <w:szCs w:val="13"/>
                <w:color w:val="auto"/>
              </w:rPr>
            </w:pPr>
          </w:p>
        </w:tc>
        <w:tc>
          <w:tcPr>
            <w:tcW w:w="7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411"/>
              <w:spacing w:after="0" w:line="155" w:lineRule="exact"/>
              <w:rPr>
                <w:sz w:val="20"/>
                <w:szCs w:val="20"/>
                <w:color w:val="auto"/>
              </w:rPr>
            </w:pPr>
            <w:r>
              <w:rPr>
                <w:rFonts w:ascii="Arial" w:cs="Arial" w:eastAsia="Arial" w:hAnsi="Arial"/>
                <w:sz w:val="14"/>
                <w:szCs w:val="14"/>
                <w:color w:val="auto"/>
              </w:rPr>
              <w:t>2025</w:t>
            </w:r>
          </w:p>
        </w:tc>
        <w:tc>
          <w:tcPr>
            <w:tcW w:w="60" w:type="dxa"/>
            <w:vAlign w:val="bottom"/>
            <w:tcBorders>
              <w:bottom w:val="single" w:sz="8" w:color="CCEEFF"/>
            </w:tcBorders>
          </w:tcPr>
          <w:p>
            <w:pPr>
              <w:spacing w:after="0"/>
              <w:rPr>
                <w:sz w:val="13"/>
                <w:szCs w:val="13"/>
                <w:color w:val="auto"/>
              </w:rPr>
            </w:pPr>
          </w:p>
        </w:tc>
        <w:tc>
          <w:tcPr>
            <w:tcW w:w="0" w:type="dxa"/>
            <w:vAlign w:val="bottom"/>
          </w:tcPr>
          <w:p>
            <w:pPr>
              <w:spacing w:after="0"/>
              <w:rPr>
                <w:sz w:val="1"/>
                <w:szCs w:val="1"/>
                <w:color w:val="auto"/>
              </w:rPr>
            </w:pPr>
          </w:p>
        </w:tc>
      </w:tr>
      <w:tr>
        <w:trPr>
          <w:trHeight w:val="196"/>
        </w:trPr>
        <w:tc>
          <w:tcPr>
            <w:tcW w:w="75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Revenue</w:t>
            </w:r>
          </w:p>
        </w:tc>
        <w:tc>
          <w:tcPr>
            <w:tcW w:w="820" w:type="dxa"/>
            <w:vAlign w:val="bottom"/>
            <w:shd w:val="clear" w:color="auto" w:fill="CCEEFF"/>
          </w:tcPr>
          <w:p>
            <w:pPr>
              <w:jc w:val="right"/>
              <w:ind w:right="635"/>
              <w:spacing w:after="0" w:line="196" w:lineRule="exact"/>
              <w:rPr>
                <w:sz w:val="20"/>
                <w:szCs w:val="20"/>
                <w:color w:val="auto"/>
              </w:rPr>
            </w:pPr>
            <w:r>
              <w:rPr>
                <w:rFonts w:ascii="Arial" w:cs="Arial" w:eastAsia="Arial" w:hAnsi="Arial"/>
                <w:sz w:val="18"/>
                <w:szCs w:val="18"/>
                <w:b w:val="1"/>
                <w:bCs w:val="1"/>
                <w:color w:val="auto"/>
                <w:w w:val="79"/>
              </w:rPr>
              <w:t>$</w:t>
            </w:r>
          </w:p>
        </w:tc>
        <w:tc>
          <w:tcPr>
            <w:tcW w:w="4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97"/>
              </w:rPr>
              <w:t>8,721</w:t>
            </w:r>
          </w:p>
        </w:tc>
        <w:tc>
          <w:tcPr>
            <w:tcW w:w="20" w:type="dxa"/>
            <w:vAlign w:val="bottom"/>
            <w:shd w:val="clear" w:color="auto" w:fill="CCEEFF"/>
          </w:tcPr>
          <w:p>
            <w:pPr>
              <w:spacing w:after="0"/>
              <w:rPr>
                <w:sz w:val="17"/>
                <w:szCs w:val="17"/>
                <w:color w:val="auto"/>
              </w:rPr>
            </w:pPr>
          </w:p>
        </w:tc>
        <w:tc>
          <w:tcPr>
            <w:tcW w:w="760" w:type="dxa"/>
            <w:vAlign w:val="bottom"/>
            <w:shd w:val="clear" w:color="auto" w:fill="CCEEFF"/>
          </w:tcPr>
          <w:p>
            <w:pPr>
              <w:spacing w:after="0"/>
              <w:rPr>
                <w:sz w:val="17"/>
                <w:szCs w:val="17"/>
                <w:color w:val="auto"/>
              </w:rPr>
            </w:pPr>
          </w:p>
        </w:tc>
        <w:tc>
          <w:tcPr>
            <w:tcW w:w="300" w:type="dxa"/>
            <w:vAlign w:val="bottom"/>
            <w:shd w:val="clear" w:color="auto" w:fill="CCEEFF"/>
          </w:tcPr>
          <w:p>
            <w:pPr>
              <w:jc w:val="right"/>
              <w:ind w:right="110"/>
              <w:spacing w:after="0" w:line="196" w:lineRule="exact"/>
              <w:rPr>
                <w:sz w:val="20"/>
                <w:szCs w:val="20"/>
                <w:color w:val="auto"/>
              </w:rPr>
            </w:pPr>
            <w:r>
              <w:rPr>
                <w:rFonts w:ascii="Arial" w:cs="Arial" w:eastAsia="Arial" w:hAnsi="Arial"/>
                <w:sz w:val="18"/>
                <w:szCs w:val="18"/>
                <w:color w:val="auto"/>
                <w:w w:val="79"/>
              </w:rPr>
              <w:t>$</w:t>
            </w:r>
          </w:p>
        </w:tc>
        <w:tc>
          <w:tcPr>
            <w:tcW w:w="10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8,490</w:t>
            </w:r>
          </w:p>
        </w:tc>
        <w:tc>
          <w:tcPr>
            <w:tcW w:w="6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580" w:type="dxa"/>
            <w:vAlign w:val="bottom"/>
          </w:tcPr>
          <w:p>
            <w:pPr>
              <w:spacing w:after="0"/>
              <w:rPr>
                <w:sz w:val="20"/>
                <w:szCs w:val="20"/>
                <w:color w:val="auto"/>
              </w:rPr>
            </w:pPr>
            <w:r>
              <w:rPr>
                <w:rFonts w:ascii="Arial" w:cs="Arial" w:eastAsia="Arial" w:hAnsi="Arial"/>
                <w:sz w:val="18"/>
                <w:szCs w:val="18"/>
                <w:color w:val="auto"/>
              </w:rPr>
              <w:t>Interest &amp; other income</w:t>
            </w:r>
          </w:p>
        </w:tc>
        <w:tc>
          <w:tcPr>
            <w:tcW w:w="8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43</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Expenses</w:t>
            </w:r>
          </w:p>
        </w:tc>
        <w:tc>
          <w:tcPr>
            <w:tcW w:w="8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Cost of revenue </w:t>
            </w:r>
            <w:r>
              <w:rPr>
                <w:rFonts w:ascii="Arial" w:cs="Arial" w:eastAsia="Arial" w:hAnsi="Arial"/>
                <w:sz w:val="25"/>
                <w:szCs w:val="25"/>
                <w:color w:val="auto"/>
                <w:vertAlign w:val="superscript"/>
              </w:rPr>
              <w:t>(1)</w:t>
            </w:r>
          </w:p>
        </w:tc>
        <w:tc>
          <w:tcPr>
            <w:tcW w:w="8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7,390</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6,884</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Research &amp; engineering</w:t>
            </w: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164</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172</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rPr>
                <w:sz w:val="20"/>
                <w:szCs w:val="20"/>
                <w:color w:val="auto"/>
              </w:rPr>
            </w:pPr>
            <w:r>
              <w:rPr>
                <w:rFonts w:ascii="Arial" w:cs="Arial" w:eastAsia="Arial" w:hAnsi="Arial"/>
                <w:sz w:val="18"/>
                <w:szCs w:val="18"/>
                <w:color w:val="auto"/>
              </w:rPr>
              <w:t>General &amp; administrative</w:t>
            </w:r>
          </w:p>
        </w:tc>
        <w:tc>
          <w:tcPr>
            <w:tcW w:w="8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97</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96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Merger &amp; integration </w:t>
            </w:r>
            <w:r>
              <w:rPr>
                <w:rFonts w:ascii="Arial" w:cs="Arial" w:eastAsia="Arial" w:hAnsi="Arial"/>
                <w:sz w:val="25"/>
                <w:szCs w:val="25"/>
                <w:color w:val="auto"/>
                <w:vertAlign w:val="superscript"/>
              </w:rPr>
              <w:t>(1)</w:t>
            </w:r>
          </w:p>
        </w:tc>
        <w:tc>
          <w:tcPr>
            <w:tcW w:w="820" w:type="dxa"/>
            <w:vAlign w:val="bottom"/>
            <w:shd w:val="clear" w:color="auto" w:fill="CCEEFF"/>
          </w:tcPr>
          <w:p>
            <w:pPr>
              <w:spacing w:after="0"/>
              <w:rPr>
                <w:sz w:val="18"/>
                <w:szCs w:val="18"/>
                <w:color w:val="auto"/>
              </w:rPr>
            </w:pPr>
          </w:p>
        </w:tc>
        <w:tc>
          <w:tcPr>
            <w:tcW w:w="48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b w:val="1"/>
                <w:bCs w:val="1"/>
                <w:color w:val="auto"/>
              </w:rPr>
              <w:t>41</w:t>
            </w:r>
          </w:p>
        </w:tc>
        <w:tc>
          <w:tcPr>
            <w:tcW w:w="7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48</w:t>
            </w:r>
          </w:p>
        </w:tc>
        <w:tc>
          <w:tcPr>
            <w:tcW w:w="0" w:type="dxa"/>
            <w:vAlign w:val="bottom"/>
          </w:tcPr>
          <w:p>
            <w:pPr>
              <w:spacing w:after="0"/>
              <w:rPr>
                <w:sz w:val="1"/>
                <w:szCs w:val="1"/>
                <w:color w:val="auto"/>
              </w:rPr>
            </w:pPr>
          </w:p>
        </w:tc>
      </w:tr>
      <w:tr>
        <w:trPr>
          <w:trHeight w:val="216"/>
        </w:trPr>
        <w:tc>
          <w:tcPr>
            <w:tcW w:w="758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Restructuring </w:t>
            </w:r>
            <w:r>
              <w:rPr>
                <w:rFonts w:ascii="Arial" w:cs="Arial" w:eastAsia="Arial" w:hAnsi="Arial"/>
                <w:sz w:val="25"/>
                <w:szCs w:val="25"/>
                <w:color w:val="auto"/>
                <w:vertAlign w:val="superscript"/>
              </w:rPr>
              <w:t>(1)</w:t>
            </w:r>
          </w:p>
        </w:tc>
        <w:tc>
          <w:tcPr>
            <w:tcW w:w="8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158</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Interest</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line="223" w:lineRule="exact"/>
              <w:rPr>
                <w:sz w:val="20"/>
                <w:szCs w:val="20"/>
                <w:color w:val="auto"/>
              </w:rPr>
            </w:pPr>
            <w:r>
              <w:rPr>
                <w:rFonts w:ascii="Arial" w:cs="Arial" w:eastAsia="Arial" w:hAnsi="Arial"/>
                <w:sz w:val="17"/>
                <w:szCs w:val="17"/>
                <w:color w:val="auto"/>
              </w:rPr>
              <w:t xml:space="preserve">Income before taxes </w:t>
            </w:r>
            <w:r>
              <w:rPr>
                <w:rFonts w:ascii="Arial" w:cs="Arial" w:eastAsia="Arial" w:hAnsi="Arial"/>
                <w:sz w:val="25"/>
                <w:szCs w:val="25"/>
                <w:color w:val="auto"/>
                <w:vertAlign w:val="superscript"/>
              </w:rPr>
              <w:t>(1)</w:t>
            </w:r>
          </w:p>
        </w:tc>
        <w:tc>
          <w:tcPr>
            <w:tcW w:w="820" w:type="dxa"/>
            <w:vAlign w:val="bottom"/>
          </w:tcPr>
          <w:p>
            <w:pPr>
              <w:jc w:val="right"/>
              <w:ind w:right="635"/>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956</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1,063</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Tax expense </w:t>
            </w:r>
            <w:r>
              <w:rPr>
                <w:rFonts w:ascii="Arial" w:cs="Arial" w:eastAsia="Arial" w:hAnsi="Arial"/>
                <w:sz w:val="25"/>
                <w:szCs w:val="25"/>
                <w:color w:val="auto"/>
                <w:vertAlign w:val="superscript"/>
              </w:rPr>
              <w:t>(1)</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Net income </w:t>
            </w:r>
            <w:r>
              <w:rPr>
                <w:rFonts w:ascii="Arial" w:cs="Arial" w:eastAsia="Arial" w:hAnsi="Arial"/>
                <w:sz w:val="26"/>
                <w:szCs w:val="26"/>
                <w:color w:val="auto"/>
                <w:vertAlign w:val="superscript"/>
              </w:rPr>
              <w:t>(1)</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761</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829</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Net income attributable to noncontrolling interests </w:t>
            </w:r>
            <w:r>
              <w:rPr>
                <w:rFonts w:ascii="Arial" w:cs="Arial" w:eastAsia="Arial" w:hAnsi="Arial"/>
                <w:sz w:val="25"/>
                <w:szCs w:val="25"/>
                <w:color w:val="auto"/>
                <w:vertAlign w:val="superscript"/>
              </w:rPr>
              <w:t>(1)</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9</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32</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7580" w:type="dxa"/>
            <w:vAlign w:val="bottom"/>
          </w:tcPr>
          <w:p>
            <w:pPr>
              <w:spacing w:after="0" w:line="223" w:lineRule="exact"/>
              <w:rPr>
                <w:sz w:val="20"/>
                <w:szCs w:val="20"/>
                <w:color w:val="auto"/>
              </w:rPr>
            </w:pPr>
            <w:r>
              <w:rPr>
                <w:rFonts w:ascii="Arial" w:cs="Arial" w:eastAsia="Arial" w:hAnsi="Arial"/>
                <w:sz w:val="17"/>
                <w:szCs w:val="17"/>
                <w:color w:val="auto"/>
              </w:rPr>
              <w:t xml:space="preserve">Net income attributable to SLB </w:t>
            </w:r>
            <w:r>
              <w:rPr>
                <w:rFonts w:ascii="Arial" w:cs="Arial" w:eastAsia="Arial" w:hAnsi="Arial"/>
                <w:sz w:val="25"/>
                <w:szCs w:val="25"/>
                <w:color w:val="auto"/>
                <w:vertAlign w:val="superscript"/>
              </w:rPr>
              <w:t>(1)</w:t>
            </w:r>
          </w:p>
        </w:tc>
        <w:tc>
          <w:tcPr>
            <w:tcW w:w="820" w:type="dxa"/>
            <w:vAlign w:val="bottom"/>
          </w:tcPr>
          <w:p>
            <w:pPr>
              <w:jc w:val="right"/>
              <w:ind w:right="635"/>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752</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797</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shd w:val="clear" w:color="auto" w:fill="CCEEFF"/>
          </w:tcPr>
          <w:p>
            <w:pPr>
              <w:spacing w:after="0" w:line="210" w:lineRule="exact"/>
              <w:rPr>
                <w:sz w:val="20"/>
                <w:szCs w:val="20"/>
                <w:color w:val="auto"/>
              </w:rPr>
            </w:pPr>
            <w:r>
              <w:rPr>
                <w:rFonts w:ascii="Arial" w:cs="Arial" w:eastAsia="Arial" w:hAnsi="Arial"/>
                <w:sz w:val="17"/>
                <w:szCs w:val="17"/>
                <w:color w:val="auto"/>
              </w:rPr>
              <w:t xml:space="preserve">Diluted earnings per share of SLB </w:t>
            </w:r>
            <w:r>
              <w:rPr>
                <w:rFonts w:ascii="Arial" w:cs="Arial" w:eastAsia="Arial" w:hAnsi="Arial"/>
                <w:sz w:val="24"/>
                <w:szCs w:val="24"/>
                <w:color w:val="auto"/>
                <w:vertAlign w:val="superscript"/>
              </w:rPr>
              <w:t>(1)</w:t>
            </w:r>
          </w:p>
        </w:tc>
        <w:tc>
          <w:tcPr>
            <w:tcW w:w="820" w:type="dxa"/>
            <w:vAlign w:val="bottom"/>
            <w:tcBorders>
              <w:bottom w:val="single" w:sz="8" w:color="auto"/>
            </w:tcBorders>
            <w:shd w:val="clear" w:color="auto" w:fill="CCEEFF"/>
          </w:tcPr>
          <w:p>
            <w:pPr>
              <w:jc w:val="right"/>
              <w:ind w:right="635"/>
              <w:spacing w:after="0"/>
              <w:rPr>
                <w:sz w:val="20"/>
                <w:szCs w:val="20"/>
                <w:color w:val="auto"/>
              </w:rPr>
            </w:pPr>
            <w:r>
              <w:rPr>
                <w:rFonts w:ascii="Arial" w:cs="Arial" w:eastAsia="Arial" w:hAnsi="Arial"/>
                <w:sz w:val="18"/>
                <w:szCs w:val="18"/>
                <w:b w:val="1"/>
                <w:bCs w:val="1"/>
                <w:color w:val="auto"/>
                <w:w w:val="79"/>
              </w:rPr>
              <w:t>$</w:t>
            </w: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0.50</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jc w:val="right"/>
              <w:ind w:right="110"/>
              <w:spacing w:after="0"/>
              <w:rPr>
                <w:sz w:val="20"/>
                <w:szCs w:val="20"/>
                <w:color w:val="auto"/>
              </w:rPr>
            </w:pPr>
            <w:r>
              <w:rPr>
                <w:rFonts w:ascii="Arial" w:cs="Arial" w:eastAsia="Arial" w:hAnsi="Arial"/>
                <w:sz w:val="18"/>
                <w:szCs w:val="18"/>
                <w:color w:val="auto"/>
                <w:w w:val="79"/>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0.58</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rPr>
                <w:sz w:val="20"/>
                <w:szCs w:val="20"/>
                <w:color w:val="auto"/>
              </w:rPr>
            </w:pPr>
            <w:r>
              <w:rPr>
                <w:rFonts w:ascii="Arial" w:cs="Arial" w:eastAsia="Arial" w:hAnsi="Arial"/>
                <w:sz w:val="18"/>
                <w:szCs w:val="18"/>
                <w:color w:val="auto"/>
              </w:rPr>
              <w:t>Average shares outstanding</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820" w:type="dxa"/>
            <w:vAlign w:val="bottom"/>
          </w:tcPr>
          <w:p>
            <w:pPr>
              <w:spacing w:after="0"/>
              <w:rPr>
                <w:sz w:val="18"/>
                <w:szCs w:val="18"/>
                <w:color w:val="auto"/>
              </w:rPr>
            </w:pP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w w:val="97"/>
              </w:rPr>
              <w:t>1,499</w:t>
            </w:r>
          </w:p>
        </w:tc>
        <w:tc>
          <w:tcPr>
            <w:tcW w:w="7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1,366</w:t>
            </w:r>
          </w:p>
        </w:tc>
        <w:tc>
          <w:tcPr>
            <w:tcW w:w="0" w:type="dxa"/>
            <w:vAlign w:val="bottom"/>
          </w:tcPr>
          <w:p>
            <w:pPr>
              <w:spacing w:after="0"/>
              <w:rPr>
                <w:sz w:val="1"/>
                <w:szCs w:val="1"/>
                <w:color w:val="auto"/>
              </w:rPr>
            </w:pPr>
          </w:p>
        </w:tc>
      </w:tr>
      <w:tr>
        <w:trPr>
          <w:trHeight w:val="216"/>
        </w:trPr>
        <w:tc>
          <w:tcPr>
            <w:tcW w:w="7580" w:type="dxa"/>
            <w:vAlign w:val="bottom"/>
            <w:shd w:val="clear" w:color="auto" w:fill="CCEEFF"/>
          </w:tcPr>
          <w:p>
            <w:pPr>
              <w:spacing w:after="0"/>
              <w:rPr>
                <w:sz w:val="20"/>
                <w:szCs w:val="20"/>
                <w:color w:val="auto"/>
              </w:rPr>
            </w:pPr>
            <w:r>
              <w:rPr>
                <w:rFonts w:ascii="Arial" w:cs="Arial" w:eastAsia="Arial" w:hAnsi="Arial"/>
                <w:sz w:val="18"/>
                <w:szCs w:val="18"/>
                <w:color w:val="auto"/>
              </w:rPr>
              <w:t>Average shares outstanding assuming dilution</w:t>
            </w:r>
          </w:p>
        </w:tc>
        <w:tc>
          <w:tcPr>
            <w:tcW w:w="820" w:type="dxa"/>
            <w:vAlign w:val="bottom"/>
            <w:tcBorders>
              <w:bottom w:val="single" w:sz="8" w:color="auto"/>
            </w:tcBorders>
            <w:shd w:val="clear" w:color="auto" w:fill="CCEEFF"/>
          </w:tcPr>
          <w:p>
            <w:pPr>
              <w:spacing w:after="0"/>
              <w:rPr>
                <w:sz w:val="18"/>
                <w:szCs w:val="18"/>
                <w:color w:val="auto"/>
              </w:rPr>
            </w:pPr>
          </w:p>
        </w:tc>
        <w:tc>
          <w:tcPr>
            <w:tcW w:w="4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w w:val="97"/>
              </w:rPr>
              <w:t>1,515</w:t>
            </w:r>
          </w:p>
        </w:tc>
        <w:tc>
          <w:tcPr>
            <w:tcW w:w="20" w:type="dxa"/>
            <w:vAlign w:val="bottom"/>
            <w:shd w:val="clear" w:color="auto" w:fill="CCEEFF"/>
          </w:tcPr>
          <w:p>
            <w:pPr>
              <w:spacing w:after="0"/>
              <w:rPr>
                <w:sz w:val="18"/>
                <w:szCs w:val="18"/>
                <w:color w:val="auto"/>
              </w:rPr>
            </w:pPr>
          </w:p>
        </w:tc>
        <w:tc>
          <w:tcPr>
            <w:tcW w:w="760" w:type="dxa"/>
            <w:vAlign w:val="bottom"/>
            <w:shd w:val="clear" w:color="auto" w:fill="CCEEFF"/>
          </w:tcPr>
          <w:p>
            <w:pPr>
              <w:spacing w:after="0"/>
              <w:rPr>
                <w:sz w:val="18"/>
                <w:szCs w:val="18"/>
                <w:color w:val="auto"/>
              </w:rPr>
            </w:pPr>
          </w:p>
        </w:tc>
        <w:tc>
          <w:tcPr>
            <w:tcW w:w="300" w:type="dxa"/>
            <w:vAlign w:val="bottom"/>
            <w:tcBorders>
              <w:bottom w:val="single" w:sz="8" w:color="auto"/>
            </w:tcBorders>
            <w:shd w:val="clear" w:color="auto" w:fill="CCEEFF"/>
          </w:tcPr>
          <w:p>
            <w:pPr>
              <w:spacing w:after="0"/>
              <w:rPr>
                <w:sz w:val="18"/>
                <w:szCs w:val="18"/>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1,380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7580" w:type="dxa"/>
            <w:vAlign w:val="bottom"/>
            <w:vMerge w:val="restart"/>
          </w:tcPr>
          <w:p>
            <w:pPr>
              <w:spacing w:after="0" w:line="250" w:lineRule="exact"/>
              <w:rPr>
                <w:sz w:val="20"/>
                <w:szCs w:val="20"/>
                <w:color w:val="auto"/>
              </w:rPr>
            </w:pPr>
            <w:r>
              <w:rPr>
                <w:rFonts w:ascii="Arial" w:cs="Arial" w:eastAsia="Arial" w:hAnsi="Arial"/>
                <w:sz w:val="18"/>
                <w:szCs w:val="18"/>
                <w:color w:val="auto"/>
              </w:rPr>
              <w:t xml:space="preserve">Depreciation &amp; amortization included in expenses </w:t>
            </w:r>
            <w:r>
              <w:rPr>
                <w:rFonts w:ascii="Arial" w:cs="Arial" w:eastAsia="Arial" w:hAnsi="Arial"/>
                <w:sz w:val="26"/>
                <w:szCs w:val="26"/>
                <w:color w:val="auto"/>
                <w:vertAlign w:val="superscript"/>
              </w:rPr>
              <w:t>(2)</w:t>
            </w:r>
          </w:p>
        </w:tc>
        <w:tc>
          <w:tcPr>
            <w:tcW w:w="820" w:type="dxa"/>
            <w:vAlign w:val="bottom"/>
            <w:tcBorders>
              <w:bottom w:val="single" w:sz="8" w:color="auto"/>
            </w:tcBorders>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7580" w:type="dxa"/>
            <w:vAlign w:val="bottom"/>
            <w:vMerge w:val="continue"/>
          </w:tcPr>
          <w:p>
            <w:pPr>
              <w:spacing w:after="0"/>
              <w:rPr>
                <w:sz w:val="18"/>
                <w:szCs w:val="18"/>
                <w:color w:val="auto"/>
              </w:rPr>
            </w:pPr>
          </w:p>
        </w:tc>
        <w:tc>
          <w:tcPr>
            <w:tcW w:w="820" w:type="dxa"/>
            <w:vAlign w:val="bottom"/>
          </w:tcPr>
          <w:p>
            <w:pPr>
              <w:jc w:val="right"/>
              <w:ind w:right="635"/>
              <w:spacing w:after="0"/>
              <w:rPr>
                <w:sz w:val="20"/>
                <w:szCs w:val="20"/>
                <w:color w:val="auto"/>
              </w:rPr>
            </w:pPr>
            <w:r>
              <w:rPr>
                <w:rFonts w:ascii="Arial" w:cs="Arial" w:eastAsia="Arial" w:hAnsi="Arial"/>
                <w:sz w:val="18"/>
                <w:szCs w:val="18"/>
                <w:b w:val="1"/>
                <w:bCs w:val="1"/>
                <w:color w:val="auto"/>
                <w:w w:val="79"/>
              </w:rPr>
              <w:t>$</w:t>
            </w:r>
          </w:p>
        </w:tc>
        <w:tc>
          <w:tcPr>
            <w:tcW w:w="48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685</w:t>
            </w:r>
          </w:p>
        </w:tc>
        <w:tc>
          <w:tcPr>
            <w:tcW w:w="1060" w:type="dxa"/>
            <w:vAlign w:val="bottom"/>
            <w:gridSpan w:val="2"/>
          </w:tcPr>
          <w:p>
            <w:pPr>
              <w:jc w:val="right"/>
              <w:ind w:right="110"/>
              <w:spacing w:after="0"/>
              <w:rPr>
                <w:sz w:val="20"/>
                <w:szCs w:val="20"/>
                <w:color w:val="auto"/>
              </w:rPr>
            </w:pPr>
            <w:r>
              <w:rPr>
                <w:rFonts w:ascii="Arial" w:cs="Arial" w:eastAsia="Arial" w:hAnsi="Arial"/>
                <w:sz w:val="18"/>
                <w:szCs w:val="18"/>
                <w:color w:val="auto"/>
              </w:rPr>
              <w:t>$</w:t>
            </w:r>
          </w:p>
        </w:tc>
        <w:tc>
          <w:tcPr>
            <w:tcW w:w="1080" w:type="dxa"/>
            <w:vAlign w:val="bottom"/>
            <w:gridSpan w:val="2"/>
          </w:tcPr>
          <w:p>
            <w:pPr>
              <w:jc w:val="right"/>
              <w:ind w:right="6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0"/>
        </w:trPr>
        <w:tc>
          <w:tcPr>
            <w:tcW w:w="7580" w:type="dxa"/>
            <w:vAlign w:val="bottom"/>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60" w:type="dxa"/>
            <w:vAlign w:val="bottom"/>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17"/>
        </w:numPr>
        <w:rPr>
          <w:rFonts w:ascii="Arial" w:cs="Arial" w:eastAsia="Arial" w:hAnsi="Arial"/>
          <w:sz w:val="27"/>
          <w:szCs w:val="27"/>
          <w:color w:val="auto"/>
          <w:vertAlign w:val="superscript"/>
        </w:rPr>
      </w:pPr>
      <w:r>
        <w:rPr>
          <w:rFonts w:ascii="Arial" w:cs="Arial" w:eastAsia="Arial" w:hAnsi="Arial"/>
          <w:sz w:val="18"/>
          <w:szCs w:val="18"/>
          <w:color w:val="auto"/>
        </w:rPr>
        <w:t>See section entitled “Charges &amp; Credits” for details.</w:t>
      </w:r>
    </w:p>
    <w:p>
      <w:pPr>
        <w:ind w:left="424" w:hanging="424"/>
        <w:spacing w:after="0" w:line="184" w:lineRule="auto"/>
        <w:tabs>
          <w:tab w:leader="none" w:pos="424" w:val="left"/>
        </w:tabs>
        <w:numPr>
          <w:ilvl w:val="0"/>
          <w:numId w:val="17"/>
        </w:numPr>
        <w:rPr>
          <w:rFonts w:ascii="Arial" w:cs="Arial" w:eastAsia="Arial" w:hAnsi="Arial"/>
          <w:sz w:val="25"/>
          <w:szCs w:val="25"/>
          <w:color w:val="auto"/>
          <w:vertAlign w:val="superscript"/>
        </w:rPr>
      </w:pPr>
      <w:r>
        <w:rPr>
          <w:rFonts w:ascii="Arial" w:cs="Arial" w:eastAsia="Arial" w:hAnsi="Arial"/>
          <w:sz w:val="17"/>
          <w:szCs w:val="17"/>
          <w:color w:val="auto"/>
        </w:rPr>
        <w:t>Includes depreciation of fixed assets and amortization of intangible assets, exploration data costs, and APS investments.</w:t>
      </w:r>
    </w:p>
    <w:p>
      <w:pPr>
        <w:sectPr>
          <w:pgSz w:w="11900" w:h="16838" w:orient="portrait"/>
          <w:cols w:equalWidth="0" w:num="1">
            <w:col w:w="11024"/>
          </w:cols>
          <w:pgMar w:left="436" w:top="269" w:right="4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74865" cy="38735"/>
                    </a:xfrm>
                    <a:prstGeom prst="rect">
                      <a:avLst/>
                    </a:prstGeom>
                    <a:noFill/>
                  </pic:spPr>
                </pic:pic>
              </a:graphicData>
            </a:graphic>
          </wp:anchor>
        </w:drawing>
        <w:t>Condensed Consolidated Balance Sheet</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20" w:type="dxa"/>
            <w:vAlign w:val="bottom"/>
          </w:tcPr>
          <w:p>
            <w:pPr>
              <w:spacing w:after="0"/>
              <w:rPr>
                <w:sz w:val="14"/>
                <w:szCs w:val="14"/>
                <w:color w:val="auto"/>
              </w:rPr>
            </w:pPr>
          </w:p>
        </w:tc>
        <w:tc>
          <w:tcPr>
            <w:tcW w:w="90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440" w:type="dxa"/>
            <w:vAlign w:val="bottom"/>
            <w:gridSpan w:val="5"/>
          </w:tcPr>
          <w:p>
            <w:pPr>
              <w:jc w:val="center"/>
              <w:ind w:left="53"/>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6"/>
        </w:trPr>
        <w:tc>
          <w:tcPr>
            <w:tcW w:w="9480" w:type="dxa"/>
            <w:vAlign w:val="bottom"/>
            <w:gridSpan w:val="2"/>
            <w:vMerge w:val="restart"/>
          </w:tcPr>
          <w:p>
            <w:pPr>
              <w:spacing w:after="0"/>
              <w:rPr>
                <w:sz w:val="20"/>
                <w:szCs w:val="20"/>
                <w:color w:val="auto"/>
              </w:rPr>
            </w:pPr>
            <w:r>
              <w:rPr>
                <w:rFonts w:ascii="Arial" w:cs="Arial" w:eastAsia="Arial" w:hAnsi="Arial"/>
                <w:sz w:val="14"/>
                <w:szCs w:val="14"/>
                <w:color w:val="auto"/>
              </w:rPr>
              <w:t>Assets</w:t>
            </w:r>
          </w:p>
        </w:tc>
        <w:tc>
          <w:tcPr>
            <w:tcW w:w="660" w:type="dxa"/>
            <w:vAlign w:val="bottom"/>
            <w:gridSpan w:val="2"/>
          </w:tcPr>
          <w:p>
            <w:pPr>
              <w:jc w:val="right"/>
              <w:spacing w:after="0"/>
              <w:rPr>
                <w:sz w:val="20"/>
                <w:szCs w:val="20"/>
                <w:color w:val="auto"/>
              </w:rPr>
            </w:pPr>
            <w:r>
              <w:rPr>
                <w:rFonts w:ascii="Arial" w:cs="Arial" w:eastAsia="Arial" w:hAnsi="Arial"/>
                <w:sz w:val="14"/>
                <w:szCs w:val="14"/>
                <w:b w:val="1"/>
                <w:bCs w:val="1"/>
                <w:color w:val="auto"/>
              </w:rPr>
              <w:t>Mar. 31,</w:t>
            </w:r>
          </w:p>
        </w:tc>
        <w:tc>
          <w:tcPr>
            <w:tcW w:w="160" w:type="dxa"/>
            <w:vAlign w:val="bottom"/>
          </w:tcPr>
          <w:p>
            <w:pPr>
              <w:spacing w:after="0"/>
              <w:rPr>
                <w:sz w:val="15"/>
                <w:szCs w:val="15"/>
                <w:color w:val="auto"/>
              </w:rPr>
            </w:pPr>
          </w:p>
        </w:tc>
        <w:tc>
          <w:tcPr>
            <w:tcW w:w="720" w:type="dxa"/>
            <w:vAlign w:val="bottom"/>
            <w:gridSpan w:val="3"/>
          </w:tcPr>
          <w:p>
            <w:pPr>
              <w:ind w:left="6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58"/>
        </w:trPr>
        <w:tc>
          <w:tcPr>
            <w:tcW w:w="9480" w:type="dxa"/>
            <w:vAlign w:val="bottom"/>
            <w:gridSpan w:val="2"/>
            <w:vMerge w:val="continue"/>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3"/>
              <w:spacing w:after="0" w:line="158" w:lineRule="exact"/>
              <w:rPr>
                <w:sz w:val="20"/>
                <w:szCs w:val="20"/>
                <w:color w:val="auto"/>
              </w:rPr>
            </w:pPr>
            <w:r>
              <w:rPr>
                <w:rFonts w:ascii="Arial" w:cs="Arial" w:eastAsia="Arial" w:hAnsi="Arial"/>
                <w:sz w:val="14"/>
                <w:szCs w:val="14"/>
                <w:b w:val="1"/>
                <w:bCs w:val="1"/>
                <w:color w:val="auto"/>
              </w:rPr>
              <w:t>2026</w:t>
            </w:r>
          </w:p>
        </w:tc>
        <w:tc>
          <w:tcPr>
            <w:tcW w:w="1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560" w:type="dxa"/>
            <w:vAlign w:val="bottom"/>
          </w:tcPr>
          <w:p>
            <w:pPr>
              <w:jc w:val="right"/>
              <w:ind w:right="92"/>
              <w:spacing w:after="0" w:line="158" w:lineRule="exact"/>
              <w:rPr>
                <w:sz w:val="20"/>
                <w:szCs w:val="20"/>
                <w:color w:val="auto"/>
              </w:rPr>
            </w:pPr>
            <w:r>
              <w:rPr>
                <w:rFonts w:ascii="Arial" w:cs="Arial" w:eastAsia="Arial" w:hAnsi="Arial"/>
                <w:sz w:val="14"/>
                <w:szCs w:val="14"/>
                <w:color w:val="auto"/>
              </w:rPr>
              <w:t>2025</w:t>
            </w:r>
          </w:p>
        </w:tc>
        <w:tc>
          <w:tcPr>
            <w:tcW w:w="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20" w:type="dxa"/>
            <w:vAlign w:val="bottom"/>
            <w:tcBorders>
              <w:bottom w:val="single" w:sz="8" w:color="CCEEFF"/>
            </w:tcBorders>
            <w:shd w:val="clear" w:color="auto" w:fill="000000"/>
          </w:tcPr>
          <w:p>
            <w:pPr>
              <w:spacing w:after="0" w:line="20" w:lineRule="exact"/>
              <w:rPr>
                <w:sz w:val="1"/>
                <w:szCs w:val="1"/>
                <w:color w:val="auto"/>
              </w:rPr>
            </w:pPr>
          </w:p>
        </w:tc>
        <w:tc>
          <w:tcPr>
            <w:tcW w:w="90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60" w:type="dxa"/>
            <w:vAlign w:val="bottom"/>
            <w:tcBorders>
              <w:bottom w:val="single" w:sz="8" w:color="CCEEFF"/>
            </w:tcBorders>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60" w:type="dxa"/>
            <w:vAlign w:val="bottom"/>
            <w:tcBorders>
              <w:bottom w:val="single" w:sz="8" w:color="CCEEFF"/>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9"/>
        </w:trPr>
        <w:tc>
          <w:tcPr>
            <w:tcW w:w="9480" w:type="dxa"/>
            <w:vAlign w:val="bottom"/>
            <w:gridSpan w:val="2"/>
            <w:shd w:val="clear" w:color="auto" w:fill="CCEEFF"/>
          </w:tcPr>
          <w:p>
            <w:pPr>
              <w:spacing w:after="0" w:line="189" w:lineRule="exact"/>
              <w:rPr>
                <w:sz w:val="20"/>
                <w:szCs w:val="20"/>
                <w:color w:val="auto"/>
              </w:rPr>
            </w:pPr>
            <w:r>
              <w:rPr>
                <w:rFonts w:ascii="Arial" w:cs="Arial" w:eastAsia="Arial" w:hAnsi="Arial"/>
                <w:sz w:val="18"/>
                <w:szCs w:val="18"/>
                <w:color w:val="auto"/>
              </w:rPr>
              <w:t>Current Assets</w:t>
            </w: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16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560" w:type="dxa"/>
            <w:vAlign w:val="bottom"/>
            <w:shd w:val="clear" w:color="auto" w:fill="CCEEFF"/>
          </w:tcPr>
          <w:p>
            <w:pPr>
              <w:spacing w:after="0"/>
              <w:rPr>
                <w:sz w:val="16"/>
                <w:szCs w:val="16"/>
                <w:color w:val="auto"/>
              </w:rPr>
            </w:pPr>
          </w:p>
        </w:tc>
        <w:tc>
          <w:tcPr>
            <w:tcW w:w="6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Cash and short-term investments</w:t>
            </w:r>
          </w:p>
        </w:tc>
        <w:tc>
          <w:tcPr>
            <w:tcW w:w="10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3,387</w:t>
            </w:r>
          </w:p>
        </w:tc>
        <w:tc>
          <w:tcPr>
            <w:tcW w:w="260" w:type="dxa"/>
            <w:vAlign w:val="bottom"/>
            <w:gridSpan w:val="2"/>
          </w:tcPr>
          <w:p>
            <w:pPr>
              <w:jc w:val="center"/>
              <w:ind w:left="70"/>
              <w:spacing w:after="0"/>
              <w:rPr>
                <w:sz w:val="20"/>
                <w:szCs w:val="20"/>
                <w:color w:val="auto"/>
              </w:rPr>
            </w:pPr>
            <w:r>
              <w:rPr>
                <w:rFonts w:ascii="Arial" w:cs="Arial" w:eastAsia="Arial" w:hAnsi="Arial"/>
                <w:sz w:val="18"/>
                <w:szCs w:val="18"/>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4,212</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Receivables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9,037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8,689</w:t>
            </w:r>
          </w:p>
        </w:tc>
        <w:tc>
          <w:tcPr>
            <w:tcW w:w="0" w:type="dxa"/>
            <w:vAlign w:val="bottom"/>
          </w:tcPr>
          <w:p>
            <w:pPr>
              <w:spacing w:after="0"/>
              <w:rPr>
                <w:sz w:val="1"/>
                <w:szCs w:val="1"/>
                <w:color w:val="auto"/>
              </w:rPr>
            </w:pPr>
          </w:p>
        </w:tc>
      </w:tr>
      <w:tr>
        <w:trPr>
          <w:trHeight w:val="216"/>
        </w:trPr>
        <w:tc>
          <w:tcPr>
            <w:tcW w:w="9480" w:type="dxa"/>
            <w:vAlign w:val="bottom"/>
            <w:gridSpan w:val="2"/>
          </w:tcPr>
          <w:p>
            <w:pPr>
              <w:ind w:left="360"/>
              <w:spacing w:after="0"/>
              <w:rPr>
                <w:sz w:val="20"/>
                <w:szCs w:val="20"/>
                <w:color w:val="auto"/>
              </w:rPr>
            </w:pPr>
            <w:r>
              <w:rPr>
                <w:rFonts w:ascii="Arial" w:cs="Arial" w:eastAsia="Arial" w:hAnsi="Arial"/>
                <w:sz w:val="18"/>
                <w:szCs w:val="18"/>
                <w:color w:val="auto"/>
              </w:rPr>
              <w:t>Inventories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5,274</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5,032</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ind w:left="360"/>
              <w:spacing w:after="0"/>
              <w:rPr>
                <w:sz w:val="20"/>
                <w:szCs w:val="20"/>
                <w:color w:val="auto"/>
              </w:rPr>
            </w:pPr>
            <w:r>
              <w:rPr>
                <w:rFonts w:ascii="Arial" w:cs="Arial" w:eastAsia="Arial" w:hAnsi="Arial"/>
                <w:sz w:val="18"/>
                <w:szCs w:val="18"/>
                <w:color w:val="auto"/>
              </w:rPr>
              <w:t>Other current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1,637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1,580</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19,335</w:t>
            </w: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19,513</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Investment in affiliated companies</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1,784</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1,783</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Fixed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7,747</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7,894</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Goodwill</w:t>
            </w:r>
          </w:p>
        </w:tc>
        <w:tc>
          <w:tcPr>
            <w:tcW w:w="100" w:type="dxa"/>
            <w:vAlign w:val="bottom"/>
            <w:shd w:val="clear" w:color="auto" w:fill="CCEEFF"/>
          </w:tcPr>
          <w:p>
            <w:pPr>
              <w:spacing w:after="0"/>
              <w:rPr>
                <w:sz w:val="18"/>
                <w:szCs w:val="18"/>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98"/>
              </w:rPr>
              <w:t>16,852</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8"/>
              </w:rPr>
              <w:t>16,794</w:t>
            </w:r>
          </w:p>
        </w:tc>
        <w:tc>
          <w:tcPr>
            <w:tcW w:w="0" w:type="dxa"/>
            <w:vAlign w:val="bottom"/>
          </w:tcPr>
          <w:p>
            <w:pPr>
              <w:spacing w:after="0"/>
              <w:rPr>
                <w:sz w:val="1"/>
                <w:szCs w:val="1"/>
                <w:color w:val="auto"/>
              </w:rPr>
            </w:pPr>
          </w:p>
        </w:tc>
      </w:tr>
      <w:tr>
        <w:trPr>
          <w:trHeight w:val="216"/>
        </w:trPr>
        <w:tc>
          <w:tcPr>
            <w:tcW w:w="9480" w:type="dxa"/>
            <w:vAlign w:val="bottom"/>
            <w:gridSpan w:val="2"/>
          </w:tcPr>
          <w:p>
            <w:pPr>
              <w:spacing w:after="0"/>
              <w:rPr>
                <w:sz w:val="20"/>
                <w:szCs w:val="20"/>
                <w:color w:val="auto"/>
              </w:rPr>
            </w:pPr>
            <w:r>
              <w:rPr>
                <w:rFonts w:ascii="Arial" w:cs="Arial" w:eastAsia="Arial" w:hAnsi="Arial"/>
                <w:sz w:val="18"/>
                <w:szCs w:val="18"/>
                <w:color w:val="auto"/>
              </w:rPr>
              <w:t>Intangible assets</w:t>
            </w:r>
          </w:p>
        </w:tc>
        <w:tc>
          <w:tcPr>
            <w:tcW w:w="100" w:type="dxa"/>
            <w:vAlign w:val="bottom"/>
          </w:tcPr>
          <w:p>
            <w:pPr>
              <w:spacing w:after="0"/>
              <w:rPr>
                <w:sz w:val="18"/>
                <w:szCs w:val="18"/>
                <w:color w:val="auto"/>
              </w:rPr>
            </w:pP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rPr>
              <w:t>4,901</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4,988</w:t>
            </w:r>
          </w:p>
        </w:tc>
        <w:tc>
          <w:tcPr>
            <w:tcW w:w="0" w:type="dxa"/>
            <w:vAlign w:val="bottom"/>
          </w:tcPr>
          <w:p>
            <w:pPr>
              <w:spacing w:after="0"/>
              <w:rPr>
                <w:sz w:val="1"/>
                <w:szCs w:val="1"/>
                <w:color w:val="auto"/>
              </w:rPr>
            </w:pPr>
          </w:p>
        </w:tc>
      </w:tr>
      <w:tr>
        <w:trPr>
          <w:trHeight w:val="216"/>
        </w:trPr>
        <w:tc>
          <w:tcPr>
            <w:tcW w:w="948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 assets</w:t>
            </w: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3,907</w:t>
            </w:r>
          </w:p>
        </w:tc>
        <w:tc>
          <w:tcPr>
            <w:tcW w:w="16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3,896</w:t>
            </w:r>
          </w:p>
        </w:tc>
        <w:tc>
          <w:tcPr>
            <w:tcW w:w="6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20" w:type="dxa"/>
            <w:vAlign w:val="bottom"/>
          </w:tcPr>
          <w:p>
            <w:pPr>
              <w:spacing w:after="0"/>
              <w:rPr>
                <w:sz w:val="19"/>
                <w:szCs w:val="19"/>
                <w:color w:val="auto"/>
              </w:rPr>
            </w:pPr>
          </w:p>
        </w:tc>
        <w:tc>
          <w:tcPr>
            <w:tcW w:w="90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8"/>
                <w:szCs w:val="18"/>
                <w:b w:val="1"/>
                <w:bCs w:val="1"/>
                <w:u w:val="single" w:color="auto"/>
                <w:color w:val="auto"/>
                <w:w w:val="79"/>
              </w:rPr>
              <w:t>$</w:t>
            </w:r>
          </w:p>
        </w:tc>
        <w:tc>
          <w:tcPr>
            <w:tcW w:w="560" w:type="dxa"/>
            <w:vAlign w:val="bottom"/>
          </w:tcPr>
          <w:p>
            <w:pPr>
              <w:jc w:val="right"/>
              <w:spacing w:after="0"/>
              <w:rPr>
                <w:sz w:val="20"/>
                <w:szCs w:val="20"/>
                <w:color w:val="auto"/>
              </w:rPr>
            </w:pPr>
            <w:r>
              <w:rPr>
                <w:rFonts w:ascii="Arial" w:cs="Arial" w:eastAsia="Arial" w:hAnsi="Arial"/>
                <w:sz w:val="18"/>
                <w:szCs w:val="18"/>
                <w:b w:val="1"/>
                <w:bCs w:val="1"/>
                <w:color w:val="auto"/>
                <w:w w:val="98"/>
              </w:rPr>
              <w:t>54,526</w:t>
            </w:r>
          </w:p>
        </w:tc>
        <w:tc>
          <w:tcPr>
            <w:tcW w:w="260" w:type="dxa"/>
            <w:vAlign w:val="bottom"/>
            <w:gridSpan w:val="2"/>
          </w:tcPr>
          <w:p>
            <w:pPr>
              <w:jc w:val="center"/>
              <w:ind w:left="70"/>
              <w:spacing w:after="0"/>
              <w:rPr>
                <w:sz w:val="20"/>
                <w:szCs w:val="20"/>
                <w:color w:val="auto"/>
              </w:rPr>
            </w:pPr>
            <w:r>
              <w:rPr>
                <w:rFonts w:ascii="Arial" w:cs="Arial" w:eastAsia="Arial" w:hAnsi="Arial"/>
                <w:sz w:val="18"/>
                <w:szCs w:val="18"/>
                <w:u w:val="single" w:color="auto"/>
                <w:color w:val="auto"/>
                <w:w w:val="99"/>
              </w:rPr>
              <w:t>$</w:t>
            </w: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w w:val="98"/>
              </w:rPr>
              <w:t>54,868</w:t>
            </w:r>
          </w:p>
        </w:tc>
        <w:tc>
          <w:tcPr>
            <w:tcW w:w="0" w:type="dxa"/>
            <w:vAlign w:val="bottom"/>
          </w:tcPr>
          <w:p>
            <w:pPr>
              <w:spacing w:after="0"/>
              <w:rPr>
                <w:sz w:val="1"/>
                <w:szCs w:val="1"/>
                <w:color w:val="auto"/>
              </w:rPr>
            </w:pPr>
          </w:p>
        </w:tc>
      </w:tr>
      <w:tr>
        <w:trPr>
          <w:trHeight w:val="20"/>
        </w:trPr>
        <w:tc>
          <w:tcPr>
            <w:tcW w:w="420" w:type="dxa"/>
            <w:vAlign w:val="bottom"/>
          </w:tcPr>
          <w:p>
            <w:pPr>
              <w:spacing w:after="0" w:line="20" w:lineRule="exact"/>
              <w:rPr>
                <w:sz w:val="1"/>
                <w:szCs w:val="1"/>
                <w:color w:val="auto"/>
              </w:rPr>
            </w:pPr>
          </w:p>
        </w:tc>
        <w:tc>
          <w:tcPr>
            <w:tcW w:w="90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0"/>
          </w:cols>
          <w:pgMar w:left="440" w:top="269" w:right="439" w:bottom="1440" w:gutter="0" w:footer="0" w:header="0"/>
        </w:sectPr>
      </w:pP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u w:val="single" w:color="auto"/>
          <w:color w:val="auto"/>
        </w:rPr>
        <w:t>Liabilities and Equity</w:t>
      </w:r>
    </w:p>
    <w:p>
      <w:pPr>
        <w:spacing w:after="0" w:line="23" w:lineRule="exact"/>
        <w:rPr>
          <w:sz w:val="20"/>
          <w:szCs w:val="20"/>
          <w:color w:val="auto"/>
        </w:rPr>
      </w:pPr>
    </w:p>
    <w:p>
      <w:pPr>
        <w:spacing w:after="0"/>
        <w:rPr>
          <w:sz w:val="20"/>
          <w:szCs w:val="20"/>
          <w:color w:val="auto"/>
        </w:rPr>
      </w:pPr>
      <w:r>
        <w:rPr>
          <w:rFonts w:ascii="Arial" w:cs="Arial" w:eastAsia="Arial" w:hAnsi="Arial"/>
          <w:sz w:val="18"/>
          <w:szCs w:val="18"/>
          <w:color w:val="auto"/>
        </w:rPr>
        <w:t>Current Liabilities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13716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8"/>
          <w:szCs w:val="18"/>
          <w:color w:val="auto"/>
        </w:rPr>
        <w:t>Accounts payable and accrued liabilities</w:t>
      </w:r>
    </w:p>
    <w:p>
      <w:pPr>
        <w:spacing w:after="0" w:line="9" w:lineRule="exact"/>
        <w:rPr>
          <w:sz w:val="20"/>
          <w:szCs w:val="20"/>
          <w:color w:val="auto"/>
        </w:rPr>
      </w:pPr>
    </w:p>
    <w:p>
      <w:pPr>
        <w:ind w:left="360"/>
        <w:spacing w:after="0"/>
        <w:rPr>
          <w:sz w:val="20"/>
          <w:szCs w:val="20"/>
          <w:color w:val="auto"/>
        </w:rPr>
      </w:pPr>
      <w:r>
        <w:rPr>
          <w:rFonts w:ascii="Arial" w:cs="Arial" w:eastAsia="Arial" w:hAnsi="Arial"/>
          <w:sz w:val="18"/>
          <w:szCs w:val="18"/>
          <w:color w:val="auto"/>
        </w:rPr>
        <w:t>Estimated liability for taxes on income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13716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0"/>
        <w:spacing w:after="0"/>
        <w:rPr>
          <w:sz w:val="20"/>
          <w:szCs w:val="20"/>
          <w:color w:val="auto"/>
        </w:rPr>
      </w:pPr>
      <w:r>
        <w:rPr>
          <w:rFonts w:ascii="Arial" w:cs="Arial" w:eastAsia="Arial" w:hAnsi="Arial"/>
          <w:sz w:val="17"/>
          <w:szCs w:val="17"/>
          <w:color w:val="auto"/>
        </w:rPr>
        <w:t>Short-term borrowings and current portion of long-term debt</w:t>
      </w:r>
    </w:p>
    <w:p>
      <w:pPr>
        <w:spacing w:after="0" w:line="21" w:lineRule="exact"/>
        <w:rPr>
          <w:sz w:val="20"/>
          <w:szCs w:val="20"/>
          <w:color w:val="auto"/>
        </w:rPr>
      </w:pPr>
    </w:p>
    <w:p>
      <w:pPr>
        <w:ind w:left="360"/>
        <w:spacing w:after="0"/>
        <w:rPr>
          <w:sz w:val="20"/>
          <w:szCs w:val="20"/>
          <w:color w:val="auto"/>
        </w:rPr>
      </w:pPr>
      <w:r>
        <w:rPr>
          <w:rFonts w:ascii="Arial" w:cs="Arial" w:eastAsia="Arial" w:hAnsi="Arial"/>
          <w:sz w:val="18"/>
          <w:szCs w:val="18"/>
          <w:color w:val="auto"/>
        </w:rPr>
        <w:t>Dividends payable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-130175</wp:posOffset>
            </wp:positionV>
            <wp:extent cx="6995160" cy="13716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214" w:lineRule="exact"/>
        <w:rPr>
          <w:sz w:val="20"/>
          <w:szCs w:val="20"/>
          <w:color w:val="auto"/>
        </w:rPr>
      </w:pPr>
    </w:p>
    <w:p>
      <w:pPr>
        <w:spacing w:after="0"/>
        <w:rPr>
          <w:sz w:val="20"/>
          <w:szCs w:val="20"/>
          <w:color w:val="auto"/>
        </w:rPr>
      </w:pPr>
      <w:r>
        <w:rPr>
          <w:rFonts w:ascii="Arial" w:cs="Arial" w:eastAsia="Arial" w:hAnsi="Arial"/>
          <w:sz w:val="18"/>
          <w:szCs w:val="18"/>
          <w:color w:val="auto"/>
        </w:rPr>
        <w:t>Long-term debt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-118745</wp:posOffset>
            </wp:positionV>
            <wp:extent cx="6995160" cy="13716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spacing w:after="0" w:line="7" w:lineRule="exact"/>
        <w:rPr>
          <w:sz w:val="20"/>
          <w:szCs w:val="20"/>
          <w:color w:val="auto"/>
        </w:rPr>
      </w:pPr>
    </w:p>
    <w:p>
      <w:pPr>
        <w:spacing w:after="0"/>
        <w:rPr>
          <w:sz w:val="20"/>
          <w:szCs w:val="20"/>
          <w:color w:val="auto"/>
        </w:rPr>
      </w:pPr>
      <w:r>
        <w:rPr>
          <w:rFonts w:ascii="Arial" w:cs="Arial" w:eastAsia="Arial" w:hAnsi="Arial"/>
          <w:sz w:val="18"/>
          <w:szCs w:val="18"/>
          <w:color w:val="auto"/>
        </w:rPr>
        <w:t>Other liabilities</w:t>
      </w:r>
    </w:p>
    <w:p>
      <w:pPr>
        <w:spacing w:after="0" w:line="20" w:lineRule="exact"/>
        <w:rPr>
          <w:sz w:val="20"/>
          <w:szCs w:val="20"/>
          <w:color w:val="auto"/>
        </w:rPr>
      </w:pPr>
      <w:r>
        <w:rPr>
          <w:sz w:val="20"/>
          <w:szCs w:val="20"/>
          <w:color w:val="auto"/>
        </w:rPr>
        <w:br w:type="column"/>
      </w:r>
    </w:p>
    <w:p>
      <w:pPr>
        <w:spacing w:after="0" w:line="14" w:lineRule="exact"/>
        <w:rPr>
          <w:sz w:val="20"/>
          <w:szCs w:val="20"/>
          <w:color w:val="auto"/>
        </w:rPr>
      </w:pPr>
    </w:p>
    <w:p>
      <w:pPr>
        <w:ind w:left="100"/>
        <w:spacing w:after="0"/>
        <w:rPr>
          <w:sz w:val="20"/>
          <w:szCs w:val="20"/>
          <w:color w:val="auto"/>
        </w:rPr>
      </w:pPr>
      <w:r>
        <w:rPr>
          <w:rFonts w:ascii="Arial" w:cs="Arial" w:eastAsia="Arial" w:hAnsi="Arial"/>
          <w:sz w:val="14"/>
          <w:szCs w:val="14"/>
          <w:b w:val="1"/>
          <w:bCs w:val="1"/>
          <w:color w:val="auto"/>
        </w:rPr>
        <w:t xml:space="preserve">      </w:t>
      </w:r>
    </w:p>
    <w:p>
      <w:pPr>
        <w:spacing w:after="0" w:line="221"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$ 11,140</w:t>
      </w:r>
      <w:r>
        <w:rPr>
          <w:sz w:val="20"/>
          <w:szCs w:val="20"/>
          <w:color w:val="auto"/>
        </w:rPr>
        <w:tab/>
      </w:r>
      <w:r>
        <w:rPr>
          <w:rFonts w:ascii="Arial" w:cs="Arial" w:eastAsia="Arial" w:hAnsi="Arial"/>
          <w:sz w:val="18"/>
          <w:szCs w:val="18"/>
          <w:color w:val="auto"/>
        </w:rPr>
        <w:t>$11,490</w:t>
      </w:r>
    </w:p>
    <w:p>
      <w:pPr>
        <w:spacing w:after="0" w:line="27" w:lineRule="exact"/>
        <w:rPr>
          <w:sz w:val="20"/>
          <w:szCs w:val="20"/>
          <w:color w:val="auto"/>
        </w:rPr>
      </w:pPr>
    </w:p>
    <w:p>
      <w:pPr>
        <w:ind w:left="1180" w:hanging="826"/>
        <w:spacing w:after="0"/>
        <w:tabs>
          <w:tab w:leader="none" w:pos="1180" w:val="left"/>
        </w:tabs>
        <w:numPr>
          <w:ilvl w:val="0"/>
          <w:numId w:val="18"/>
        </w:numPr>
        <w:rPr>
          <w:rFonts w:ascii="Arial" w:cs="Arial" w:eastAsia="Arial" w:hAnsi="Arial"/>
          <w:sz w:val="17"/>
          <w:szCs w:val="17"/>
          <w:b w:val="1"/>
          <w:bCs w:val="1"/>
          <w:color w:val="auto"/>
        </w:rPr>
      </w:pPr>
      <w:r>
        <w:rPr>
          <w:rFonts w:ascii="Arial" w:cs="Arial" w:eastAsia="Arial" w:hAnsi="Arial"/>
          <w:sz w:val="17"/>
          <w:szCs w:val="17"/>
          <w:color w:val="auto"/>
        </w:rPr>
        <w:t>894</w:t>
      </w:r>
    </w:p>
    <w:p>
      <w:pPr>
        <w:spacing w:after="0" w:line="20" w:lineRule="exact"/>
        <w:rPr>
          <w:rFonts w:ascii="Arial" w:cs="Arial" w:eastAsia="Arial" w:hAnsi="Arial"/>
          <w:sz w:val="17"/>
          <w:szCs w:val="17"/>
          <w:b w:val="1"/>
          <w:bCs w:val="1"/>
          <w:color w:val="auto"/>
        </w:rPr>
      </w:pPr>
    </w:p>
    <w:p>
      <w:pPr>
        <w:ind w:left="200"/>
        <w:spacing w:after="0"/>
        <w:rPr>
          <w:rFonts w:ascii="Arial" w:cs="Arial" w:eastAsia="Arial" w:hAnsi="Arial"/>
          <w:sz w:val="17"/>
          <w:szCs w:val="17"/>
          <w:b w:val="1"/>
          <w:bCs w:val="1"/>
          <w:color w:val="auto"/>
        </w:rPr>
      </w:pPr>
      <w:r>
        <w:rPr>
          <w:rFonts w:ascii="Arial" w:cs="Arial" w:eastAsia="Arial" w:hAnsi="Arial"/>
          <w:sz w:val="18"/>
          <w:szCs w:val="18"/>
          <w:b w:val="1"/>
          <w:bCs w:val="1"/>
          <w:color w:val="auto"/>
        </w:rPr>
        <w:t>1,938</w:t>
      </w:r>
      <w:r>
        <w:rPr>
          <w:rFonts w:ascii="Arial" w:cs="Arial" w:eastAsia="Arial" w:hAnsi="Arial"/>
          <w:sz w:val="18"/>
          <w:szCs w:val="18"/>
          <w:color w:val="auto"/>
        </w:rPr>
        <w:t>1,894</w:t>
      </w:r>
    </w:p>
    <w:p>
      <w:pPr>
        <w:spacing w:after="0" w:line="9" w:lineRule="exact"/>
        <w:rPr>
          <w:rFonts w:ascii="Arial" w:cs="Arial" w:eastAsia="Arial" w:hAnsi="Arial"/>
          <w:sz w:val="17"/>
          <w:szCs w:val="17"/>
          <w:b w:val="1"/>
          <w:bCs w:val="1"/>
          <w:color w:val="auto"/>
        </w:rPr>
      </w:pPr>
    </w:p>
    <w:p>
      <w:pPr>
        <w:ind w:left="1180" w:hanging="826"/>
        <w:spacing w:after="0"/>
        <w:tabs>
          <w:tab w:leader="none" w:pos="1180" w:val="left"/>
        </w:tabs>
        <w:numPr>
          <w:ilvl w:val="0"/>
          <w:numId w:val="19"/>
        </w:numPr>
        <w:rPr>
          <w:rFonts w:ascii="Arial" w:cs="Arial" w:eastAsia="Arial" w:hAnsi="Arial"/>
          <w:sz w:val="17"/>
          <w:szCs w:val="17"/>
          <w:b w:val="1"/>
          <w:bCs w:val="1"/>
          <w:color w:val="auto"/>
        </w:rPr>
      </w:pPr>
      <w:r>
        <w:rPr>
          <w:rFonts w:ascii="Arial" w:cs="Arial" w:eastAsia="Arial" w:hAnsi="Arial"/>
          <w:sz w:val="17"/>
          <w:szCs w:val="17"/>
          <w:color w:val="auto"/>
        </w:rPr>
        <w:t>443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-3810</wp:posOffset>
            </wp:positionH>
            <wp:positionV relativeFrom="paragraph">
              <wp:posOffset>5080</wp:posOffset>
            </wp:positionV>
            <wp:extent cx="942975"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942975" cy="8255"/>
                    </a:xfrm>
                    <a:prstGeom prst="rect">
                      <a:avLst/>
                    </a:prstGeom>
                    <a:noFill/>
                  </pic:spPr>
                </pic:pic>
              </a:graphicData>
            </a:graphic>
          </wp:anchor>
        </w:drawing>
      </w:r>
    </w:p>
    <w:p>
      <w:pPr>
        <w:spacing w:after="0" w:line="13" w:lineRule="exact"/>
        <w:rPr>
          <w:sz w:val="20"/>
          <w:szCs w:val="20"/>
          <w:color w:val="auto"/>
        </w:rPr>
      </w:pPr>
    </w:p>
    <w:p>
      <w:pPr>
        <w:jc w:val="both"/>
        <w:ind w:left="100"/>
        <w:spacing w:after="0"/>
        <w:tabs>
          <w:tab w:leader="none" w:pos="900" w:val="left"/>
        </w:tabs>
        <w:rPr>
          <w:sz w:val="20"/>
          <w:szCs w:val="20"/>
          <w:color w:val="auto"/>
        </w:rPr>
      </w:pPr>
      <w:r>
        <w:rPr>
          <w:rFonts w:ascii="Arial" w:cs="Arial" w:eastAsia="Arial" w:hAnsi="Arial"/>
          <w:sz w:val="18"/>
          <w:szCs w:val="18"/>
          <w:b w:val="1"/>
          <w:bCs w:val="1"/>
          <w:color w:val="auto"/>
        </w:rPr>
        <w:t>14,413</w:t>
      </w:r>
      <w:r>
        <w:rPr>
          <w:sz w:val="20"/>
          <w:szCs w:val="20"/>
          <w:color w:val="auto"/>
        </w:rPr>
        <w:tab/>
      </w:r>
      <w:r>
        <w:rPr>
          <w:rFonts w:ascii="Arial" w:cs="Arial" w:eastAsia="Arial" w:hAnsi="Arial"/>
          <w:sz w:val="18"/>
          <w:szCs w:val="18"/>
          <w:color w:val="auto"/>
        </w:rPr>
        <w:t>14,721</w:t>
      </w:r>
    </w:p>
    <w:p>
      <w:pPr>
        <w:spacing w:after="0" w:line="23" w:lineRule="exact"/>
        <w:rPr>
          <w:sz w:val="20"/>
          <w:szCs w:val="20"/>
          <w:color w:val="auto"/>
        </w:rPr>
      </w:pPr>
    </w:p>
    <w:p>
      <w:pPr>
        <w:jc w:val="both"/>
        <w:ind w:left="200"/>
        <w:spacing w:after="0"/>
        <w:tabs>
          <w:tab w:leader="none" w:pos="1000" w:val="left"/>
        </w:tabs>
        <w:rPr>
          <w:sz w:val="20"/>
          <w:szCs w:val="20"/>
          <w:color w:val="auto"/>
        </w:rPr>
      </w:pPr>
      <w:r>
        <w:rPr>
          <w:rFonts w:ascii="Arial" w:cs="Arial" w:eastAsia="Arial" w:hAnsi="Arial"/>
          <w:sz w:val="18"/>
          <w:szCs w:val="18"/>
          <w:b w:val="1"/>
          <w:bCs w:val="1"/>
          <w:color w:val="auto"/>
        </w:rPr>
        <w:t>9,670</w:t>
      </w:r>
      <w:r>
        <w:rPr>
          <w:sz w:val="20"/>
          <w:szCs w:val="20"/>
          <w:color w:val="auto"/>
        </w:rPr>
        <w:tab/>
      </w:r>
      <w:r>
        <w:rPr>
          <w:rFonts w:ascii="Arial" w:cs="Arial" w:eastAsia="Arial" w:hAnsi="Arial"/>
          <w:sz w:val="18"/>
          <w:szCs w:val="18"/>
          <w:color w:val="auto"/>
        </w:rPr>
        <w:t>9,742</w:t>
      </w:r>
    </w:p>
    <w:p>
      <w:pPr>
        <w:spacing w:after="0" w:line="5" w:lineRule="exact"/>
        <w:rPr>
          <w:sz w:val="20"/>
          <w:szCs w:val="20"/>
          <w:color w:val="auto"/>
        </w:rPr>
      </w:pPr>
    </w:p>
    <w:p>
      <w:pPr>
        <w:jc w:val="both"/>
        <w:ind w:left="200"/>
        <w:spacing w:after="0"/>
        <w:tabs>
          <w:tab w:leader="none" w:pos="1020" w:val="left"/>
        </w:tabs>
        <w:rPr>
          <w:sz w:val="20"/>
          <w:szCs w:val="20"/>
          <w:color w:val="auto"/>
        </w:rPr>
      </w:pPr>
      <w:r>
        <w:rPr>
          <w:rFonts w:ascii="Arial" w:cs="Arial" w:eastAsia="Arial" w:hAnsi="Arial"/>
          <w:sz w:val="18"/>
          <w:szCs w:val="18"/>
          <w:b w:val="1"/>
          <w:bCs w:val="1"/>
          <w:color w:val="auto"/>
        </w:rPr>
        <w:t>3,090</w:t>
      </w:r>
      <w:r>
        <w:rPr>
          <w:sz w:val="20"/>
          <w:szCs w:val="20"/>
          <w:color w:val="auto"/>
        </w:rPr>
        <w:tab/>
      </w:r>
      <w:r>
        <w:rPr>
          <w:rFonts w:ascii="Arial" w:cs="Arial" w:eastAsia="Arial" w:hAnsi="Arial"/>
          <w:sz w:val="18"/>
          <w:szCs w:val="18"/>
          <w:color w:val="auto"/>
        </w:rPr>
        <w:t>3,114</w:t>
      </w:r>
    </w:p>
    <w:p>
      <w:pPr>
        <w:spacing w:after="0" w:line="1" w:lineRule="exact"/>
        <w:rPr>
          <w:sz w:val="20"/>
          <w:szCs w:val="20"/>
          <w:color w:val="auto"/>
        </w:rPr>
      </w:pPr>
    </w:p>
    <w:p>
      <w:pPr>
        <w:sectPr>
          <w:pgSz w:w="11900" w:h="16838" w:orient="portrait"/>
          <w:cols w:equalWidth="0" w:num="2">
            <w:col w:w="8760" w:space="720"/>
            <w:col w:w="1540"/>
          </w:cols>
          <w:pgMar w:left="440" w:top="269" w:right="439" w:bottom="1440" w:gutter="0" w:footer="0" w:header="0"/>
          <w:type w:val="continuous"/>
        </w:sectPr>
      </w:pPr>
    </w:p>
    <w:tbl>
      <w:tblPr>
        <w:tblLayout w:type="fixed"/>
        <w:tblInd w:w="0" w:type="dxa"/>
        <w:tblCellMar>
          <w:top w:w="0" w:type="dxa"/>
          <w:left w:w="0" w:type="dxa"/>
          <w:bottom w:w="0" w:type="dxa"/>
          <w:right w:w="0" w:type="dxa"/>
        </w:tblCellMar>
      </w:tblPr>
      <w:tr>
        <w:trPr>
          <w:trHeight w:val="223"/>
        </w:trPr>
        <w:tc>
          <w:tcPr>
            <w:tcW w:w="9480" w:type="dxa"/>
            <w:vAlign w:val="bottom"/>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27,173</w:t>
            </w:r>
          </w:p>
        </w:tc>
        <w:tc>
          <w:tcPr>
            <w:tcW w:w="80" w:type="dxa"/>
            <w:vAlign w:val="bottom"/>
            <w:shd w:val="clear" w:color="auto" w:fill="CCEEFF"/>
          </w:tcPr>
          <w:p>
            <w:pPr>
              <w:spacing w:after="0"/>
              <w:rPr>
                <w:sz w:val="19"/>
                <w:szCs w:val="19"/>
                <w:color w:val="auto"/>
              </w:rPr>
            </w:pPr>
          </w:p>
        </w:tc>
        <w:tc>
          <w:tcPr>
            <w:tcW w:w="80" w:type="dxa"/>
            <w:vAlign w:val="bottom"/>
            <w:shd w:val="clear" w:color="auto" w:fill="CCEEFF"/>
          </w:tcPr>
          <w:p>
            <w:pPr>
              <w:spacing w:after="0"/>
              <w:rPr>
                <w:sz w:val="19"/>
                <w:szCs w:val="19"/>
                <w:color w:val="auto"/>
              </w:rPr>
            </w:pPr>
          </w:p>
        </w:tc>
        <w:tc>
          <w:tcPr>
            <w:tcW w:w="6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27,577</w:t>
            </w:r>
          </w:p>
        </w:tc>
        <w:tc>
          <w:tcPr>
            <w:tcW w:w="60" w:type="dxa"/>
            <w:vAlign w:val="bottom"/>
            <w:shd w:val="clear" w:color="auto" w:fill="CCEEFF"/>
          </w:tcPr>
          <w:p>
            <w:pPr>
              <w:spacing w:after="0"/>
              <w:rPr>
                <w:sz w:val="19"/>
                <w:szCs w:val="19"/>
                <w:color w:val="auto"/>
              </w:rPr>
            </w:pPr>
          </w:p>
        </w:tc>
      </w:tr>
      <w:tr>
        <w:trPr>
          <w:trHeight w:val="223"/>
        </w:trPr>
        <w:tc>
          <w:tcPr>
            <w:tcW w:w="9480" w:type="dxa"/>
            <w:vAlign w:val="bottom"/>
          </w:tcPr>
          <w:p>
            <w:pPr>
              <w:spacing w:after="0"/>
              <w:rPr>
                <w:sz w:val="20"/>
                <w:szCs w:val="20"/>
                <w:color w:val="auto"/>
              </w:rPr>
            </w:pPr>
            <w:r>
              <w:rPr>
                <w:rFonts w:ascii="Arial" w:cs="Arial" w:eastAsia="Arial" w:hAnsi="Arial"/>
                <w:sz w:val="18"/>
                <w:szCs w:val="18"/>
                <w:color w:val="auto"/>
              </w:rPr>
              <w:t>Equity</w:t>
            </w: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27,353</w:t>
            </w: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27,291</w:t>
            </w:r>
          </w:p>
        </w:tc>
        <w:tc>
          <w:tcPr>
            <w:tcW w:w="60" w:type="dxa"/>
            <w:vAlign w:val="bottom"/>
          </w:tcPr>
          <w:p>
            <w:pPr>
              <w:spacing w:after="0"/>
              <w:rPr>
                <w:sz w:val="19"/>
                <w:szCs w:val="19"/>
                <w:color w:val="auto"/>
              </w:rPr>
            </w:pPr>
          </w:p>
        </w:tc>
      </w:tr>
      <w:tr>
        <w:trPr>
          <w:trHeight w:val="216"/>
        </w:trPr>
        <w:tc>
          <w:tcPr>
            <w:tcW w:w="9480" w:type="dxa"/>
            <w:vAlign w:val="bottom"/>
            <w:shd w:val="clear" w:color="auto" w:fill="CCEEFF"/>
          </w:tcPr>
          <w:p>
            <w:pPr>
              <w:spacing w:after="0"/>
              <w:rPr>
                <w:sz w:val="18"/>
                <w:szCs w:val="18"/>
                <w:color w:val="auto"/>
              </w:rPr>
            </w:pPr>
          </w:p>
        </w:tc>
        <w:tc>
          <w:tcPr>
            <w:tcW w:w="74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54,526</w:t>
            </w:r>
          </w:p>
        </w:tc>
        <w:tc>
          <w:tcPr>
            <w:tcW w:w="800" w:type="dxa"/>
            <w:vAlign w:val="bottom"/>
            <w:gridSpan w:val="3"/>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54,868</w:t>
            </w:r>
          </w:p>
        </w:tc>
      </w:tr>
      <w:tr>
        <w:trPr>
          <w:trHeight w:val="20"/>
        </w:trPr>
        <w:tc>
          <w:tcPr>
            <w:tcW w:w="94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type w:val="continuous"/>
        </w:sectPr>
      </w:pPr>
    </w:p>
    <w:bookmarkStart w:id="22" w:name="page23"/>
    <w:bookmarkEnd w:id="22"/>
    <w:p>
      <w:pPr>
        <w:ind w:left="4"/>
        <w:spacing w:after="0"/>
        <w:rPr>
          <w:sz w:val="20"/>
          <w:szCs w:val="20"/>
          <w:color w:val="auto"/>
        </w:rPr>
      </w:pPr>
      <w:r>
        <w:rPr>
          <w:rFonts w:ascii="Arial" w:cs="Arial" w:eastAsia="Arial" w:hAnsi="Arial"/>
          <w:sz w:val="16"/>
          <w:szCs w:val="16"/>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Liquidity</w:t>
      </w:r>
    </w:p>
    <w:p>
      <w:pPr>
        <w:spacing w:after="0" w:line="253"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15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600" w:type="dxa"/>
            <w:vAlign w:val="bottom"/>
            <w:gridSpan w:val="7"/>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1540" w:type="dxa"/>
            <w:vAlign w:val="bottom"/>
            <w:vMerge w:val="restart"/>
          </w:tcPr>
          <w:p>
            <w:pPr>
              <w:spacing w:after="0"/>
              <w:rPr>
                <w:sz w:val="20"/>
                <w:szCs w:val="20"/>
                <w:color w:val="auto"/>
              </w:rPr>
            </w:pPr>
            <w:r>
              <w:rPr>
                <w:rFonts w:ascii="Arial" w:cs="Arial" w:eastAsia="Arial" w:hAnsi="Arial"/>
                <w:sz w:val="14"/>
                <w:szCs w:val="14"/>
                <w:color w:val="auto"/>
              </w:rPr>
              <w:t>Components of Liquidity</w:t>
            </w:r>
          </w:p>
        </w:tc>
        <w:tc>
          <w:tcPr>
            <w:tcW w:w="5860" w:type="dxa"/>
            <w:vAlign w:val="bottom"/>
            <w:vMerge w:val="restart"/>
          </w:tcPr>
          <w:p>
            <w:pPr>
              <w:spacing w:after="0"/>
              <w:rPr>
                <w:sz w:val="14"/>
                <w:szCs w:val="14"/>
                <w:color w:val="auto"/>
              </w:rPr>
            </w:pPr>
          </w:p>
        </w:tc>
        <w:tc>
          <w:tcPr>
            <w:tcW w:w="1060" w:type="dxa"/>
            <w:vAlign w:val="bottom"/>
          </w:tcPr>
          <w:p>
            <w:pPr>
              <w:spacing w:after="0"/>
              <w:rPr>
                <w:sz w:val="14"/>
                <w:szCs w:val="14"/>
                <w:color w:val="auto"/>
              </w:rPr>
            </w:pPr>
          </w:p>
        </w:tc>
        <w:tc>
          <w:tcPr>
            <w:tcW w:w="860" w:type="dxa"/>
            <w:vAlign w:val="bottom"/>
            <w:gridSpan w:val="2"/>
          </w:tcPr>
          <w:p>
            <w:pPr>
              <w:jc w:val="right"/>
              <w:ind w:right="280"/>
              <w:spacing w:after="0"/>
              <w:rPr>
                <w:sz w:val="20"/>
                <w:szCs w:val="20"/>
                <w:color w:val="auto"/>
              </w:rPr>
            </w:pPr>
            <w:r>
              <w:rPr>
                <w:rFonts w:ascii="Arial" w:cs="Arial" w:eastAsia="Arial" w:hAnsi="Arial"/>
                <w:sz w:val="14"/>
                <w:szCs w:val="14"/>
                <w:b w:val="1"/>
                <w:bCs w:val="1"/>
                <w:color w:val="auto"/>
              </w:rPr>
              <w:t>Mar. 31,</w:t>
            </w:r>
          </w:p>
        </w:tc>
        <w:tc>
          <w:tcPr>
            <w:tcW w:w="100" w:type="dxa"/>
            <w:vAlign w:val="bottom"/>
          </w:tcPr>
          <w:p>
            <w:pPr>
              <w:spacing w:after="0"/>
              <w:rPr>
                <w:sz w:val="14"/>
                <w:szCs w:val="14"/>
                <w:color w:val="auto"/>
              </w:rPr>
            </w:pPr>
          </w:p>
        </w:tc>
        <w:tc>
          <w:tcPr>
            <w:tcW w:w="720" w:type="dxa"/>
            <w:vAlign w:val="bottom"/>
            <w:gridSpan w:val="3"/>
          </w:tcPr>
          <w:p>
            <w:pPr>
              <w:jc w:val="right"/>
              <w:ind w:right="200"/>
              <w:spacing w:after="0"/>
              <w:rPr>
                <w:sz w:val="20"/>
                <w:szCs w:val="20"/>
                <w:color w:val="auto"/>
              </w:rPr>
            </w:pPr>
            <w:r>
              <w:rPr>
                <w:rFonts w:ascii="Arial" w:cs="Arial" w:eastAsia="Arial" w:hAnsi="Arial"/>
                <w:sz w:val="14"/>
                <w:szCs w:val="14"/>
                <w:color w:val="auto"/>
                <w:w w:val="97"/>
              </w:rPr>
              <w:t>Mar. 31,</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right"/>
              <w:ind w:right="180"/>
              <w:spacing w:after="0"/>
              <w:rPr>
                <w:sz w:val="20"/>
                <w:szCs w:val="20"/>
                <w:color w:val="auto"/>
              </w:rPr>
            </w:pPr>
            <w:r>
              <w:rPr>
                <w:rFonts w:ascii="Arial" w:cs="Arial" w:eastAsia="Arial" w:hAnsi="Arial"/>
                <w:sz w:val="14"/>
                <w:szCs w:val="14"/>
                <w:color w:val="auto"/>
              </w:rPr>
              <w:t>Dec. 31,</w:t>
            </w:r>
          </w:p>
        </w:tc>
        <w:tc>
          <w:tcPr>
            <w:tcW w:w="0" w:type="dxa"/>
            <w:vAlign w:val="bottom"/>
          </w:tcPr>
          <w:p>
            <w:pPr>
              <w:spacing w:after="0"/>
              <w:rPr>
                <w:sz w:val="1"/>
                <w:szCs w:val="1"/>
                <w:color w:val="auto"/>
              </w:rPr>
            </w:pPr>
          </w:p>
        </w:tc>
      </w:tr>
      <w:tr>
        <w:trPr>
          <w:trHeight w:val="178"/>
        </w:trPr>
        <w:tc>
          <w:tcPr>
            <w:tcW w:w="1540" w:type="dxa"/>
            <w:vAlign w:val="bottom"/>
            <w:tcBorders>
              <w:bottom w:val="single" w:sz="8" w:color="auto"/>
            </w:tcBorders>
            <w:vMerge w:val="continue"/>
          </w:tcPr>
          <w:p>
            <w:pPr>
              <w:spacing w:after="0"/>
              <w:rPr>
                <w:sz w:val="15"/>
                <w:szCs w:val="15"/>
                <w:color w:val="auto"/>
              </w:rPr>
            </w:pPr>
          </w:p>
        </w:tc>
        <w:tc>
          <w:tcPr>
            <w:tcW w:w="5860" w:type="dxa"/>
            <w:vAlign w:val="bottom"/>
            <w:vMerge w:val="continue"/>
          </w:tcPr>
          <w:p>
            <w:pPr>
              <w:spacing w:after="0"/>
              <w:rPr>
                <w:sz w:val="15"/>
                <w:szCs w:val="15"/>
                <w:color w:val="auto"/>
              </w:rPr>
            </w:pPr>
          </w:p>
        </w:tc>
        <w:tc>
          <w:tcPr>
            <w:tcW w:w="1680" w:type="dxa"/>
            <w:vAlign w:val="bottom"/>
            <w:gridSpan w:val="2"/>
          </w:tcPr>
          <w:p>
            <w:pPr>
              <w:jc w:val="right"/>
              <w:ind w:right="55"/>
              <w:spacing w:after="0" w:line="158" w:lineRule="exact"/>
              <w:rPr>
                <w:sz w:val="20"/>
                <w:szCs w:val="20"/>
                <w:color w:val="auto"/>
              </w:rPr>
            </w:pPr>
            <w:r>
              <w:rPr>
                <w:rFonts w:ascii="Arial" w:cs="Arial" w:eastAsia="Arial" w:hAnsi="Arial"/>
                <w:sz w:val="14"/>
                <w:szCs w:val="14"/>
                <w:b w:val="1"/>
                <w:bCs w:val="1"/>
                <w:color w:val="auto"/>
              </w:rPr>
              <w:t>2026</w:t>
            </w:r>
          </w:p>
        </w:tc>
        <w:tc>
          <w:tcPr>
            <w:tcW w:w="2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20" w:type="dxa"/>
            <w:vAlign w:val="bottom"/>
          </w:tcPr>
          <w:p>
            <w:pPr>
              <w:jc w:val="right"/>
              <w:ind w:right="13"/>
              <w:spacing w:after="0" w:line="158" w:lineRule="exact"/>
              <w:rPr>
                <w:sz w:val="20"/>
                <w:szCs w:val="20"/>
                <w:color w:val="auto"/>
              </w:rPr>
            </w:pPr>
            <w:r>
              <w:rPr>
                <w:rFonts w:ascii="Arial" w:cs="Arial" w:eastAsia="Arial" w:hAnsi="Arial"/>
                <w:sz w:val="14"/>
                <w:szCs w:val="14"/>
                <w:color w:val="auto"/>
              </w:rPr>
              <w:t>2025</w:t>
            </w: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jc w:val="right"/>
              <w:ind w:right="73"/>
              <w:spacing w:after="0" w:line="158" w:lineRule="exact"/>
              <w:rPr>
                <w:sz w:val="20"/>
                <w:szCs w:val="20"/>
                <w:color w:val="auto"/>
              </w:rPr>
            </w:pPr>
            <w:r>
              <w:rPr>
                <w:rFonts w:ascii="Arial" w:cs="Arial" w:eastAsia="Arial" w:hAnsi="Arial"/>
                <w:sz w:val="14"/>
                <w:szCs w:val="14"/>
                <w:color w:val="auto"/>
              </w:rPr>
              <w:t>2025</w:t>
            </w:r>
          </w:p>
        </w:tc>
        <w:tc>
          <w:tcPr>
            <w:tcW w:w="1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90"/>
        </w:trPr>
        <w:tc>
          <w:tcPr>
            <w:tcW w:w="7400" w:type="dxa"/>
            <w:vAlign w:val="bottom"/>
            <w:tcBorders>
              <w:top w:val="single" w:sz="8" w:color="CCEEFF"/>
            </w:tcBorders>
            <w:gridSpan w:val="2"/>
            <w:shd w:val="clear" w:color="auto" w:fill="CCEEFF"/>
          </w:tcPr>
          <w:p>
            <w:pPr>
              <w:spacing w:after="0" w:line="189" w:lineRule="exact"/>
              <w:rPr>
                <w:sz w:val="20"/>
                <w:szCs w:val="20"/>
                <w:color w:val="auto"/>
              </w:rPr>
            </w:pPr>
            <w:r>
              <w:rPr>
                <w:rFonts w:ascii="Arial" w:cs="Arial" w:eastAsia="Arial" w:hAnsi="Arial"/>
                <w:sz w:val="18"/>
                <w:szCs w:val="18"/>
                <w:color w:val="auto"/>
              </w:rPr>
              <w:t>Cash and short-term investments</w:t>
            </w:r>
          </w:p>
        </w:tc>
        <w:tc>
          <w:tcPr>
            <w:tcW w:w="1060" w:type="dxa"/>
            <w:vAlign w:val="bottom"/>
            <w:tcBorders>
              <w:top w:val="single" w:sz="8" w:color="CCEEFF"/>
            </w:tcBorders>
            <w:shd w:val="clear" w:color="auto" w:fill="CCEEFF"/>
          </w:tcPr>
          <w:p>
            <w:pPr>
              <w:spacing w:after="0"/>
              <w:rPr>
                <w:sz w:val="16"/>
                <w:szCs w:val="16"/>
                <w:color w:val="auto"/>
              </w:rPr>
            </w:pPr>
          </w:p>
        </w:tc>
        <w:tc>
          <w:tcPr>
            <w:tcW w:w="62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b w:val="1"/>
                <w:bCs w:val="1"/>
                <w:color w:val="auto"/>
                <w:w w:val="99"/>
              </w:rPr>
              <w:t>$ 3,387</w:t>
            </w:r>
          </w:p>
        </w:tc>
        <w:tc>
          <w:tcPr>
            <w:tcW w:w="24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w w:val="79"/>
              </w:rPr>
              <w:t>$</w:t>
            </w:r>
          </w:p>
        </w:tc>
        <w:tc>
          <w:tcPr>
            <w:tcW w:w="620" w:type="dxa"/>
            <w:vAlign w:val="bottom"/>
            <w:tcBorders>
              <w:top w:val="single" w:sz="8" w:color="auto"/>
            </w:tcBorders>
            <w:gridSpan w:val="2"/>
            <w:shd w:val="clear" w:color="auto" w:fill="CCEEFF"/>
          </w:tcPr>
          <w:p>
            <w:pPr>
              <w:jc w:val="right"/>
              <w:spacing w:after="0" w:line="189" w:lineRule="exact"/>
              <w:rPr>
                <w:sz w:val="20"/>
                <w:szCs w:val="20"/>
                <w:color w:val="auto"/>
              </w:rPr>
            </w:pPr>
            <w:r>
              <w:rPr>
                <w:rFonts w:ascii="Arial" w:cs="Arial" w:eastAsia="Arial" w:hAnsi="Arial"/>
                <w:sz w:val="18"/>
                <w:szCs w:val="18"/>
                <w:color w:val="auto"/>
              </w:rPr>
              <w:t>3,897</w:t>
            </w:r>
          </w:p>
        </w:tc>
        <w:tc>
          <w:tcPr>
            <w:tcW w:w="100" w:type="dxa"/>
            <w:vAlign w:val="bottom"/>
            <w:tcBorders>
              <w:top w:val="single" w:sz="8" w:color="CCEEFF"/>
            </w:tcBorders>
            <w:shd w:val="clear" w:color="auto" w:fill="CCEEFF"/>
          </w:tcPr>
          <w:p>
            <w:pPr>
              <w:spacing w:after="0"/>
              <w:rPr>
                <w:sz w:val="16"/>
                <w:szCs w:val="16"/>
                <w:color w:val="auto"/>
              </w:rPr>
            </w:pPr>
          </w:p>
        </w:tc>
        <w:tc>
          <w:tcPr>
            <w:tcW w:w="20" w:type="dxa"/>
            <w:vAlign w:val="bottom"/>
            <w:tcBorders>
              <w:top w:val="single" w:sz="8" w:color="CCEEFF"/>
            </w:tcBorders>
            <w:shd w:val="clear" w:color="auto" w:fill="CCEEFF"/>
          </w:tcPr>
          <w:p>
            <w:pPr>
              <w:spacing w:after="0"/>
              <w:rPr>
                <w:sz w:val="16"/>
                <w:szCs w:val="16"/>
                <w:color w:val="auto"/>
              </w:rPr>
            </w:pPr>
          </w:p>
        </w:tc>
        <w:tc>
          <w:tcPr>
            <w:tcW w:w="100" w:type="dxa"/>
            <w:vAlign w:val="bottom"/>
            <w:tcBorders>
              <w:top w:val="single" w:sz="8" w:color="CCEEFF"/>
            </w:tcBorders>
            <w:shd w:val="clear" w:color="auto" w:fill="CCEEFF"/>
          </w:tcPr>
          <w:p>
            <w:pPr>
              <w:spacing w:after="0"/>
              <w:rPr>
                <w:sz w:val="16"/>
                <w:szCs w:val="16"/>
                <w:color w:val="auto"/>
              </w:rPr>
            </w:pPr>
          </w:p>
        </w:tc>
        <w:tc>
          <w:tcPr>
            <w:tcW w:w="640" w:type="dxa"/>
            <w:vAlign w:val="bottom"/>
            <w:tcBorders>
              <w:top w:val="single" w:sz="8" w:color="auto"/>
            </w:tcBorders>
            <w:shd w:val="clear" w:color="auto" w:fill="CCEEFF"/>
          </w:tcPr>
          <w:p>
            <w:pPr>
              <w:jc w:val="right"/>
              <w:spacing w:after="0" w:line="189" w:lineRule="exact"/>
              <w:rPr>
                <w:sz w:val="20"/>
                <w:szCs w:val="20"/>
                <w:color w:val="auto"/>
              </w:rPr>
            </w:pPr>
            <w:r>
              <w:rPr>
                <w:rFonts w:ascii="Arial" w:cs="Arial" w:eastAsia="Arial" w:hAnsi="Arial"/>
                <w:sz w:val="18"/>
                <w:szCs w:val="18"/>
                <w:color w:val="auto"/>
              </w:rPr>
              <w:t>$ 4,212</w:t>
            </w:r>
          </w:p>
        </w:tc>
        <w:tc>
          <w:tcPr>
            <w:tcW w:w="120" w:type="dxa"/>
            <w:vAlign w:val="bottom"/>
            <w:tcBorders>
              <w:top w:val="single" w:sz="8" w:color="CCEEFF"/>
            </w:tcBorders>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Short-term borrowings and current portion of long-term debt</w:t>
            </w:r>
          </w:p>
        </w:tc>
        <w:tc>
          <w:tcPr>
            <w:tcW w:w="192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(1,938)</w:t>
            </w:r>
          </w:p>
        </w:tc>
        <w:tc>
          <w:tcPr>
            <w:tcW w:w="100" w:type="dxa"/>
            <w:vAlign w:val="bottom"/>
          </w:tcPr>
          <w:p>
            <w:pPr>
              <w:spacing w:after="0"/>
              <w:rPr>
                <w:sz w:val="18"/>
                <w:szCs w:val="18"/>
                <w:color w:val="auto"/>
              </w:rPr>
            </w:pPr>
          </w:p>
        </w:tc>
        <w:tc>
          <w:tcPr>
            <w:tcW w:w="720" w:type="dxa"/>
            <w:vAlign w:val="bottom"/>
            <w:gridSpan w:val="3"/>
          </w:tcPr>
          <w:p>
            <w:pPr>
              <w:jc w:val="right"/>
              <w:ind w:right="40"/>
              <w:spacing w:after="0"/>
              <w:rPr>
                <w:sz w:val="20"/>
                <w:szCs w:val="20"/>
                <w:color w:val="auto"/>
              </w:rPr>
            </w:pPr>
            <w:r>
              <w:rPr>
                <w:rFonts w:ascii="Arial" w:cs="Arial" w:eastAsia="Arial" w:hAnsi="Arial"/>
                <w:sz w:val="18"/>
                <w:szCs w:val="18"/>
                <w:color w:val="auto"/>
              </w:rPr>
              <w:t>(3,475)</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(1,894)</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Long-term debt</w:t>
            </w:r>
          </w:p>
        </w:tc>
        <w:tc>
          <w:tcPr>
            <w:tcW w:w="106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180"/>
              <w:spacing w:after="0"/>
              <w:rPr>
                <w:sz w:val="20"/>
                <w:szCs w:val="20"/>
                <w:color w:val="auto"/>
              </w:rPr>
            </w:pPr>
            <w:r>
              <w:rPr>
                <w:rFonts w:ascii="Arial" w:cs="Arial" w:eastAsia="Arial" w:hAnsi="Arial"/>
                <w:sz w:val="18"/>
                <w:szCs w:val="18"/>
                <w:b w:val="1"/>
                <w:bCs w:val="1"/>
                <w:color w:val="auto"/>
              </w:rPr>
              <w:t>(9,670)</w:t>
            </w:r>
          </w:p>
        </w:tc>
        <w:tc>
          <w:tcPr>
            <w:tcW w:w="10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color w:val="auto"/>
                <w:w w:val="98"/>
              </w:rPr>
              <w:t>(10,527)</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(9,742)</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line="243" w:lineRule="exact"/>
              <w:rPr>
                <w:sz w:val="20"/>
                <w:szCs w:val="20"/>
                <w:color w:val="auto"/>
              </w:rPr>
            </w:pPr>
            <w:r>
              <w:rPr>
                <w:rFonts w:ascii="Arial" w:cs="Arial" w:eastAsia="Arial" w:hAnsi="Arial"/>
                <w:sz w:val="18"/>
                <w:szCs w:val="18"/>
                <w:color w:val="auto"/>
              </w:rPr>
              <w:t xml:space="preserve">Net Debt </w:t>
            </w:r>
            <w:r>
              <w:rPr>
                <w:rFonts w:ascii="Arial" w:cs="Arial" w:eastAsia="Arial" w:hAnsi="Arial"/>
                <w:sz w:val="26"/>
                <w:szCs w:val="26"/>
                <w:color w:val="auto"/>
                <w:vertAlign w:val="superscript"/>
              </w:rPr>
              <w:t>(1)</w:t>
            </w:r>
          </w:p>
        </w:tc>
        <w:tc>
          <w:tcPr>
            <w:tcW w:w="10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20" w:type="dxa"/>
            <w:vAlign w:val="bottom"/>
            <w:gridSpan w:val="2"/>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860" w:type="dxa"/>
            <w:vAlign w:val="bottom"/>
            <w:gridSpan w:val="2"/>
          </w:tcPr>
          <w:p>
            <w:pPr>
              <w:jc w:val="right"/>
              <w:ind w:right="18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(8,221)</w:t>
            </w:r>
          </w:p>
        </w:tc>
        <w:tc>
          <w:tcPr>
            <w:tcW w:w="820" w:type="dxa"/>
            <w:vAlign w:val="bottom"/>
            <w:gridSpan w:val="4"/>
          </w:tcPr>
          <w:p>
            <w:pPr>
              <w:jc w:val="right"/>
              <w:ind w:right="4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(10,105)</w:t>
            </w: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(7,424)</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rPr>
                <w:sz w:val="20"/>
                <w:szCs w:val="20"/>
                <w:color w:val="auto"/>
              </w:rPr>
            </w:pPr>
            <w:r>
              <w:rPr>
                <w:rFonts w:ascii="Arial" w:cs="Arial" w:eastAsia="Arial" w:hAnsi="Arial"/>
                <w:sz w:val="18"/>
                <w:szCs w:val="18"/>
                <w:color w:val="auto"/>
              </w:rPr>
              <w:t>Details of changes in liquidity follow:</w:t>
            </w:r>
          </w:p>
        </w:tc>
        <w:tc>
          <w:tcPr>
            <w:tcW w:w="1060" w:type="dxa"/>
            <w:vAlign w:val="bottom"/>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30"/>
        </w:trPr>
        <w:tc>
          <w:tcPr>
            <w:tcW w:w="7400" w:type="dxa"/>
            <w:vAlign w:val="bottom"/>
            <w:gridSpan w:val="2"/>
            <w:vMerge w:val="continue"/>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8"/>
        </w:trPr>
        <w:tc>
          <w:tcPr>
            <w:tcW w:w="1540" w:type="dxa"/>
            <w:vAlign w:val="bottom"/>
          </w:tcPr>
          <w:p>
            <w:pPr>
              <w:spacing w:after="0"/>
              <w:rPr>
                <w:sz w:val="24"/>
                <w:szCs w:val="24"/>
                <w:color w:val="auto"/>
              </w:rPr>
            </w:pPr>
          </w:p>
        </w:tc>
        <w:tc>
          <w:tcPr>
            <w:tcW w:w="58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20" w:type="dxa"/>
            <w:vAlign w:val="bottom"/>
            <w:gridSpan w:val="3"/>
          </w:tcPr>
          <w:p>
            <w:pPr>
              <w:jc w:val="right"/>
              <w:ind w:right="360"/>
              <w:spacing w:after="0"/>
              <w:rPr>
                <w:sz w:val="20"/>
                <w:szCs w:val="20"/>
                <w:color w:val="auto"/>
              </w:rPr>
            </w:pPr>
            <w:r>
              <w:rPr>
                <w:rFonts w:ascii="Arial" w:cs="Arial" w:eastAsia="Arial" w:hAnsi="Arial"/>
                <w:sz w:val="14"/>
                <w:szCs w:val="14"/>
                <w:b w:val="1"/>
                <w:bCs w:val="1"/>
                <w:color w:val="auto"/>
              </w:rPr>
              <w:t>First</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rPr>
              <w:t>First</w:t>
            </w:r>
          </w:p>
        </w:tc>
        <w:tc>
          <w:tcPr>
            <w:tcW w:w="0" w:type="dxa"/>
            <w:vAlign w:val="bottom"/>
          </w:tcPr>
          <w:p>
            <w:pPr>
              <w:spacing w:after="0"/>
              <w:rPr>
                <w:sz w:val="1"/>
                <w:szCs w:val="1"/>
                <w:color w:val="auto"/>
              </w:rPr>
            </w:pPr>
          </w:p>
        </w:tc>
      </w:tr>
      <w:tr>
        <w:trPr>
          <w:trHeight w:val="162"/>
        </w:trPr>
        <w:tc>
          <w:tcPr>
            <w:tcW w:w="1540" w:type="dxa"/>
            <w:vAlign w:val="bottom"/>
          </w:tcPr>
          <w:p>
            <w:pPr>
              <w:spacing w:after="0"/>
              <w:rPr>
                <w:sz w:val="14"/>
                <w:szCs w:val="14"/>
                <w:color w:val="auto"/>
              </w:rPr>
            </w:pPr>
          </w:p>
        </w:tc>
        <w:tc>
          <w:tcPr>
            <w:tcW w:w="5860" w:type="dxa"/>
            <w:vAlign w:val="bottom"/>
          </w:tcPr>
          <w:p>
            <w:pPr>
              <w:spacing w:after="0"/>
              <w:rPr>
                <w:sz w:val="14"/>
                <w:szCs w:val="14"/>
                <w:color w:val="auto"/>
              </w:rPr>
            </w:pPr>
          </w:p>
        </w:tc>
        <w:tc>
          <w:tcPr>
            <w:tcW w:w="10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82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rPr>
              <w:t>Quarter</w:t>
            </w: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60" w:type="dxa"/>
            <w:vAlign w:val="bottom"/>
            <w:gridSpan w:val="2"/>
          </w:tcPr>
          <w:p>
            <w:pPr>
              <w:jc w:val="center"/>
              <w:ind w:right="240"/>
              <w:spacing w:after="0"/>
              <w:rPr>
                <w:sz w:val="20"/>
                <w:szCs w:val="20"/>
                <w:color w:val="auto"/>
              </w:rPr>
            </w:pPr>
            <w:r>
              <w:rPr>
                <w:rFonts w:ascii="Arial" w:cs="Arial" w:eastAsia="Arial" w:hAnsi="Arial"/>
                <w:sz w:val="14"/>
                <w:szCs w:val="14"/>
                <w:color w:val="auto"/>
              </w:rPr>
              <w:t>Quarter</w:t>
            </w:r>
          </w:p>
        </w:tc>
        <w:tc>
          <w:tcPr>
            <w:tcW w:w="0" w:type="dxa"/>
            <w:vAlign w:val="bottom"/>
          </w:tcPr>
          <w:p>
            <w:pPr>
              <w:spacing w:after="0"/>
              <w:rPr>
                <w:sz w:val="1"/>
                <w:szCs w:val="1"/>
                <w:color w:val="auto"/>
              </w:rPr>
            </w:pPr>
          </w:p>
        </w:tc>
      </w:tr>
      <w:tr>
        <w:trPr>
          <w:trHeight w:val="171"/>
        </w:trPr>
        <w:tc>
          <w:tcPr>
            <w:tcW w:w="1540" w:type="dxa"/>
            <w:vAlign w:val="bottom"/>
            <w:tcBorders>
              <w:bottom w:val="single" w:sz="8" w:color="CCEEFF"/>
            </w:tcBorders>
          </w:tcPr>
          <w:p>
            <w:pPr>
              <w:spacing w:after="0"/>
              <w:rPr>
                <w:sz w:val="14"/>
                <w:szCs w:val="14"/>
                <w:color w:val="auto"/>
              </w:rPr>
            </w:pPr>
          </w:p>
        </w:tc>
        <w:tc>
          <w:tcPr>
            <w:tcW w:w="5860" w:type="dxa"/>
            <w:vAlign w:val="bottom"/>
            <w:tcBorders>
              <w:bottom w:val="single" w:sz="8" w:color="CCEEFF"/>
            </w:tcBorders>
          </w:tcPr>
          <w:p>
            <w:pPr>
              <w:spacing w:after="0"/>
              <w:rPr>
                <w:sz w:val="14"/>
                <w:szCs w:val="14"/>
                <w:color w:val="auto"/>
              </w:rPr>
            </w:pPr>
          </w:p>
        </w:tc>
        <w:tc>
          <w:tcPr>
            <w:tcW w:w="1060" w:type="dxa"/>
            <w:vAlign w:val="bottom"/>
            <w:tcBorders>
              <w:bottom w:val="single" w:sz="8" w:color="CCEEFF"/>
            </w:tcBorders>
          </w:tcPr>
          <w:p>
            <w:pPr>
              <w:spacing w:after="0"/>
              <w:rPr>
                <w:sz w:val="14"/>
                <w:szCs w:val="14"/>
                <w:color w:val="auto"/>
              </w:rPr>
            </w:pPr>
          </w:p>
        </w:tc>
        <w:tc>
          <w:tcPr>
            <w:tcW w:w="620" w:type="dxa"/>
            <w:vAlign w:val="bottom"/>
            <w:tcBorders>
              <w:bottom w:val="single" w:sz="8" w:color="CCEEFF"/>
            </w:tcBorders>
          </w:tcPr>
          <w:p>
            <w:pPr>
              <w:spacing w:after="0"/>
              <w:rPr>
                <w:sz w:val="14"/>
                <w:szCs w:val="14"/>
                <w:color w:val="auto"/>
              </w:rPr>
            </w:pPr>
          </w:p>
        </w:tc>
        <w:tc>
          <w:tcPr>
            <w:tcW w:w="24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52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rPr>
              <w:t>2026</w:t>
            </w:r>
          </w:p>
        </w:tc>
        <w:tc>
          <w:tcPr>
            <w:tcW w:w="100" w:type="dxa"/>
            <w:vAlign w:val="bottom"/>
            <w:tcBorders>
              <w:bottom w:val="single" w:sz="8" w:color="CCEEFF"/>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20" w:type="dxa"/>
            <w:vAlign w:val="bottom"/>
            <w:tcBorders>
              <w:bottom w:val="single" w:sz="8" w:color="CCEEFF"/>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640" w:type="dxa"/>
            <w:vAlign w:val="bottom"/>
            <w:tcBorders>
              <w:bottom w:val="single" w:sz="8" w:color="auto"/>
            </w:tcBorders>
          </w:tcPr>
          <w:p>
            <w:pPr>
              <w:jc w:val="center"/>
              <w:ind w:right="33"/>
              <w:spacing w:after="0"/>
              <w:rPr>
                <w:sz w:val="20"/>
                <w:szCs w:val="20"/>
                <w:color w:val="auto"/>
              </w:rPr>
            </w:pPr>
            <w:r>
              <w:rPr>
                <w:rFonts w:ascii="Arial" w:cs="Arial" w:eastAsia="Arial" w:hAnsi="Arial"/>
                <w:sz w:val="14"/>
                <w:szCs w:val="14"/>
                <w:color w:val="auto"/>
              </w:rPr>
              <w:t>2025</w:t>
            </w:r>
          </w:p>
        </w:tc>
        <w:tc>
          <w:tcPr>
            <w:tcW w:w="1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7400" w:type="dxa"/>
            <w:vAlign w:val="bottom"/>
            <w:gridSpan w:val="2"/>
            <w:shd w:val="clear" w:color="auto" w:fill="CCEEFF"/>
          </w:tcPr>
          <w:p>
            <w:pPr>
              <w:spacing w:after="0" w:line="196" w:lineRule="exact"/>
              <w:rPr>
                <w:sz w:val="20"/>
                <w:szCs w:val="20"/>
                <w:color w:val="auto"/>
              </w:rPr>
            </w:pPr>
            <w:r>
              <w:rPr>
                <w:rFonts w:ascii="Arial" w:cs="Arial" w:eastAsia="Arial" w:hAnsi="Arial"/>
                <w:sz w:val="18"/>
                <w:szCs w:val="18"/>
                <w:color w:val="auto"/>
              </w:rPr>
              <w:t>Net income</w:t>
            </w:r>
          </w:p>
        </w:tc>
        <w:tc>
          <w:tcPr>
            <w:tcW w:w="1060" w:type="dxa"/>
            <w:vAlign w:val="bottom"/>
            <w:shd w:val="clear" w:color="auto" w:fill="CCEEFF"/>
          </w:tcPr>
          <w:p>
            <w:pPr>
              <w:spacing w:after="0"/>
              <w:rPr>
                <w:sz w:val="17"/>
                <w:szCs w:val="17"/>
                <w:color w:val="auto"/>
              </w:rPr>
            </w:pPr>
          </w:p>
        </w:tc>
        <w:tc>
          <w:tcPr>
            <w:tcW w:w="620" w:type="dxa"/>
            <w:vAlign w:val="bottom"/>
            <w:shd w:val="clear" w:color="auto" w:fill="CCEEFF"/>
          </w:tcPr>
          <w:p>
            <w:pPr>
              <w:spacing w:after="0"/>
              <w:rPr>
                <w:sz w:val="17"/>
                <w:szCs w:val="17"/>
                <w:color w:val="auto"/>
              </w:rPr>
            </w:pPr>
          </w:p>
        </w:tc>
        <w:tc>
          <w:tcPr>
            <w:tcW w:w="24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2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761</w:t>
            </w:r>
          </w:p>
        </w:tc>
        <w:tc>
          <w:tcPr>
            <w:tcW w:w="100" w:type="dxa"/>
            <w:vAlign w:val="bottom"/>
            <w:shd w:val="clear" w:color="auto" w:fill="CCEEFF"/>
          </w:tcPr>
          <w:p>
            <w:pPr>
              <w:spacing w:after="0"/>
              <w:rPr>
                <w:sz w:val="17"/>
                <w:szCs w:val="17"/>
                <w:color w:val="auto"/>
              </w:rPr>
            </w:pPr>
          </w:p>
        </w:tc>
        <w:tc>
          <w:tcPr>
            <w:tcW w:w="100" w:type="dxa"/>
            <w:vAlign w:val="bottom"/>
            <w:shd w:val="clear" w:color="auto" w:fill="CCEEFF"/>
          </w:tcPr>
          <w:p>
            <w:pPr>
              <w:spacing w:after="0"/>
              <w:rPr>
                <w:sz w:val="17"/>
                <w:szCs w:val="17"/>
                <w:color w:val="auto"/>
              </w:rPr>
            </w:pPr>
          </w:p>
        </w:tc>
        <w:tc>
          <w:tcPr>
            <w:tcW w:w="20" w:type="dxa"/>
            <w:vAlign w:val="bottom"/>
            <w:shd w:val="clear" w:color="auto" w:fill="CCEEFF"/>
          </w:tcPr>
          <w:p>
            <w:pPr>
              <w:spacing w:after="0"/>
              <w:rPr>
                <w:sz w:val="17"/>
                <w:szCs w:val="17"/>
                <w:color w:val="auto"/>
              </w:rPr>
            </w:pPr>
          </w:p>
        </w:tc>
        <w:tc>
          <w:tcPr>
            <w:tcW w:w="1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6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829</w:t>
            </w:r>
          </w:p>
        </w:tc>
        <w:tc>
          <w:tcPr>
            <w:tcW w:w="1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line="216" w:lineRule="exact"/>
              <w:rPr>
                <w:sz w:val="20"/>
                <w:szCs w:val="20"/>
                <w:color w:val="auto"/>
              </w:rPr>
            </w:pPr>
            <w:r>
              <w:rPr>
                <w:rFonts w:ascii="Arial" w:cs="Arial" w:eastAsia="Arial" w:hAnsi="Arial"/>
                <w:sz w:val="17"/>
                <w:szCs w:val="17"/>
                <w:color w:val="auto"/>
              </w:rPr>
              <w:t xml:space="preserve">Depreciation and amortization </w:t>
            </w:r>
            <w:r>
              <w:rPr>
                <w:rFonts w:ascii="Arial" w:cs="Arial" w:eastAsia="Arial" w:hAnsi="Arial"/>
                <w:sz w:val="25"/>
                <w:szCs w:val="25"/>
                <w:color w:val="auto"/>
                <w:vertAlign w:val="superscript"/>
              </w:rPr>
              <w:t>(2)</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685</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640</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Stock-based compensation expense</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101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91</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Change in working capital</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(1,102)</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(937)</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Other</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42</w:t>
            </w:r>
          </w:p>
        </w:tc>
        <w:tc>
          <w:tcPr>
            <w:tcW w:w="1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tcBorders>
              <w:bottom w:val="single" w:sz="8" w:color="auto"/>
            </w:tcBorders>
            <w:shd w:val="clear" w:color="auto" w:fill="CCEEFF"/>
          </w:tcPr>
          <w:p>
            <w:pPr>
              <w:spacing w:after="0"/>
              <w:rPr>
                <w:sz w:val="18"/>
                <w:szCs w:val="18"/>
                <w:color w:val="auto"/>
              </w:rPr>
            </w:pPr>
          </w:p>
        </w:tc>
        <w:tc>
          <w:tcPr>
            <w:tcW w:w="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37</w:t>
            </w: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30"/>
        </w:trPr>
        <w:tc>
          <w:tcPr>
            <w:tcW w:w="7400" w:type="dxa"/>
            <w:vAlign w:val="bottom"/>
            <w:gridSpan w:val="2"/>
          </w:tcPr>
          <w:p>
            <w:pPr>
              <w:spacing w:after="0"/>
              <w:rPr>
                <w:sz w:val="20"/>
                <w:szCs w:val="20"/>
                <w:color w:val="auto"/>
              </w:rPr>
            </w:pPr>
            <w:r>
              <w:rPr>
                <w:rFonts w:ascii="Arial" w:cs="Arial" w:eastAsia="Arial" w:hAnsi="Arial"/>
                <w:sz w:val="18"/>
                <w:szCs w:val="18"/>
                <w:color w:val="auto"/>
              </w:rPr>
              <w:t>Cash flow from operations</w:t>
            </w:r>
          </w:p>
        </w:tc>
        <w:tc>
          <w:tcPr>
            <w:tcW w:w="10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w w:val="79"/>
              </w:rPr>
              <w:t>$</w:t>
            </w: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487</w:t>
            </w:r>
          </w:p>
        </w:tc>
        <w:tc>
          <w:tcPr>
            <w:tcW w:w="1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w w:val="79"/>
              </w:rPr>
              <w:t>$</w:t>
            </w:r>
          </w:p>
        </w:tc>
        <w:tc>
          <w:tcPr>
            <w:tcW w:w="6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660</w:t>
            </w:r>
          </w:p>
        </w:tc>
        <w:tc>
          <w:tcPr>
            <w:tcW w:w="1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Capital expenditures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(343)</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(398)</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APS investments</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(103)</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Exploration data capitalized</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(64)</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(51)</w:t>
            </w:r>
          </w:p>
        </w:tc>
        <w:tc>
          <w:tcPr>
            <w:tcW w:w="0" w:type="dxa"/>
            <w:vAlign w:val="bottom"/>
          </w:tcPr>
          <w:p>
            <w:pPr>
              <w:spacing w:after="0"/>
              <w:rPr>
                <w:sz w:val="1"/>
                <w:szCs w:val="1"/>
                <w:color w:val="auto"/>
              </w:rPr>
            </w:pPr>
          </w:p>
        </w:tc>
      </w:tr>
      <w:tr>
        <w:trPr>
          <w:trHeight w:val="20"/>
        </w:trPr>
        <w:tc>
          <w:tcPr>
            <w:tcW w:w="7400" w:type="dxa"/>
            <w:vAlign w:val="bottom"/>
            <w:gridSpan w:val="2"/>
            <w:vMerge w:val="restart"/>
          </w:tcPr>
          <w:p>
            <w:pPr>
              <w:spacing w:after="0" w:line="243" w:lineRule="exact"/>
              <w:rPr>
                <w:sz w:val="20"/>
                <w:szCs w:val="20"/>
                <w:color w:val="auto"/>
              </w:rPr>
            </w:pPr>
            <w:r>
              <w:rPr>
                <w:rFonts w:ascii="Arial" w:cs="Arial" w:eastAsia="Arial" w:hAnsi="Arial"/>
                <w:sz w:val="18"/>
                <w:szCs w:val="18"/>
                <w:b w:val="1"/>
                <w:bCs w:val="1"/>
                <w:color w:val="auto"/>
              </w:rPr>
              <w:t xml:space="preserve">Free cash flow </w:t>
            </w:r>
            <w:r>
              <w:rPr>
                <w:rFonts w:ascii="Arial" w:cs="Arial" w:eastAsia="Arial" w:hAnsi="Arial"/>
                <w:sz w:val="26"/>
                <w:szCs w:val="26"/>
                <w:color w:val="auto"/>
                <w:vertAlign w:val="superscript"/>
              </w:rPr>
              <w:t>(3)</w:t>
            </w: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7400" w:type="dxa"/>
            <w:vAlign w:val="bottom"/>
            <w:gridSpan w:val="2"/>
            <w:vMerge w:val="continue"/>
          </w:tcPr>
          <w:p>
            <w:pPr>
              <w:spacing w:after="0"/>
              <w:rPr>
                <w:sz w:val="19"/>
                <w:szCs w:val="19"/>
                <w:color w:val="auto"/>
              </w:rPr>
            </w:pPr>
          </w:p>
        </w:tc>
        <w:tc>
          <w:tcPr>
            <w:tcW w:w="106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(23)</w:t>
            </w: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120"/>
              <w:spacing w:after="0"/>
              <w:rPr>
                <w:sz w:val="20"/>
                <w:szCs w:val="20"/>
                <w:color w:val="auto"/>
              </w:rPr>
            </w:pPr>
            <w:r>
              <w:rPr>
                <w:rFonts w:ascii="Arial" w:cs="Arial" w:eastAsia="Arial" w:hAnsi="Arial"/>
                <w:sz w:val="18"/>
                <w:szCs w:val="18"/>
                <w:color w:val="auto"/>
              </w:rPr>
              <w:t>103</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(451)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(2,300)</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Dividends paid</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(426)</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(386)</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Proceeds from employee stock plans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178</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113</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Business acquisitions and investments, net of cash acquired plus debt assumed</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(70)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color w:val="auto"/>
              </w:rPr>
              <w:t>Taxes paid on net settled stock-based compensation awards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(59)</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(53)</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Other</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rPr>
              <w:t>(30)</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(32)</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Decrease in Net Debt before impact of changes in foreign exchange rates</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(881)</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(2,592)</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Impact of changes in foreign exchange rates on net debt</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jc w:val="right"/>
              <w:spacing w:after="0"/>
              <w:rPr>
                <w:sz w:val="20"/>
                <w:szCs w:val="20"/>
                <w:color w:val="auto"/>
              </w:rPr>
            </w:pPr>
            <w:r>
              <w:rPr>
                <w:rFonts w:ascii="Arial" w:cs="Arial" w:eastAsia="Arial" w:hAnsi="Arial"/>
                <w:sz w:val="18"/>
                <w:szCs w:val="18"/>
                <w:b w:val="1"/>
                <w:bCs w:val="1"/>
                <w:color w:val="auto"/>
              </w:rPr>
              <w:t>84</w:t>
            </w:r>
          </w:p>
        </w:tc>
        <w:tc>
          <w:tcPr>
            <w:tcW w:w="1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(108)</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Increase in Net Debt</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(797)</w:t>
            </w:r>
          </w:p>
        </w:tc>
        <w:tc>
          <w:tcPr>
            <w:tcW w:w="10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(2,700)</w:t>
            </w:r>
          </w:p>
        </w:tc>
        <w:tc>
          <w:tcPr>
            <w:tcW w:w="0" w:type="dxa"/>
            <w:vAlign w:val="bottom"/>
          </w:tcPr>
          <w:p>
            <w:pPr>
              <w:spacing w:after="0"/>
              <w:rPr>
                <w:sz w:val="1"/>
                <w:szCs w:val="1"/>
                <w:color w:val="auto"/>
              </w:rPr>
            </w:pPr>
          </w:p>
        </w:tc>
      </w:tr>
      <w:tr>
        <w:trPr>
          <w:trHeight w:val="216"/>
        </w:trPr>
        <w:tc>
          <w:tcPr>
            <w:tcW w:w="7400" w:type="dxa"/>
            <w:vAlign w:val="bottom"/>
            <w:gridSpan w:val="2"/>
          </w:tcPr>
          <w:p>
            <w:pPr>
              <w:spacing w:after="0"/>
              <w:rPr>
                <w:sz w:val="20"/>
                <w:szCs w:val="20"/>
                <w:color w:val="auto"/>
              </w:rPr>
            </w:pPr>
            <w:r>
              <w:rPr>
                <w:rFonts w:ascii="Arial" w:cs="Arial" w:eastAsia="Arial" w:hAnsi="Arial"/>
                <w:sz w:val="18"/>
                <w:szCs w:val="18"/>
                <w:color w:val="auto"/>
              </w:rPr>
              <w:t>Net Debt, beginning of period</w:t>
            </w:r>
          </w:p>
        </w:tc>
        <w:tc>
          <w:tcPr>
            <w:tcW w:w="10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2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8"/>
              </w:rPr>
              <w:t>(7,424)</w:t>
            </w:r>
          </w:p>
        </w:tc>
        <w:tc>
          <w:tcPr>
            <w:tcW w:w="10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2"/>
          </w:tcPr>
          <w:p>
            <w:pPr>
              <w:jc w:val="right"/>
              <w:ind w:right="60"/>
              <w:spacing w:after="0"/>
              <w:rPr>
                <w:sz w:val="20"/>
                <w:szCs w:val="20"/>
                <w:color w:val="auto"/>
              </w:rPr>
            </w:pPr>
            <w:r>
              <w:rPr>
                <w:rFonts w:ascii="Arial" w:cs="Arial" w:eastAsia="Arial" w:hAnsi="Arial"/>
                <w:sz w:val="18"/>
                <w:szCs w:val="18"/>
                <w:color w:val="auto"/>
              </w:rPr>
              <w:t>(7,405)</w:t>
            </w:r>
          </w:p>
        </w:tc>
        <w:tc>
          <w:tcPr>
            <w:tcW w:w="0" w:type="dxa"/>
            <w:vAlign w:val="bottom"/>
          </w:tcPr>
          <w:p>
            <w:pPr>
              <w:spacing w:after="0"/>
              <w:rPr>
                <w:sz w:val="1"/>
                <w:szCs w:val="1"/>
                <w:color w:val="auto"/>
              </w:rPr>
            </w:pPr>
          </w:p>
        </w:tc>
      </w:tr>
      <w:tr>
        <w:trPr>
          <w:trHeight w:val="27"/>
        </w:trPr>
        <w:tc>
          <w:tcPr>
            <w:tcW w:w="1540" w:type="dxa"/>
            <w:vAlign w:val="bottom"/>
          </w:tcPr>
          <w:p>
            <w:pPr>
              <w:spacing w:after="0"/>
              <w:rPr>
                <w:sz w:val="2"/>
                <w:szCs w:val="2"/>
                <w:color w:val="auto"/>
              </w:rPr>
            </w:pPr>
          </w:p>
        </w:tc>
        <w:tc>
          <w:tcPr>
            <w:tcW w:w="58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620" w:type="dxa"/>
            <w:vAlign w:val="bottom"/>
          </w:tcPr>
          <w:p>
            <w:pPr>
              <w:spacing w:after="0"/>
              <w:rPr>
                <w:sz w:val="2"/>
                <w:szCs w:val="2"/>
                <w:color w:val="auto"/>
              </w:rPr>
            </w:pPr>
          </w:p>
        </w:tc>
        <w:tc>
          <w:tcPr>
            <w:tcW w:w="24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10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7400" w:type="dxa"/>
            <w:vAlign w:val="bottom"/>
            <w:gridSpan w:val="2"/>
            <w:shd w:val="clear" w:color="auto" w:fill="CCEEFF"/>
          </w:tcPr>
          <w:p>
            <w:pPr>
              <w:spacing w:after="0"/>
              <w:rPr>
                <w:sz w:val="20"/>
                <w:szCs w:val="20"/>
                <w:color w:val="auto"/>
              </w:rPr>
            </w:pPr>
            <w:r>
              <w:rPr>
                <w:rFonts w:ascii="Arial" w:cs="Arial" w:eastAsia="Arial" w:hAnsi="Arial"/>
                <w:sz w:val="18"/>
                <w:szCs w:val="18"/>
                <w:b w:val="1"/>
                <w:bCs w:val="1"/>
                <w:color w:val="auto"/>
              </w:rPr>
              <w:t>Net Debt, end of period</w:t>
            </w:r>
          </w:p>
        </w:tc>
        <w:tc>
          <w:tcPr>
            <w:tcW w:w="106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3"/>
            <w:shd w:val="clear" w:color="auto" w:fill="CCEEFF"/>
          </w:tcPr>
          <w:p>
            <w:pPr>
              <w:jc w:val="right"/>
              <w:ind w:right="40"/>
              <w:spacing w:after="0"/>
              <w:rPr>
                <w:sz w:val="20"/>
                <w:szCs w:val="20"/>
                <w:color w:val="auto"/>
              </w:rPr>
            </w:pPr>
            <w:r>
              <w:rPr>
                <w:rFonts w:ascii="Arial" w:cs="Arial" w:eastAsia="Arial" w:hAnsi="Arial"/>
                <w:sz w:val="18"/>
                <w:szCs w:val="18"/>
                <w:b w:val="1"/>
                <w:bCs w:val="1"/>
                <w:u w:val="single" w:color="auto"/>
                <w:color w:val="auto"/>
                <w:w w:val="98"/>
              </w:rPr>
              <w:t>$</w:t>
            </w:r>
            <w:r>
              <w:rPr>
                <w:rFonts w:ascii="Arial" w:cs="Arial" w:eastAsia="Arial" w:hAnsi="Arial"/>
                <w:sz w:val="18"/>
                <w:szCs w:val="18"/>
                <w:b w:val="1"/>
                <w:bCs w:val="1"/>
                <w:color w:val="auto"/>
                <w:w w:val="98"/>
              </w:rPr>
              <w:t>(8,221)</w:t>
            </w:r>
          </w:p>
        </w:tc>
        <w:tc>
          <w:tcPr>
            <w:tcW w:w="100" w:type="dxa"/>
            <w:vAlign w:val="bottom"/>
            <w:shd w:val="clear" w:color="auto" w:fill="CCEEFF"/>
          </w:tcPr>
          <w:p>
            <w:pPr>
              <w:spacing w:after="0"/>
              <w:rPr>
                <w:sz w:val="18"/>
                <w:szCs w:val="18"/>
                <w:color w:val="auto"/>
              </w:rPr>
            </w:pPr>
          </w:p>
        </w:tc>
        <w:tc>
          <w:tcPr>
            <w:tcW w:w="880" w:type="dxa"/>
            <w:vAlign w:val="bottom"/>
            <w:gridSpan w:val="4"/>
            <w:shd w:val="clear" w:color="auto" w:fill="CCEEFF"/>
          </w:tcPr>
          <w:p>
            <w:pPr>
              <w:jc w:val="right"/>
              <w:ind w:right="6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(10,105)</w:t>
            </w:r>
          </w:p>
        </w:tc>
        <w:tc>
          <w:tcPr>
            <w:tcW w:w="0" w:type="dxa"/>
            <w:vAlign w:val="bottom"/>
          </w:tcPr>
          <w:p>
            <w:pPr>
              <w:spacing w:after="0"/>
              <w:rPr>
                <w:sz w:val="1"/>
                <w:szCs w:val="1"/>
                <w:color w:val="auto"/>
              </w:rPr>
            </w:pPr>
          </w:p>
        </w:tc>
      </w:tr>
      <w:tr>
        <w:trPr>
          <w:trHeight w:val="20"/>
        </w:trPr>
        <w:tc>
          <w:tcPr>
            <w:tcW w:w="1540" w:type="dxa"/>
            <w:vAlign w:val="bottom"/>
          </w:tcPr>
          <w:p>
            <w:pPr>
              <w:spacing w:after="0" w:line="20" w:lineRule="exact"/>
              <w:rPr>
                <w:sz w:val="1"/>
                <w:szCs w:val="1"/>
                <w:color w:val="auto"/>
              </w:rPr>
            </w:pPr>
          </w:p>
        </w:tc>
        <w:tc>
          <w:tcPr>
            <w:tcW w:w="58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0" w:hanging="424"/>
        <w:spacing w:after="0" w:line="213" w:lineRule="auto"/>
        <w:tabs>
          <w:tab w:leader="none" w:pos="424"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“Net Debt” represents gross debt less cash and short-term investments. Management believes that Net Debt provides useful information to investors and management regarding the level of SLB’s indebtedness by reflecting cash and investments that could be used to repay debt. Net Debt is a non-GAAP financial measure that should be considered in addition to, not as a substitute for or superior to, total debt.</w:t>
      </w:r>
    </w:p>
    <w:p>
      <w:pPr>
        <w:spacing w:after="0" w:line="1" w:lineRule="exact"/>
        <w:rPr>
          <w:rFonts w:ascii="Arial" w:cs="Arial" w:eastAsia="Arial" w:hAnsi="Arial"/>
          <w:sz w:val="27"/>
          <w:szCs w:val="27"/>
          <w:color w:val="auto"/>
          <w:vertAlign w:val="superscript"/>
        </w:rPr>
      </w:pPr>
    </w:p>
    <w:p>
      <w:pPr>
        <w:ind w:left="424" w:hanging="424"/>
        <w:spacing w:after="0" w:line="183" w:lineRule="auto"/>
        <w:tabs>
          <w:tab w:leader="none" w:pos="424" w:val="left"/>
        </w:tabs>
        <w:numPr>
          <w:ilvl w:val="0"/>
          <w:numId w:val="20"/>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exploration data costs, and APS investments.</w:t>
      </w:r>
    </w:p>
    <w:p>
      <w:pPr>
        <w:ind w:left="424" w:right="100" w:hanging="424"/>
        <w:spacing w:after="0" w:line="221" w:lineRule="auto"/>
        <w:tabs>
          <w:tab w:leader="none" w:pos="424" w:val="left"/>
        </w:tabs>
        <w:numPr>
          <w:ilvl w:val="0"/>
          <w:numId w:val="20"/>
        </w:numPr>
        <w:rPr>
          <w:rFonts w:ascii="Arial" w:cs="Arial" w:eastAsia="Arial" w:hAnsi="Arial"/>
          <w:sz w:val="27"/>
          <w:szCs w:val="27"/>
          <w:color w:val="auto"/>
          <w:vertAlign w:val="superscript"/>
        </w:rPr>
      </w:pPr>
      <w:r>
        <w:rPr>
          <w:rFonts w:ascii="Arial" w:cs="Arial" w:eastAsia="Arial" w:hAnsi="Arial"/>
          <w:sz w:val="18"/>
          <w:szCs w:val="18"/>
          <w:color w:val="auto"/>
        </w:rPr>
        <w:t>“Free cash flow” represents cash flow from operations less capital expenditures, APS investments, and exploration data costs capitalized. Management believes that free cash flow is an important liquidity measure for the company and that it is useful to investors and management as a measure of SLB’s ability to generate cash. Once business needs and obligations are met, this cash can be used to reinvest in the company for future growth or to return to shareholders through dividend payments or share repurchases. Free cash flow does not represent the residual cash flow available for discretionary expenditures. Free cash flow is a non-GAAP financial measure that should be considered in addition to, not as a substitute for or superior to, cash flow from operations.</w:t>
      </w:r>
    </w:p>
    <w:p>
      <w:pPr>
        <w:sectPr>
          <w:pgSz w:w="11900" w:h="16838" w:orient="portrait"/>
          <w:cols w:equalWidth="0" w:num="1">
            <w:col w:w="11024"/>
          </w:cols>
          <w:pgMar w:left="436" w:top="274" w:right="439" w:bottom="1440" w:gutter="0" w:footer="0" w:header="0"/>
        </w:sectPr>
      </w:pPr>
    </w:p>
    <w:bookmarkStart w:id="23" w:name="page24"/>
    <w:bookmarkEnd w:id="23"/>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74865" cy="38100"/>
                    </a:xfrm>
                    <a:prstGeom prst="rect">
                      <a:avLst/>
                    </a:prstGeom>
                    <a:noFill/>
                  </pic:spPr>
                </pic:pic>
              </a:graphicData>
            </a:graphic>
          </wp:anchor>
        </w:drawing>
        <w:t>Charges &amp; Credits</w:t>
      </w:r>
    </w:p>
    <w:p>
      <w:pPr>
        <w:spacing w:after="0" w:line="104" w:lineRule="exact"/>
        <w:rPr>
          <w:sz w:val="20"/>
          <w:szCs w:val="20"/>
          <w:color w:val="auto"/>
        </w:rPr>
      </w:pPr>
    </w:p>
    <w:p>
      <w:pPr>
        <w:ind w:left="4" w:right="100"/>
        <w:spacing w:after="0" w:line="238" w:lineRule="auto"/>
        <w:rPr>
          <w:sz w:val="20"/>
          <w:szCs w:val="20"/>
          <w:color w:val="auto"/>
        </w:rPr>
      </w:pPr>
      <w:r>
        <w:rPr>
          <w:rFonts w:ascii="Arial" w:cs="Arial" w:eastAsia="Arial" w:hAnsi="Arial"/>
          <w:sz w:val="18"/>
          <w:szCs w:val="18"/>
          <w:color w:val="auto"/>
        </w:rPr>
        <w:t>In addition to financial results determined in accordance with US generally accepted accounting principles (GAAP), this first-quarter 2026 earnings release also includes non-GAAP financial measures (as defined under the SEC’s Regulation G). In addition to the non-GAAP financial measures discussed under “Liquidity”, SLB net income, excluding charges &amp; credits, as well as measures derived from it (including diluted EPS, excluding charges &amp; credits; effective tax rate, excluding charges &amp; credits; adjusted EBITDA and adjusted EBITDA margin) are non-GAAP financial measures. Management believes that the exclusion of charges &amp; credits from these financial measures provides useful perspective on SLB’s underlying business results and operating trends, and a means to evaluate SLB’s operations period over period. These measures are also used by management as performance measures in determining certain incentive compensation. The foregoing non-GAAP financial measures should be considered in addition to, not as a substitute for or superior to, other measures of financial performance prepared in accordance with GAAP. The following is a reconciliation of certain of these non-GAAP measures to the comparable GAAP measures. For a reconciliation of adjusted EBITDA to the comparable GAAP measure, please refer to the section titled “Supplementary Information” (Question 8).</w:t>
      </w:r>
    </w:p>
    <w:p>
      <w:pPr>
        <w:spacing w:after="0" w:line="222"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5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440" w:type="dxa"/>
            <w:vAlign w:val="bottom"/>
            <w:gridSpan w:val="12"/>
          </w:tcPr>
          <w:p>
            <w:pPr>
              <w:jc w:val="right"/>
              <w:ind w:right="120"/>
              <w:spacing w:after="0"/>
              <w:rPr>
                <w:sz w:val="20"/>
                <w:szCs w:val="20"/>
                <w:color w:val="auto"/>
              </w:rPr>
            </w:pPr>
            <w:r>
              <w:rPr>
                <w:rFonts w:ascii="Arial" w:cs="Arial" w:eastAsia="Arial" w:hAnsi="Arial"/>
                <w:sz w:val="14"/>
                <w:szCs w:val="14"/>
                <w:color w:val="auto"/>
              </w:rPr>
              <w:t>(Stated in millions, except per share amounts)</w:t>
            </w:r>
          </w:p>
        </w:tc>
      </w:tr>
      <w:tr>
        <w:trPr>
          <w:trHeight w:val="171"/>
        </w:trPr>
        <w:tc>
          <w:tcPr>
            <w:tcW w:w="5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38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80" w:type="dxa"/>
            <w:vAlign w:val="bottom"/>
            <w:tcBorders>
              <w:bottom w:val="single" w:sz="8" w:color="auto"/>
            </w:tcBorders>
          </w:tcPr>
          <w:p>
            <w:pPr>
              <w:spacing w:after="0"/>
              <w:rPr>
                <w:sz w:val="14"/>
                <w:szCs w:val="14"/>
                <w:color w:val="auto"/>
              </w:rPr>
            </w:pPr>
          </w:p>
        </w:tc>
        <w:tc>
          <w:tcPr>
            <w:tcW w:w="1320" w:type="dxa"/>
            <w:vAlign w:val="bottom"/>
            <w:tcBorders>
              <w:bottom w:val="single" w:sz="8" w:color="auto"/>
            </w:tcBorders>
            <w:gridSpan w:val="5"/>
          </w:tcPr>
          <w:p>
            <w:pPr>
              <w:jc w:val="right"/>
              <w:spacing w:after="0"/>
              <w:rPr>
                <w:sz w:val="20"/>
                <w:szCs w:val="20"/>
                <w:color w:val="auto"/>
              </w:rPr>
            </w:pPr>
            <w:r>
              <w:rPr>
                <w:rFonts w:ascii="Arial" w:cs="Arial" w:eastAsia="Arial" w:hAnsi="Arial"/>
                <w:sz w:val="14"/>
                <w:szCs w:val="14"/>
                <w:b w:val="1"/>
                <w:bCs w:val="1"/>
                <w:color w:val="auto"/>
              </w:rPr>
              <w:t>First Quarter 2026</w:t>
            </w:r>
          </w:p>
        </w:tc>
        <w:tc>
          <w:tcPr>
            <w:tcW w:w="480" w:type="dxa"/>
            <w:vAlign w:val="bottom"/>
            <w:tcBorders>
              <w:bottom w:val="single" w:sz="8" w:color="auto"/>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5740" w:type="dxa"/>
            <w:vAlign w:val="bottom"/>
          </w:tcPr>
          <w:p>
            <w:pPr>
              <w:spacing w:after="0"/>
              <w:rPr>
                <w:sz w:val="12"/>
                <w:szCs w:val="12"/>
                <w:color w:val="auto"/>
              </w:rPr>
            </w:pPr>
          </w:p>
        </w:tc>
        <w:tc>
          <w:tcPr>
            <w:tcW w:w="10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960" w:type="dxa"/>
            <w:vAlign w:val="bottom"/>
            <w:gridSpan w:val="3"/>
          </w:tcPr>
          <w:p>
            <w:pPr>
              <w:jc w:val="right"/>
              <w:ind w:right="360"/>
              <w:spacing w:after="0" w:line="147" w:lineRule="exact"/>
              <w:rPr>
                <w:sz w:val="20"/>
                <w:szCs w:val="20"/>
                <w:color w:val="auto"/>
              </w:rPr>
            </w:pPr>
            <w:r>
              <w:rPr>
                <w:rFonts w:ascii="Arial" w:cs="Arial" w:eastAsia="Arial" w:hAnsi="Arial"/>
                <w:sz w:val="14"/>
                <w:szCs w:val="14"/>
                <w:color w:val="auto"/>
              </w:rPr>
              <w:t>Noncont.</w:t>
            </w:r>
          </w:p>
        </w:tc>
        <w:tc>
          <w:tcPr>
            <w:tcW w:w="18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57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color w:val="auto"/>
              </w:rPr>
              <w:t>Pretax</w:t>
            </w:r>
          </w:p>
        </w:tc>
        <w:tc>
          <w:tcPr>
            <w:tcW w:w="560" w:type="dxa"/>
            <w:vAlign w:val="bottom"/>
            <w:gridSpan w:val="2"/>
          </w:tcPr>
          <w:p>
            <w:pPr>
              <w:ind w:left="120"/>
              <w:spacing w:after="0"/>
              <w:rPr>
                <w:sz w:val="20"/>
                <w:szCs w:val="20"/>
                <w:color w:val="auto"/>
              </w:rPr>
            </w:pPr>
            <w:r>
              <w:rPr>
                <w:rFonts w:ascii="Arial" w:cs="Arial" w:eastAsia="Arial" w:hAnsi="Arial"/>
                <w:sz w:val="14"/>
                <w:szCs w:val="14"/>
                <w:color w:val="auto"/>
              </w:rPr>
              <w:t>Tax</w:t>
            </w:r>
          </w:p>
        </w:tc>
        <w:tc>
          <w:tcPr>
            <w:tcW w:w="18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color w:val="auto"/>
              </w:rPr>
              <w:t>Interests</w:t>
            </w:r>
          </w:p>
        </w:tc>
        <w:tc>
          <w:tcPr>
            <w:tcW w:w="18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620" w:type="dxa"/>
            <w:vAlign w:val="bottom"/>
            <w:gridSpan w:val="2"/>
          </w:tcPr>
          <w:p>
            <w:pPr>
              <w:jc w:val="center"/>
              <w:ind w:right="280"/>
              <w:spacing w:after="0"/>
              <w:rPr>
                <w:sz w:val="20"/>
                <w:szCs w:val="20"/>
                <w:color w:val="auto"/>
              </w:rPr>
            </w:pPr>
            <w:r>
              <w:rPr>
                <w:rFonts w:ascii="Arial" w:cs="Arial" w:eastAsia="Arial" w:hAnsi="Arial"/>
                <w:sz w:val="14"/>
                <w:szCs w:val="14"/>
                <w:color w:val="auto"/>
              </w:rPr>
              <w:t>EPS</w:t>
            </w:r>
          </w:p>
        </w:tc>
      </w:tr>
      <w:tr>
        <w:trPr>
          <w:trHeight w:val="196"/>
        </w:trPr>
        <w:tc>
          <w:tcPr>
            <w:tcW w:w="57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10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3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956</w:t>
            </w: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$ 195</w:t>
            </w:r>
          </w:p>
        </w:tc>
        <w:tc>
          <w:tcPr>
            <w:tcW w:w="8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280" w:type="dxa"/>
            <w:vAlign w:val="bottom"/>
            <w:tcBorders>
              <w:top w:val="single" w:sz="8" w:color="auto"/>
            </w:tcBorders>
            <w:shd w:val="clear" w:color="auto" w:fill="CCEEFF"/>
          </w:tcPr>
          <w:p>
            <w:pPr>
              <w:jc w:val="right"/>
              <w:ind w:right="102"/>
              <w:spacing w:after="0" w:line="196" w:lineRule="exact"/>
              <w:rPr>
                <w:sz w:val="20"/>
                <w:szCs w:val="20"/>
                <w:color w:val="auto"/>
              </w:rPr>
            </w:pPr>
            <w:r>
              <w:rPr>
                <w:rFonts w:ascii="Arial" w:cs="Arial" w:eastAsia="Arial" w:hAnsi="Arial"/>
                <w:sz w:val="18"/>
                <w:szCs w:val="18"/>
                <w:color w:val="auto"/>
                <w:w w:val="79"/>
              </w:rPr>
              <w:t>$</w:t>
            </w:r>
          </w:p>
        </w:tc>
        <w:tc>
          <w:tcPr>
            <w:tcW w:w="3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w:t>
            </w:r>
          </w:p>
        </w:tc>
        <w:tc>
          <w:tcPr>
            <w:tcW w:w="320" w:type="dxa"/>
            <w:vAlign w:val="bottom"/>
            <w:tcBorders>
              <w:top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752</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0.50</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574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Merger and integration </w:t>
            </w:r>
            <w:r>
              <w:rPr>
                <w:rFonts w:ascii="Arial" w:cs="Arial" w:eastAsia="Arial" w:hAnsi="Arial"/>
                <w:sz w:val="25"/>
                <w:szCs w:val="25"/>
                <w:color w:val="auto"/>
                <w:vertAlign w:val="superscript"/>
              </w:rPr>
              <w:t>(1)</w:t>
            </w:r>
          </w:p>
        </w:tc>
        <w:tc>
          <w:tcPr>
            <w:tcW w:w="10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8"/>
                <w:szCs w:val="18"/>
                <w:color w:val="auto"/>
              </w:rPr>
              <w:t>41</w:t>
            </w:r>
          </w:p>
        </w:tc>
        <w:tc>
          <w:tcPr>
            <w:tcW w:w="560" w:type="dxa"/>
            <w:vAlign w:val="bottom"/>
            <w:gridSpan w:val="2"/>
          </w:tcPr>
          <w:p>
            <w:pPr>
              <w:jc w:val="right"/>
              <w:ind w:right="80"/>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680" w:type="dxa"/>
            <w:vAlign w:val="bottom"/>
            <w:gridSpan w:val="2"/>
          </w:tcPr>
          <w:p>
            <w:pPr>
              <w:jc w:val="right"/>
              <w:ind w:right="320"/>
              <w:spacing w:after="0"/>
              <w:rPr>
                <w:sz w:val="20"/>
                <w:szCs w:val="20"/>
                <w:color w:val="auto"/>
              </w:rPr>
            </w:pPr>
            <w:r>
              <w:rPr>
                <w:rFonts w:ascii="Arial" w:cs="Arial" w:eastAsia="Arial" w:hAnsi="Arial"/>
                <w:sz w:val="18"/>
                <w:szCs w:val="18"/>
                <w:color w:val="auto"/>
              </w:rPr>
              <w:t>2</w:t>
            </w:r>
          </w:p>
        </w:tc>
        <w:tc>
          <w:tcPr>
            <w:tcW w:w="180" w:type="dxa"/>
            <w:vAlign w:val="bottom"/>
          </w:tcPr>
          <w:p>
            <w:pPr>
              <w:spacing w:after="0"/>
              <w:rPr>
                <w:sz w:val="18"/>
                <w:szCs w:val="18"/>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8"/>
                <w:szCs w:val="18"/>
                <w:color w:val="auto"/>
              </w:rPr>
              <w:t>31</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0.02</w:t>
            </w:r>
          </w:p>
        </w:tc>
      </w:tr>
      <w:tr>
        <w:trPr>
          <w:trHeight w:val="27"/>
        </w:trPr>
        <w:tc>
          <w:tcPr>
            <w:tcW w:w="5740" w:type="dxa"/>
            <w:vAlign w:val="bottom"/>
          </w:tcPr>
          <w:p>
            <w:pPr>
              <w:spacing w:after="0"/>
              <w:rPr>
                <w:sz w:val="2"/>
                <w:szCs w:val="2"/>
                <w:color w:val="auto"/>
              </w:rPr>
            </w:pPr>
          </w:p>
        </w:tc>
        <w:tc>
          <w:tcPr>
            <w:tcW w:w="10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c>
          <w:tcPr>
            <w:tcW w:w="180" w:type="dxa"/>
            <w:vAlign w:val="bottom"/>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574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120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64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997</w:t>
            </w:r>
          </w:p>
        </w:tc>
        <w:tc>
          <w:tcPr>
            <w:tcW w:w="56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color w:val="auto"/>
              </w:rPr>
              <w:t>$ 203</w:t>
            </w:r>
          </w:p>
        </w:tc>
        <w:tc>
          <w:tcPr>
            <w:tcW w:w="460" w:type="dxa"/>
            <w:vAlign w:val="bottom"/>
            <w:gridSpan w:val="2"/>
            <w:shd w:val="clear" w:color="auto" w:fill="CCEEFF"/>
          </w:tcPr>
          <w:p>
            <w:pPr>
              <w:jc w:val="right"/>
              <w:ind w:right="102"/>
              <w:spacing w:after="0"/>
              <w:rPr>
                <w:sz w:val="20"/>
                <w:szCs w:val="20"/>
                <w:color w:val="auto"/>
              </w:rPr>
            </w:pPr>
            <w:r>
              <w:rPr>
                <w:rFonts w:ascii="Arial" w:cs="Arial" w:eastAsia="Arial" w:hAnsi="Arial"/>
                <w:sz w:val="18"/>
                <w:szCs w:val="18"/>
                <w:color w:val="auto"/>
              </w:rPr>
              <w:t>$</w:t>
            </w:r>
          </w:p>
        </w:tc>
        <w:tc>
          <w:tcPr>
            <w:tcW w:w="68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w:t>
            </w:r>
          </w:p>
        </w:tc>
        <w:tc>
          <w:tcPr>
            <w:tcW w:w="18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0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783</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0.52</w:t>
            </w:r>
          </w:p>
        </w:tc>
      </w:tr>
      <w:tr>
        <w:trPr>
          <w:trHeight w:val="20"/>
        </w:trPr>
        <w:tc>
          <w:tcPr>
            <w:tcW w:w="5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1">
            <w:col w:w="11024"/>
          </w:cols>
          <w:pgMar w:left="436" w:top="269" w:right="439" w:bottom="1440" w:gutter="0" w:footer="0" w:header="0"/>
        </w:sectPr>
      </w:pPr>
    </w:p>
    <w:p>
      <w:pPr>
        <w:spacing w:after="0" w:line="200" w:lineRule="exact"/>
        <w:rPr>
          <w:sz w:val="20"/>
          <w:szCs w:val="20"/>
          <w:color w:val="auto"/>
        </w:rPr>
      </w:pPr>
    </w:p>
    <w:p>
      <w:pPr>
        <w:spacing w:after="0" w:line="310" w:lineRule="exact"/>
        <w:rPr>
          <w:sz w:val="20"/>
          <w:szCs w:val="20"/>
          <w:color w:val="auto"/>
        </w:rPr>
      </w:pPr>
    </w:p>
    <w:p>
      <w:pPr>
        <w:ind w:left="4"/>
        <w:spacing w:after="0"/>
        <w:rPr>
          <w:sz w:val="20"/>
          <w:szCs w:val="20"/>
          <w:color w:val="auto"/>
        </w:rPr>
      </w:pPr>
      <w:r>
        <w:rPr>
          <w:rFonts w:ascii="Arial" w:cs="Arial" w:eastAsia="Arial" w:hAnsi="Arial"/>
          <w:sz w:val="18"/>
          <w:szCs w:val="18"/>
          <w:color w:val="auto"/>
        </w:rPr>
        <w:t>Net income attributable to SLB (GAAP basis)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-118745</wp:posOffset>
            </wp:positionV>
            <wp:extent cx="6995160" cy="13716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364"/>
        <w:spacing w:after="0" w:line="195" w:lineRule="auto"/>
        <w:rPr>
          <w:sz w:val="20"/>
          <w:szCs w:val="20"/>
          <w:color w:val="auto"/>
        </w:rPr>
      </w:pPr>
      <w:r>
        <w:rPr>
          <w:rFonts w:ascii="Arial" w:cs="Arial" w:eastAsia="Arial" w:hAnsi="Arial"/>
          <w:sz w:val="18"/>
          <w:szCs w:val="18"/>
          <w:color w:val="auto"/>
        </w:rPr>
        <w:t xml:space="preserve">Workforce reductions </w:t>
      </w:r>
      <w:r>
        <w:rPr>
          <w:rFonts w:ascii="Arial" w:cs="Arial" w:eastAsia="Arial" w:hAnsi="Arial"/>
          <w:sz w:val="26"/>
          <w:szCs w:val="26"/>
          <w:color w:val="auto"/>
          <w:vertAlign w:val="superscript"/>
        </w:rPr>
        <w:t>(2)</w:t>
      </w:r>
    </w:p>
    <w:p>
      <w:pPr>
        <w:ind w:left="364"/>
        <w:spacing w:after="0" w:line="195" w:lineRule="auto"/>
        <w:rPr>
          <w:sz w:val="20"/>
          <w:szCs w:val="20"/>
          <w:color w:val="auto"/>
        </w:rPr>
      </w:pPr>
      <w:r>
        <w:rPr>
          <w:rFonts w:ascii="Arial" w:cs="Arial" w:eastAsia="Arial" w:hAnsi="Arial"/>
          <w:sz w:val="18"/>
          <w:szCs w:val="18"/>
          <w:color w:val="auto"/>
        </w:rPr>
        <w:t xml:space="preserve">Merger and integration </w:t>
      </w:r>
      <w:r>
        <w:rPr>
          <w:rFonts w:ascii="Arial" w:cs="Arial" w:eastAsia="Arial" w:hAnsi="Arial"/>
          <w:sz w:val="26"/>
          <w:szCs w:val="26"/>
          <w:color w:val="auto"/>
          <w:vertAlign w:val="superscript"/>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0</wp:posOffset>
            </wp:positionH>
            <wp:positionV relativeFrom="paragraph">
              <wp:posOffset>-153035</wp:posOffset>
            </wp:positionV>
            <wp:extent cx="6995160" cy="13716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6995160" cy="137160"/>
                    </a:xfrm>
                    <a:prstGeom prst="rect">
                      <a:avLst/>
                    </a:prstGeom>
                    <a:noFill/>
                  </pic:spPr>
                </pic:pic>
              </a:graphicData>
            </a:graphic>
          </wp:anchor>
        </w:drawing>
      </w:r>
    </w:p>
    <w:p>
      <w:pPr>
        <w:ind w:left="4"/>
        <w:spacing w:after="0"/>
        <w:rPr>
          <w:sz w:val="20"/>
          <w:szCs w:val="20"/>
          <w:color w:val="auto"/>
        </w:rPr>
      </w:pPr>
      <w:r>
        <w:rPr>
          <w:rFonts w:ascii="Arial" w:cs="Arial" w:eastAsia="Arial" w:hAnsi="Arial"/>
          <w:sz w:val="17"/>
          <w:szCs w:val="17"/>
          <w:color w:val="auto"/>
        </w:rPr>
        <w:t>Net income attributable to SLB, excluding charges &amp; credits</w:t>
      </w:r>
    </w:p>
    <w:p>
      <w:pPr>
        <w:spacing w:after="0" w:line="20" w:lineRule="exact"/>
        <w:rPr>
          <w:sz w:val="20"/>
          <w:szCs w:val="20"/>
          <w:color w:val="auto"/>
        </w:rPr>
      </w:pPr>
      <w:r>
        <w:rPr>
          <w:sz w:val="20"/>
          <w:szCs w:val="20"/>
          <w:color w:val="auto"/>
        </w:rPr>
        <w:br w:type="column"/>
      </w:r>
    </w:p>
    <w:p>
      <w:pPr>
        <w:ind w:left="1440"/>
        <w:spacing w:after="0"/>
        <w:rPr>
          <w:sz w:val="20"/>
          <w:szCs w:val="20"/>
          <w:color w:val="auto"/>
        </w:rPr>
      </w:pPr>
      <w:r>
        <w:rPr>
          <w:rFonts w:ascii="Arial" w:cs="Arial" w:eastAsia="Arial" w:hAnsi="Arial"/>
          <w:sz w:val="14"/>
          <w:szCs w:val="14"/>
          <w:b w:val="1"/>
          <w:bCs w:val="1"/>
          <w:color w:val="auto"/>
        </w:rPr>
        <w:t>First Quarter 2025</w:t>
      </w:r>
    </w:p>
    <w:p>
      <w:pPr>
        <w:spacing w:after="0" w:line="10" w:lineRule="exact"/>
        <w:rPr>
          <w:sz w:val="20"/>
          <w:szCs w:val="20"/>
          <w:color w:val="auto"/>
        </w:rPr>
      </w:pPr>
    </w:p>
    <w:tbl>
      <w:tblPr>
        <w:tblLayout w:type="fixed"/>
        <w:tblInd w:w="0" w:type="dxa"/>
        <w:tblCellMar>
          <w:top w:w="0" w:type="dxa"/>
          <w:left w:w="0" w:type="dxa"/>
          <w:bottom w:w="0" w:type="dxa"/>
          <w:right w:w="0" w:type="dxa"/>
        </w:tblCellMar>
      </w:tblPr>
      <w:tr>
        <w:trPr>
          <w:trHeight w:val="146"/>
        </w:trPr>
        <w:tc>
          <w:tcPr>
            <w:tcW w:w="20" w:type="dxa"/>
            <w:vAlign w:val="bottom"/>
          </w:tcPr>
          <w:p>
            <w:pPr>
              <w:spacing w:after="0"/>
              <w:rPr>
                <w:sz w:val="12"/>
                <w:szCs w:val="12"/>
                <w:color w:val="auto"/>
              </w:rPr>
            </w:pPr>
          </w:p>
        </w:tc>
        <w:tc>
          <w:tcPr>
            <w:tcW w:w="54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480" w:type="dxa"/>
            <w:vAlign w:val="bottom"/>
            <w:tcBorders>
              <w:top w:val="single" w:sz="8" w:color="auto"/>
            </w:tcBorders>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960" w:type="dxa"/>
            <w:vAlign w:val="bottom"/>
            <w:tcBorders>
              <w:top w:val="single" w:sz="8" w:color="auto"/>
            </w:tcBorders>
            <w:gridSpan w:val="3"/>
          </w:tcPr>
          <w:p>
            <w:pPr>
              <w:jc w:val="right"/>
              <w:ind w:right="360"/>
              <w:spacing w:after="0" w:line="147" w:lineRule="exact"/>
              <w:rPr>
                <w:sz w:val="20"/>
                <w:szCs w:val="20"/>
                <w:color w:val="auto"/>
              </w:rPr>
            </w:pPr>
            <w:r>
              <w:rPr>
                <w:rFonts w:ascii="Arial" w:cs="Arial" w:eastAsia="Arial" w:hAnsi="Arial"/>
                <w:sz w:val="14"/>
                <w:szCs w:val="14"/>
                <w:color w:val="auto"/>
              </w:rPr>
              <w:t>Noncont.</w:t>
            </w:r>
          </w:p>
        </w:tc>
        <w:tc>
          <w:tcPr>
            <w:tcW w:w="160" w:type="dxa"/>
            <w:vAlign w:val="bottom"/>
            <w:tcBorders>
              <w:top w:val="single" w:sz="8" w:color="auto"/>
            </w:tcBorders>
          </w:tcPr>
          <w:p>
            <w:pPr>
              <w:spacing w:after="0"/>
              <w:rPr>
                <w:sz w:val="12"/>
                <w:szCs w:val="12"/>
                <w:color w:val="auto"/>
              </w:rPr>
            </w:pPr>
          </w:p>
        </w:tc>
        <w:tc>
          <w:tcPr>
            <w:tcW w:w="50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64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Diluted</w:t>
            </w:r>
          </w:p>
        </w:tc>
        <w:tc>
          <w:tcPr>
            <w:tcW w:w="20" w:type="dxa"/>
            <w:vAlign w:val="bottom"/>
          </w:tcPr>
          <w:p>
            <w:pPr>
              <w:spacing w:after="0"/>
              <w:rPr>
                <w:sz w:val="12"/>
                <w:szCs w:val="12"/>
                <w:color w:val="auto"/>
              </w:rPr>
            </w:pPr>
          </w:p>
        </w:tc>
      </w:tr>
      <w:tr>
        <w:trPr>
          <w:trHeight w:val="171"/>
        </w:trPr>
        <w:tc>
          <w:tcPr>
            <w:tcW w:w="20" w:type="dxa"/>
            <w:vAlign w:val="bottom"/>
          </w:tcPr>
          <w:p>
            <w:pPr>
              <w:spacing w:after="0"/>
              <w:rPr>
                <w:sz w:val="14"/>
                <w:szCs w:val="14"/>
                <w:color w:val="auto"/>
              </w:rPr>
            </w:pPr>
          </w:p>
        </w:tc>
        <w:tc>
          <w:tcPr>
            <w:tcW w:w="560" w:type="dxa"/>
            <w:vAlign w:val="bottom"/>
            <w:gridSpan w:val="2"/>
          </w:tcPr>
          <w:p>
            <w:pPr>
              <w:jc w:val="right"/>
              <w:ind w:right="80"/>
              <w:spacing w:after="0"/>
              <w:rPr>
                <w:sz w:val="20"/>
                <w:szCs w:val="20"/>
                <w:color w:val="auto"/>
              </w:rPr>
            </w:pPr>
            <w:r>
              <w:rPr>
                <w:rFonts w:ascii="Arial" w:cs="Arial" w:eastAsia="Arial" w:hAnsi="Arial"/>
                <w:sz w:val="14"/>
                <w:szCs w:val="14"/>
                <w:color w:val="auto"/>
              </w:rPr>
              <w:t>Pretax</w:t>
            </w:r>
          </w:p>
        </w:tc>
        <w:tc>
          <w:tcPr>
            <w:tcW w:w="240" w:type="dxa"/>
            <w:vAlign w:val="bottom"/>
          </w:tcPr>
          <w:p>
            <w:pPr>
              <w:spacing w:after="0"/>
              <w:rPr>
                <w:sz w:val="14"/>
                <w:szCs w:val="14"/>
                <w:color w:val="auto"/>
              </w:rPr>
            </w:pPr>
          </w:p>
        </w:tc>
        <w:tc>
          <w:tcPr>
            <w:tcW w:w="740" w:type="dxa"/>
            <w:vAlign w:val="bottom"/>
            <w:gridSpan w:val="2"/>
          </w:tcPr>
          <w:p>
            <w:pPr>
              <w:ind w:left="120"/>
              <w:spacing w:after="0"/>
              <w:rPr>
                <w:sz w:val="20"/>
                <w:szCs w:val="20"/>
                <w:color w:val="auto"/>
              </w:rPr>
            </w:pPr>
            <w:r>
              <w:rPr>
                <w:rFonts w:ascii="Arial" w:cs="Arial" w:eastAsia="Arial" w:hAnsi="Arial"/>
                <w:sz w:val="14"/>
                <w:szCs w:val="14"/>
                <w:color w:val="auto"/>
              </w:rPr>
              <w:t>Tax</w:t>
            </w:r>
          </w:p>
        </w:tc>
        <w:tc>
          <w:tcPr>
            <w:tcW w:w="960" w:type="dxa"/>
            <w:vAlign w:val="bottom"/>
            <w:gridSpan w:val="3"/>
          </w:tcPr>
          <w:p>
            <w:pPr>
              <w:jc w:val="right"/>
              <w:ind w:right="36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820" w:type="dxa"/>
            <w:vAlign w:val="bottom"/>
            <w:gridSpan w:val="2"/>
          </w:tcPr>
          <w:p>
            <w:pPr>
              <w:ind w:left="6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520" w:type="dxa"/>
            <w:vAlign w:val="bottom"/>
            <w:gridSpan w:val="2"/>
          </w:tcPr>
          <w:p>
            <w:pPr>
              <w:jc w:val="center"/>
              <w:ind w:right="180"/>
              <w:spacing w:after="0"/>
              <w:rPr>
                <w:sz w:val="20"/>
                <w:szCs w:val="20"/>
                <w:color w:val="auto"/>
              </w:rPr>
            </w:pPr>
            <w:r>
              <w:rPr>
                <w:rFonts w:ascii="Arial" w:cs="Arial" w:eastAsia="Arial" w:hAnsi="Arial"/>
                <w:sz w:val="14"/>
                <w:szCs w:val="14"/>
                <w:color w:val="auto"/>
              </w:rPr>
              <w:t>EPS</w:t>
            </w:r>
          </w:p>
        </w:tc>
      </w:tr>
      <w:tr>
        <w:trPr>
          <w:trHeight w:val="191"/>
        </w:trPr>
        <w:tc>
          <w:tcPr>
            <w:tcW w:w="20" w:type="dxa"/>
            <w:vAlign w:val="bottom"/>
          </w:tcPr>
          <w:p>
            <w:pPr>
              <w:spacing w:after="0"/>
              <w:rPr>
                <w:sz w:val="16"/>
                <w:szCs w:val="16"/>
                <w:color w:val="auto"/>
              </w:rPr>
            </w:pPr>
          </w:p>
        </w:tc>
        <w:tc>
          <w:tcPr>
            <w:tcW w:w="5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94"/>
              </w:rPr>
              <w:t>$1,063</w:t>
            </w:r>
          </w:p>
        </w:tc>
        <w:tc>
          <w:tcPr>
            <w:tcW w:w="2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8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$ 234</w:t>
            </w:r>
          </w:p>
        </w:tc>
        <w:tc>
          <w:tcPr>
            <w:tcW w:w="260" w:type="dxa"/>
            <w:vAlign w:val="bottom"/>
          </w:tcPr>
          <w:p>
            <w:pPr>
              <w:spacing w:after="0"/>
              <w:rPr>
                <w:sz w:val="16"/>
                <w:szCs w:val="16"/>
                <w:color w:val="auto"/>
              </w:rPr>
            </w:pPr>
          </w:p>
        </w:tc>
        <w:tc>
          <w:tcPr>
            <w:tcW w:w="240" w:type="dxa"/>
            <w:vAlign w:val="bottom"/>
            <w:tcBorders>
              <w:top w:val="single" w:sz="8" w:color="auto"/>
            </w:tcBorders>
          </w:tcPr>
          <w:p>
            <w:pPr>
              <w:jc w:val="right"/>
              <w:ind w:right="59"/>
              <w:spacing w:after="0" w:line="191"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32</w:t>
            </w:r>
          </w:p>
        </w:tc>
        <w:tc>
          <w:tcPr>
            <w:tcW w:w="320" w:type="dxa"/>
            <w:vAlign w:val="bottom"/>
          </w:tcPr>
          <w:p>
            <w:pPr>
              <w:spacing w:after="0"/>
              <w:rPr>
                <w:sz w:val="16"/>
                <w:szCs w:val="16"/>
                <w:color w:val="auto"/>
              </w:rPr>
            </w:pPr>
          </w:p>
        </w:tc>
        <w:tc>
          <w:tcPr>
            <w:tcW w:w="16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797</w:t>
            </w:r>
          </w:p>
        </w:tc>
        <w:tc>
          <w:tcPr>
            <w:tcW w:w="320" w:type="dxa"/>
            <w:vAlign w:val="bottom"/>
          </w:tcPr>
          <w:p>
            <w:pPr>
              <w:spacing w:after="0"/>
              <w:rPr>
                <w:sz w:val="16"/>
                <w:szCs w:val="16"/>
                <w:color w:val="auto"/>
              </w:rPr>
            </w:pPr>
          </w:p>
        </w:tc>
        <w:tc>
          <w:tcPr>
            <w:tcW w:w="14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tcPr>
          <w:p>
            <w:pPr>
              <w:jc w:val="right"/>
              <w:spacing w:after="0" w:line="191" w:lineRule="exact"/>
              <w:rPr>
                <w:sz w:val="20"/>
                <w:szCs w:val="20"/>
                <w:color w:val="auto"/>
              </w:rPr>
            </w:pPr>
            <w:r>
              <w:rPr>
                <w:rFonts w:ascii="Arial" w:cs="Arial" w:eastAsia="Arial" w:hAnsi="Arial"/>
                <w:sz w:val="18"/>
                <w:szCs w:val="18"/>
                <w:color w:val="auto"/>
              </w:rPr>
              <w:t>0.58</w:t>
            </w:r>
          </w:p>
        </w:tc>
        <w:tc>
          <w:tcPr>
            <w:tcW w:w="20" w:type="dxa"/>
            <w:vAlign w:val="bottom"/>
          </w:tcPr>
          <w:p>
            <w:pPr>
              <w:spacing w:after="0"/>
              <w:rPr>
                <w:sz w:val="16"/>
                <w:szCs w:val="16"/>
                <w:color w:val="auto"/>
              </w:rPr>
            </w:pPr>
          </w:p>
        </w:tc>
      </w:tr>
      <w:tr>
        <w:trPr>
          <w:trHeight w:val="216"/>
        </w:trPr>
        <w:tc>
          <w:tcPr>
            <w:tcW w:w="580" w:type="dxa"/>
            <w:vAlign w:val="bottom"/>
            <w:gridSpan w:val="3"/>
          </w:tcPr>
          <w:p>
            <w:pPr>
              <w:jc w:val="right"/>
              <w:ind w:right="20"/>
              <w:spacing w:after="0"/>
              <w:rPr>
                <w:sz w:val="20"/>
                <w:szCs w:val="20"/>
                <w:color w:val="auto"/>
              </w:rPr>
            </w:pPr>
            <w:r>
              <w:rPr>
                <w:rFonts w:ascii="Arial" w:cs="Arial" w:eastAsia="Arial" w:hAnsi="Arial"/>
                <w:sz w:val="18"/>
                <w:szCs w:val="18"/>
                <w:color w:val="auto"/>
              </w:rPr>
              <w:t>158</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10</w:t>
            </w:r>
          </w:p>
        </w:tc>
        <w:tc>
          <w:tcPr>
            <w:tcW w:w="2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148</w:t>
            </w:r>
          </w:p>
        </w:tc>
        <w:tc>
          <w:tcPr>
            <w:tcW w:w="140" w:type="dxa"/>
            <w:vAlign w:val="bottom"/>
          </w:tcPr>
          <w:p>
            <w:pPr>
              <w:spacing w:after="0"/>
              <w:rPr>
                <w:sz w:val="18"/>
                <w:szCs w:val="18"/>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0.11</w:t>
            </w:r>
          </w:p>
        </w:tc>
      </w:tr>
      <w:tr>
        <w:trPr>
          <w:trHeight w:val="221"/>
        </w:trPr>
        <w:tc>
          <w:tcPr>
            <w:tcW w:w="20" w:type="dxa"/>
            <w:vAlign w:val="bottom"/>
          </w:tcPr>
          <w:p>
            <w:pPr>
              <w:spacing w:after="0"/>
              <w:rPr>
                <w:sz w:val="19"/>
                <w:szCs w:val="19"/>
                <w:color w:val="auto"/>
              </w:rPr>
            </w:pPr>
          </w:p>
        </w:tc>
        <w:tc>
          <w:tcPr>
            <w:tcW w:w="56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48</w:t>
            </w:r>
          </w:p>
        </w:tc>
        <w:tc>
          <w:tcPr>
            <w:tcW w:w="240" w:type="dxa"/>
            <w:vAlign w:val="bottom"/>
          </w:tcPr>
          <w:p>
            <w:pPr>
              <w:spacing w:after="0"/>
              <w:rPr>
                <w:sz w:val="19"/>
                <w:szCs w:val="19"/>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w:t>
            </w:r>
          </w:p>
        </w:tc>
        <w:tc>
          <w:tcPr>
            <w:tcW w:w="260" w:type="dxa"/>
            <w:vAlign w:val="bottom"/>
          </w:tcPr>
          <w:p>
            <w:pPr>
              <w:spacing w:after="0"/>
              <w:rPr>
                <w:sz w:val="19"/>
                <w:szCs w:val="19"/>
                <w:color w:val="auto"/>
              </w:rPr>
            </w:pPr>
          </w:p>
        </w:tc>
        <w:tc>
          <w:tcPr>
            <w:tcW w:w="240" w:type="dxa"/>
            <w:vAlign w:val="bottom"/>
            <w:tcBorders>
              <w:bottom w:val="single" w:sz="8" w:color="auto"/>
            </w:tcBorders>
          </w:tcPr>
          <w:p>
            <w:pPr>
              <w:spacing w:after="0"/>
              <w:rPr>
                <w:sz w:val="19"/>
                <w:szCs w:val="19"/>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320" w:type="dxa"/>
            <w:vAlign w:val="bottom"/>
          </w:tcPr>
          <w:p>
            <w:pPr>
              <w:spacing w:after="0"/>
              <w:rPr>
                <w:sz w:val="19"/>
                <w:szCs w:val="19"/>
                <w:color w:val="auto"/>
              </w:rPr>
            </w:pPr>
          </w:p>
        </w:tc>
        <w:tc>
          <w:tcPr>
            <w:tcW w:w="16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43</w:t>
            </w:r>
          </w:p>
        </w:tc>
        <w:tc>
          <w:tcPr>
            <w:tcW w:w="32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5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0.03</w:t>
            </w:r>
          </w:p>
        </w:tc>
        <w:tc>
          <w:tcPr>
            <w:tcW w:w="20" w:type="dxa"/>
            <w:vAlign w:val="bottom"/>
          </w:tcPr>
          <w:p>
            <w:pPr>
              <w:spacing w:after="0"/>
              <w:rPr>
                <w:sz w:val="19"/>
                <w:szCs w:val="19"/>
                <w:color w:val="auto"/>
              </w:rPr>
            </w:pPr>
          </w:p>
        </w:tc>
      </w:tr>
      <w:tr>
        <w:trPr>
          <w:trHeight w:val="223"/>
        </w:trPr>
        <w:tc>
          <w:tcPr>
            <w:tcW w:w="580" w:type="dxa"/>
            <w:vAlign w:val="bottom"/>
            <w:gridSpan w:val="3"/>
          </w:tcPr>
          <w:p>
            <w:pPr>
              <w:jc w:val="right"/>
              <w:ind w:right="20"/>
              <w:spacing w:after="0"/>
              <w:rPr>
                <w:sz w:val="20"/>
                <w:szCs w:val="20"/>
                <w:color w:val="auto"/>
              </w:rPr>
            </w:pPr>
            <w:r>
              <w:rPr>
                <w:rFonts w:ascii="Arial" w:cs="Arial" w:eastAsia="Arial" w:hAnsi="Arial"/>
                <w:sz w:val="18"/>
                <w:szCs w:val="18"/>
                <w:u w:val="single" w:color="auto"/>
                <w:color w:val="auto"/>
                <w:w w:val="98"/>
              </w:rPr>
              <w:t>$</w:t>
            </w:r>
            <w:r>
              <w:rPr>
                <w:rFonts w:ascii="Arial" w:cs="Arial" w:eastAsia="Arial" w:hAnsi="Arial"/>
                <w:sz w:val="18"/>
                <w:szCs w:val="18"/>
                <w:color w:val="auto"/>
                <w:w w:val="98"/>
              </w:rPr>
              <w:t>1,269</w:t>
            </w:r>
          </w:p>
        </w:tc>
        <w:tc>
          <w:tcPr>
            <w:tcW w:w="980" w:type="dxa"/>
            <w:vAlign w:val="bottom"/>
            <w:gridSpan w:val="3"/>
          </w:tcPr>
          <w:p>
            <w:pPr>
              <w:jc w:val="right"/>
              <w:ind w:right="260"/>
              <w:spacing w:after="0"/>
              <w:rPr>
                <w:sz w:val="20"/>
                <w:szCs w:val="20"/>
                <w:color w:val="auto"/>
              </w:rPr>
            </w:pPr>
            <w:r>
              <w:rPr>
                <w:rFonts w:ascii="Arial" w:cs="Arial" w:eastAsia="Arial" w:hAnsi="Arial"/>
                <w:sz w:val="18"/>
                <w:szCs w:val="18"/>
                <w:color w:val="auto"/>
              </w:rPr>
              <w:t>$ 245</w:t>
            </w:r>
          </w:p>
        </w:tc>
        <w:tc>
          <w:tcPr>
            <w:tcW w:w="240" w:type="dxa"/>
            <w:vAlign w:val="bottom"/>
          </w:tcPr>
          <w:p>
            <w:pPr>
              <w:jc w:val="right"/>
              <w:ind w:right="59"/>
              <w:spacing w:after="0"/>
              <w:rPr>
                <w:sz w:val="20"/>
                <w:szCs w:val="20"/>
                <w:color w:val="auto"/>
              </w:rPr>
            </w:pPr>
            <w:r>
              <w:rPr>
                <w:rFonts w:ascii="Arial" w:cs="Arial" w:eastAsia="Arial" w:hAnsi="Arial"/>
                <w:sz w:val="18"/>
                <w:szCs w:val="18"/>
                <w:color w:val="auto"/>
                <w:w w:val="79"/>
              </w:rPr>
              <w:t>$</w:t>
            </w: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36</w:t>
            </w: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988</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20"/>
              <w:spacing w:after="0"/>
              <w:rPr>
                <w:sz w:val="20"/>
                <w:szCs w:val="20"/>
                <w:color w:val="auto"/>
              </w:rPr>
            </w:pPr>
            <w:r>
              <w:rPr>
                <w:rFonts w:ascii="Arial" w:cs="Arial" w:eastAsia="Arial" w:hAnsi="Arial"/>
                <w:sz w:val="18"/>
                <w:szCs w:val="18"/>
                <w:color w:val="auto"/>
              </w:rPr>
              <w:t>0.72</w:t>
            </w:r>
          </w:p>
        </w:tc>
      </w:tr>
      <w:tr>
        <w:trPr>
          <w:trHeight w:val="20"/>
        </w:trPr>
        <w:tc>
          <w:tcPr>
            <w:tcW w:w="2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bl>
    <w:p>
      <w:pPr>
        <w:spacing w:after="0" w:line="200" w:lineRule="exact"/>
        <w:rPr>
          <w:sz w:val="20"/>
          <w:szCs w:val="20"/>
          <w:color w:val="auto"/>
        </w:rPr>
      </w:pPr>
    </w:p>
    <w:p>
      <w:pPr>
        <w:sectPr>
          <w:pgSz w:w="11900" w:h="16838" w:orient="portrait"/>
          <w:cols w:equalWidth="0" w:num="2">
            <w:col w:w="6044" w:space="720"/>
            <w:col w:w="4260"/>
          </w:cols>
          <w:pgMar w:left="436" w:top="269" w:right="439" w:bottom="1440" w:gutter="0" w:footer="0" w:header="0"/>
          <w:type w:val="continuous"/>
        </w:sectPr>
      </w:pPr>
    </w:p>
    <w:p>
      <w:pPr>
        <w:spacing w:after="0" w:line="20" w:lineRule="exact"/>
        <w:rPr>
          <w:sz w:val="20"/>
          <w:szCs w:val="20"/>
          <w:color w:val="auto"/>
        </w:rPr>
      </w:pPr>
    </w:p>
    <w:tbl>
      <w:tblPr>
        <w:tblLayout w:type="fixed"/>
        <w:tblInd w:w="4" w:type="dxa"/>
        <w:tblCellMar>
          <w:top w:w="0" w:type="dxa"/>
          <w:left w:w="0" w:type="dxa"/>
          <w:bottom w:w="0" w:type="dxa"/>
          <w:right w:w="0" w:type="dxa"/>
        </w:tblCellMar>
      </w:tblPr>
      <w:tr>
        <w:trPr>
          <w:trHeight w:val="171"/>
        </w:trPr>
        <w:tc>
          <w:tcPr>
            <w:tcW w:w="6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480" w:type="dxa"/>
            <w:vAlign w:val="bottom"/>
            <w:tcBorders>
              <w:bottom w:val="single" w:sz="8" w:color="auto"/>
            </w:tcBorders>
          </w:tcPr>
          <w:p>
            <w:pPr>
              <w:spacing w:after="0"/>
              <w:rPr>
                <w:sz w:val="14"/>
                <w:szCs w:val="14"/>
                <w:color w:val="auto"/>
              </w:rPr>
            </w:pPr>
          </w:p>
        </w:tc>
        <w:tc>
          <w:tcPr>
            <w:tcW w:w="40" w:type="dxa"/>
            <w:vAlign w:val="bottom"/>
            <w:tcBorders>
              <w:bottom w:val="single" w:sz="8" w:color="auto"/>
            </w:tcBorders>
          </w:tcPr>
          <w:p>
            <w:pPr>
              <w:spacing w:after="0"/>
              <w:rPr>
                <w:sz w:val="14"/>
                <w:szCs w:val="14"/>
                <w:color w:val="auto"/>
              </w:rPr>
            </w:pPr>
          </w:p>
        </w:tc>
        <w:tc>
          <w:tcPr>
            <w:tcW w:w="2160" w:type="dxa"/>
            <w:vAlign w:val="bottom"/>
            <w:tcBorders>
              <w:bottom w:val="single" w:sz="8" w:color="auto"/>
            </w:tcBorders>
            <w:gridSpan w:val="7"/>
          </w:tcPr>
          <w:p>
            <w:pPr>
              <w:jc w:val="right"/>
              <w:ind w:right="740"/>
              <w:spacing w:after="0"/>
              <w:rPr>
                <w:sz w:val="20"/>
                <w:szCs w:val="20"/>
                <w:color w:val="auto"/>
              </w:rPr>
            </w:pPr>
            <w:r>
              <w:rPr>
                <w:rFonts w:ascii="Arial" w:cs="Arial" w:eastAsia="Arial" w:hAnsi="Arial"/>
                <w:sz w:val="14"/>
                <w:szCs w:val="14"/>
                <w:b w:val="1"/>
                <w:bCs w:val="1"/>
                <w:color w:val="auto"/>
              </w:rPr>
              <w:t>Fourth Quarter 2025</w:t>
            </w:r>
          </w:p>
        </w:tc>
        <w:tc>
          <w:tcPr>
            <w:tcW w:w="140" w:type="dxa"/>
            <w:vAlign w:val="bottom"/>
            <w:tcBorders>
              <w:bottom w:val="single" w:sz="8" w:color="auto"/>
            </w:tcBorders>
          </w:tcPr>
          <w:p>
            <w:pPr>
              <w:spacing w:after="0"/>
              <w:rPr>
                <w:sz w:val="14"/>
                <w:szCs w:val="14"/>
                <w:color w:val="auto"/>
              </w:rPr>
            </w:pPr>
          </w:p>
        </w:tc>
        <w:tc>
          <w:tcPr>
            <w:tcW w:w="500" w:type="dxa"/>
            <w:vAlign w:val="bottom"/>
            <w:tcBorders>
              <w:bottom w:val="single" w:sz="8" w:color="auto"/>
            </w:tcBorders>
          </w:tcPr>
          <w:p>
            <w:pPr>
              <w:spacing w:after="0"/>
              <w:rPr>
                <w:sz w:val="14"/>
                <w:szCs w:val="14"/>
                <w:color w:val="auto"/>
              </w:rPr>
            </w:pPr>
          </w:p>
        </w:tc>
        <w:tc>
          <w:tcPr>
            <w:tcW w:w="120" w:type="dxa"/>
            <w:vAlign w:val="bottom"/>
          </w:tcPr>
          <w:p>
            <w:pPr>
              <w:spacing w:after="0"/>
              <w:rPr>
                <w:sz w:val="14"/>
                <w:szCs w:val="14"/>
                <w:color w:val="auto"/>
              </w:rPr>
            </w:pPr>
          </w:p>
        </w:tc>
      </w:tr>
      <w:tr>
        <w:trPr>
          <w:trHeight w:val="146"/>
        </w:trPr>
        <w:tc>
          <w:tcPr>
            <w:tcW w:w="636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20" w:type="dxa"/>
            <w:vAlign w:val="bottom"/>
          </w:tcPr>
          <w:p>
            <w:pPr>
              <w:spacing w:after="0"/>
              <w:rPr>
                <w:sz w:val="12"/>
                <w:szCs w:val="12"/>
                <w:color w:val="auto"/>
              </w:rPr>
            </w:pPr>
          </w:p>
        </w:tc>
        <w:tc>
          <w:tcPr>
            <w:tcW w:w="960" w:type="dxa"/>
            <w:vAlign w:val="bottom"/>
            <w:gridSpan w:val="3"/>
          </w:tcPr>
          <w:p>
            <w:pPr>
              <w:jc w:val="right"/>
              <w:ind w:right="360"/>
              <w:spacing w:after="0" w:line="147" w:lineRule="exact"/>
              <w:rPr>
                <w:sz w:val="20"/>
                <w:szCs w:val="20"/>
                <w:color w:val="auto"/>
              </w:rPr>
            </w:pPr>
            <w:r>
              <w:rPr>
                <w:rFonts w:ascii="Arial" w:cs="Arial" w:eastAsia="Arial" w:hAnsi="Arial"/>
                <w:sz w:val="14"/>
                <w:szCs w:val="14"/>
                <w:color w:val="auto"/>
              </w:rPr>
              <w:t>Noncont.</w:t>
            </w:r>
          </w:p>
        </w:tc>
        <w:tc>
          <w:tcPr>
            <w:tcW w:w="16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640" w:type="dxa"/>
            <w:vAlign w:val="bottom"/>
            <w:gridSpan w:val="2"/>
          </w:tcPr>
          <w:p>
            <w:pPr>
              <w:jc w:val="right"/>
              <w:ind w:right="12"/>
              <w:spacing w:after="0" w:line="147" w:lineRule="exact"/>
              <w:rPr>
                <w:sz w:val="20"/>
                <w:szCs w:val="20"/>
                <w:color w:val="auto"/>
              </w:rPr>
            </w:pPr>
            <w:r>
              <w:rPr>
                <w:rFonts w:ascii="Arial" w:cs="Arial" w:eastAsia="Arial" w:hAnsi="Arial"/>
                <w:sz w:val="14"/>
                <w:szCs w:val="14"/>
                <w:color w:val="auto"/>
              </w:rPr>
              <w:t>Diluted</w:t>
            </w:r>
          </w:p>
        </w:tc>
        <w:tc>
          <w:tcPr>
            <w:tcW w:w="120" w:type="dxa"/>
            <w:vAlign w:val="bottom"/>
          </w:tcPr>
          <w:p>
            <w:pPr>
              <w:spacing w:after="0"/>
              <w:rPr>
                <w:sz w:val="12"/>
                <w:szCs w:val="12"/>
                <w:color w:val="auto"/>
              </w:rPr>
            </w:pPr>
          </w:p>
        </w:tc>
      </w:tr>
      <w:tr>
        <w:trPr>
          <w:trHeight w:val="171"/>
        </w:trPr>
        <w:tc>
          <w:tcPr>
            <w:tcW w:w="63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20" w:type="dxa"/>
            <w:vAlign w:val="bottom"/>
            <w:gridSpan w:val="3"/>
          </w:tcPr>
          <w:p>
            <w:pPr>
              <w:jc w:val="right"/>
              <w:ind w:right="320"/>
              <w:spacing w:after="0"/>
              <w:rPr>
                <w:sz w:val="20"/>
                <w:szCs w:val="20"/>
                <w:color w:val="auto"/>
              </w:rPr>
            </w:pPr>
            <w:r>
              <w:rPr>
                <w:rFonts w:ascii="Arial" w:cs="Arial" w:eastAsia="Arial" w:hAnsi="Arial"/>
                <w:sz w:val="14"/>
                <w:szCs w:val="14"/>
                <w:color w:val="auto"/>
              </w:rPr>
              <w:t>Pretax</w:t>
            </w:r>
          </w:p>
        </w:tc>
        <w:tc>
          <w:tcPr>
            <w:tcW w:w="520" w:type="dxa"/>
            <w:vAlign w:val="bottom"/>
            <w:gridSpan w:val="2"/>
          </w:tcPr>
          <w:p>
            <w:pPr>
              <w:ind w:left="120"/>
              <w:spacing w:after="0"/>
              <w:rPr>
                <w:sz w:val="20"/>
                <w:szCs w:val="20"/>
                <w:color w:val="auto"/>
              </w:rPr>
            </w:pPr>
            <w:r>
              <w:rPr>
                <w:rFonts w:ascii="Arial" w:cs="Arial" w:eastAsia="Arial" w:hAnsi="Arial"/>
                <w:sz w:val="14"/>
                <w:szCs w:val="14"/>
                <w:color w:val="auto"/>
              </w:rPr>
              <w:t>Tax</w:t>
            </w:r>
          </w:p>
        </w:tc>
        <w:tc>
          <w:tcPr>
            <w:tcW w:w="220" w:type="dxa"/>
            <w:vAlign w:val="bottom"/>
          </w:tcPr>
          <w:p>
            <w:pPr>
              <w:spacing w:after="0"/>
              <w:rPr>
                <w:sz w:val="14"/>
                <w:szCs w:val="14"/>
                <w:color w:val="auto"/>
              </w:rPr>
            </w:pPr>
          </w:p>
        </w:tc>
        <w:tc>
          <w:tcPr>
            <w:tcW w:w="960" w:type="dxa"/>
            <w:vAlign w:val="bottom"/>
            <w:gridSpan w:val="3"/>
          </w:tcPr>
          <w:p>
            <w:pPr>
              <w:jc w:val="right"/>
              <w:ind w:right="360"/>
              <w:spacing w:after="0"/>
              <w:rPr>
                <w:sz w:val="20"/>
                <w:szCs w:val="20"/>
                <w:color w:val="auto"/>
              </w:rPr>
            </w:pPr>
            <w:r>
              <w:rPr>
                <w:rFonts w:ascii="Arial" w:cs="Arial" w:eastAsia="Arial" w:hAnsi="Arial"/>
                <w:sz w:val="14"/>
                <w:szCs w:val="14"/>
                <w:color w:val="auto"/>
              </w:rPr>
              <w:t>Interests</w:t>
            </w:r>
          </w:p>
        </w:tc>
        <w:tc>
          <w:tcPr>
            <w:tcW w:w="160" w:type="dxa"/>
            <w:vAlign w:val="bottom"/>
          </w:tcPr>
          <w:p>
            <w:pPr>
              <w:spacing w:after="0"/>
              <w:rPr>
                <w:sz w:val="14"/>
                <w:szCs w:val="14"/>
                <w:color w:val="auto"/>
              </w:rPr>
            </w:pPr>
          </w:p>
        </w:tc>
        <w:tc>
          <w:tcPr>
            <w:tcW w:w="820" w:type="dxa"/>
            <w:vAlign w:val="bottom"/>
            <w:gridSpan w:val="2"/>
          </w:tcPr>
          <w:p>
            <w:pPr>
              <w:jc w:val="right"/>
              <w:ind w:right="540"/>
              <w:spacing w:after="0"/>
              <w:rPr>
                <w:sz w:val="20"/>
                <w:szCs w:val="20"/>
                <w:color w:val="auto"/>
              </w:rPr>
            </w:pPr>
            <w:r>
              <w:rPr>
                <w:rFonts w:ascii="Arial" w:cs="Arial" w:eastAsia="Arial" w:hAnsi="Arial"/>
                <w:sz w:val="14"/>
                <w:szCs w:val="14"/>
                <w:color w:val="auto"/>
              </w:rPr>
              <w:t>Net</w:t>
            </w:r>
          </w:p>
        </w:tc>
        <w:tc>
          <w:tcPr>
            <w:tcW w:w="140" w:type="dxa"/>
            <w:vAlign w:val="bottom"/>
          </w:tcPr>
          <w:p>
            <w:pPr>
              <w:spacing w:after="0"/>
              <w:rPr>
                <w:sz w:val="14"/>
                <w:szCs w:val="14"/>
                <w:color w:val="auto"/>
              </w:rPr>
            </w:pPr>
          </w:p>
        </w:tc>
        <w:tc>
          <w:tcPr>
            <w:tcW w:w="620" w:type="dxa"/>
            <w:vAlign w:val="bottom"/>
            <w:gridSpan w:val="2"/>
          </w:tcPr>
          <w:p>
            <w:pPr>
              <w:jc w:val="right"/>
              <w:ind w:right="300"/>
              <w:spacing w:after="0"/>
              <w:rPr>
                <w:sz w:val="20"/>
                <w:szCs w:val="20"/>
                <w:color w:val="auto"/>
              </w:rPr>
            </w:pPr>
            <w:r>
              <w:rPr>
                <w:rFonts w:ascii="Arial" w:cs="Arial" w:eastAsia="Arial" w:hAnsi="Arial"/>
                <w:sz w:val="14"/>
                <w:szCs w:val="14"/>
                <w:color w:val="auto"/>
              </w:rPr>
              <w:t>EPS</w:t>
            </w:r>
          </w:p>
        </w:tc>
      </w:tr>
      <w:tr>
        <w:trPr>
          <w:trHeight w:val="196"/>
        </w:trPr>
        <w:tc>
          <w:tcPr>
            <w:tcW w:w="636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 (GAAP basis)</w:t>
            </w: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943</w:t>
            </w:r>
          </w:p>
        </w:tc>
        <w:tc>
          <w:tcPr>
            <w:tcW w:w="26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$ 143</w:t>
            </w:r>
          </w:p>
        </w:tc>
        <w:tc>
          <w:tcPr>
            <w:tcW w:w="40" w:type="dxa"/>
            <w:vAlign w:val="bottom"/>
            <w:tcBorders>
              <w:top w:val="single" w:sz="8" w:color="CCEEFF"/>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auto"/>
            </w:tcBorders>
            <w:shd w:val="clear" w:color="auto" w:fill="CCEEFF"/>
          </w:tcPr>
          <w:p>
            <w:pPr>
              <w:jc w:val="right"/>
              <w:ind w:right="62"/>
              <w:spacing w:after="0" w:line="196" w:lineRule="exact"/>
              <w:rPr>
                <w:sz w:val="20"/>
                <w:szCs w:val="20"/>
                <w:color w:val="auto"/>
              </w:rPr>
            </w:pPr>
            <w:r>
              <w:rPr>
                <w:rFonts w:ascii="Arial" w:cs="Arial" w:eastAsia="Arial" w:hAnsi="Arial"/>
                <w:sz w:val="18"/>
                <w:szCs w:val="18"/>
                <w:color w:val="auto"/>
                <w:w w:val="79"/>
              </w:rPr>
              <w:t>$</w:t>
            </w:r>
          </w:p>
        </w:tc>
        <w:tc>
          <w:tcPr>
            <w:tcW w:w="4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(24)</w:t>
            </w:r>
          </w:p>
        </w:tc>
        <w:tc>
          <w:tcPr>
            <w:tcW w:w="32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824</w:t>
            </w:r>
          </w:p>
        </w:tc>
        <w:tc>
          <w:tcPr>
            <w:tcW w:w="3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5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0.55</w:t>
            </w:r>
          </w:p>
        </w:tc>
        <w:tc>
          <w:tcPr>
            <w:tcW w:w="120" w:type="dxa"/>
            <w:vAlign w:val="bottom"/>
            <w:tcBorders>
              <w:top w:val="single" w:sz="8" w:color="CCEEFF"/>
            </w:tcBorders>
            <w:shd w:val="clear" w:color="auto" w:fill="CCEEFF"/>
          </w:tcPr>
          <w:p>
            <w:pPr>
              <w:spacing w:after="0"/>
              <w:rPr>
                <w:sz w:val="17"/>
                <w:szCs w:val="17"/>
                <w:color w:val="auto"/>
              </w:rPr>
            </w:pPr>
          </w:p>
        </w:tc>
      </w:tr>
      <w:tr>
        <w:trPr>
          <w:trHeight w:val="216"/>
        </w:trPr>
        <w:tc>
          <w:tcPr>
            <w:tcW w:w="63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Goodwill impairment </w:t>
            </w:r>
            <w:r>
              <w:rPr>
                <w:rFonts w:ascii="Arial" w:cs="Arial" w:eastAsia="Arial" w:hAnsi="Arial"/>
                <w:sz w:val="25"/>
                <w:szCs w:val="25"/>
                <w:color w:val="auto"/>
                <w:vertAlign w:val="superscript"/>
              </w:rPr>
              <w:t>(3)</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210</w:t>
            </w:r>
          </w:p>
        </w:tc>
        <w:tc>
          <w:tcPr>
            <w:tcW w:w="520" w:type="dxa"/>
            <w:vAlign w:val="bottom"/>
            <w:gridSpan w:val="2"/>
          </w:tcPr>
          <w:p>
            <w:pPr>
              <w:ind w:left="200"/>
              <w:spacing w:after="0"/>
              <w:rPr>
                <w:sz w:val="20"/>
                <w:szCs w:val="20"/>
                <w:color w:val="auto"/>
              </w:rPr>
            </w:pPr>
            <w:r>
              <w:rPr>
                <w:rFonts w:ascii="Arial" w:cs="Arial" w:eastAsia="Arial" w:hAnsi="Arial"/>
                <w:sz w:val="18"/>
                <w:szCs w:val="18"/>
                <w:color w:val="auto"/>
              </w:rPr>
              <w:t>— </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320"/>
              <w:spacing w:after="0"/>
              <w:rPr>
                <w:sz w:val="20"/>
                <w:szCs w:val="20"/>
                <w:color w:val="auto"/>
              </w:rPr>
            </w:pPr>
            <w:r>
              <w:rPr>
                <w:rFonts w:ascii="Arial" w:cs="Arial" w:eastAsia="Arial" w:hAnsi="Arial"/>
                <w:sz w:val="18"/>
                <w:szCs w:val="18"/>
                <w:color w:val="auto"/>
              </w:rPr>
              <w:t>41</w:t>
            </w: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169</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0.11</w:t>
            </w:r>
          </w:p>
        </w:tc>
      </w:tr>
      <w:tr>
        <w:trPr>
          <w:trHeight w:val="216"/>
        </w:trPr>
        <w:tc>
          <w:tcPr>
            <w:tcW w:w="63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Workforce reductions </w:t>
            </w:r>
            <w:r>
              <w:rPr>
                <w:rFonts w:ascii="Arial" w:cs="Arial" w:eastAsia="Arial" w:hAnsi="Arial"/>
                <w:sz w:val="25"/>
                <w:szCs w:val="25"/>
                <w:color w:val="auto"/>
                <w:vertAlign w:val="superscript"/>
              </w:rPr>
              <w:t>(2)</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126</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14</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109</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0.07</w:t>
            </w:r>
          </w:p>
        </w:tc>
      </w:tr>
      <w:tr>
        <w:trPr>
          <w:trHeight w:val="216"/>
        </w:trPr>
        <w:tc>
          <w:tcPr>
            <w:tcW w:w="6360" w:type="dxa"/>
            <w:vAlign w:val="bottom"/>
          </w:tcPr>
          <w:p>
            <w:pPr>
              <w:ind w:left="360"/>
              <w:spacing w:after="0" w:line="216" w:lineRule="exact"/>
              <w:rPr>
                <w:sz w:val="20"/>
                <w:szCs w:val="20"/>
                <w:color w:val="auto"/>
              </w:rPr>
            </w:pPr>
            <w:r>
              <w:rPr>
                <w:rFonts w:ascii="Arial" w:cs="Arial" w:eastAsia="Arial" w:hAnsi="Arial"/>
                <w:sz w:val="17"/>
                <w:szCs w:val="17"/>
                <w:color w:val="auto"/>
              </w:rPr>
              <w:t xml:space="preserve">Amortization of inventory purchase accounting fair value adjustment </w:t>
            </w:r>
            <w:r>
              <w:rPr>
                <w:rFonts w:ascii="Arial" w:cs="Arial" w:eastAsia="Arial" w:hAnsi="Arial"/>
                <w:sz w:val="25"/>
                <w:szCs w:val="25"/>
                <w:color w:val="auto"/>
                <w:vertAlign w:val="superscript"/>
              </w:rPr>
              <w:t>(4)</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20" w:type="dxa"/>
            <w:vAlign w:val="bottom"/>
            <w:gridSpan w:val="2"/>
          </w:tcPr>
          <w:p>
            <w:pPr>
              <w:jc w:val="right"/>
              <w:ind w:right="260"/>
              <w:spacing w:after="0"/>
              <w:rPr>
                <w:sz w:val="20"/>
                <w:szCs w:val="20"/>
                <w:color w:val="auto"/>
              </w:rPr>
            </w:pPr>
            <w:r>
              <w:rPr>
                <w:rFonts w:ascii="Arial" w:cs="Arial" w:eastAsia="Arial" w:hAnsi="Arial"/>
                <w:sz w:val="18"/>
                <w:szCs w:val="18"/>
                <w:color w:val="auto"/>
              </w:rPr>
              <w:t>100</w:t>
            </w:r>
          </w:p>
        </w:tc>
        <w:tc>
          <w:tcPr>
            <w:tcW w:w="520" w:type="dxa"/>
            <w:vAlign w:val="bottom"/>
            <w:gridSpan w:val="2"/>
          </w:tcPr>
          <w:p>
            <w:pPr>
              <w:jc w:val="right"/>
              <w:ind w:right="40"/>
              <w:spacing w:after="0"/>
              <w:rPr>
                <w:sz w:val="20"/>
                <w:szCs w:val="20"/>
                <w:color w:val="auto"/>
              </w:rPr>
            </w:pPr>
            <w:r>
              <w:rPr>
                <w:rFonts w:ascii="Arial" w:cs="Arial" w:eastAsia="Arial" w:hAnsi="Arial"/>
                <w:sz w:val="18"/>
                <w:szCs w:val="18"/>
                <w:color w:val="auto"/>
              </w:rPr>
              <w:t>23</w:t>
            </w: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720" w:type="dxa"/>
            <w:vAlign w:val="bottom"/>
            <w:gridSpan w:val="2"/>
          </w:tcPr>
          <w:p>
            <w:pPr>
              <w:jc w:val="right"/>
              <w:ind w:right="360"/>
              <w:spacing w:after="0"/>
              <w:rPr>
                <w:sz w:val="20"/>
                <w:szCs w:val="20"/>
                <w:color w:val="auto"/>
              </w:rPr>
            </w:pPr>
            <w:r>
              <w:rPr>
                <w:rFonts w:ascii="Arial" w:cs="Arial" w:eastAsia="Arial" w:hAnsi="Arial"/>
                <w:sz w:val="18"/>
                <w:szCs w:val="18"/>
                <w:color w:val="auto"/>
              </w:rPr>
              <w:t>— </w:t>
            </w:r>
          </w:p>
        </w:tc>
        <w:tc>
          <w:tcPr>
            <w:tcW w:w="160" w:type="dxa"/>
            <w:vAlign w:val="bottom"/>
          </w:tcPr>
          <w:p>
            <w:pPr>
              <w:spacing w:after="0"/>
              <w:rPr>
                <w:sz w:val="18"/>
                <w:szCs w:val="18"/>
                <w:color w:val="auto"/>
              </w:rPr>
            </w:pPr>
          </w:p>
        </w:tc>
        <w:tc>
          <w:tcPr>
            <w:tcW w:w="820" w:type="dxa"/>
            <w:vAlign w:val="bottom"/>
            <w:gridSpan w:val="2"/>
          </w:tcPr>
          <w:p>
            <w:pPr>
              <w:jc w:val="right"/>
              <w:ind w:right="320"/>
              <w:spacing w:after="0"/>
              <w:rPr>
                <w:sz w:val="20"/>
                <w:szCs w:val="20"/>
                <w:color w:val="auto"/>
              </w:rPr>
            </w:pPr>
            <w:r>
              <w:rPr>
                <w:rFonts w:ascii="Arial" w:cs="Arial" w:eastAsia="Arial" w:hAnsi="Arial"/>
                <w:sz w:val="18"/>
                <w:szCs w:val="18"/>
                <w:color w:val="auto"/>
              </w:rPr>
              <w:t>77</w:t>
            </w:r>
          </w:p>
        </w:tc>
        <w:tc>
          <w:tcPr>
            <w:tcW w:w="140" w:type="dxa"/>
            <w:vAlign w:val="bottom"/>
          </w:tcPr>
          <w:p>
            <w:pPr>
              <w:spacing w:after="0"/>
              <w:rPr>
                <w:sz w:val="18"/>
                <w:szCs w:val="18"/>
                <w:color w:val="auto"/>
              </w:rPr>
            </w:pPr>
          </w:p>
        </w:tc>
        <w:tc>
          <w:tcPr>
            <w:tcW w:w="620" w:type="dxa"/>
            <w:vAlign w:val="bottom"/>
            <w:gridSpan w:val="2"/>
          </w:tcPr>
          <w:p>
            <w:pPr>
              <w:jc w:val="right"/>
              <w:ind w:right="120"/>
              <w:spacing w:after="0"/>
              <w:rPr>
                <w:sz w:val="20"/>
                <w:szCs w:val="20"/>
                <w:color w:val="auto"/>
              </w:rPr>
            </w:pPr>
            <w:r>
              <w:rPr>
                <w:rFonts w:ascii="Arial" w:cs="Arial" w:eastAsia="Arial" w:hAnsi="Arial"/>
                <w:sz w:val="18"/>
                <w:szCs w:val="18"/>
                <w:color w:val="auto"/>
              </w:rPr>
              <w:t>0.05</w:t>
            </w:r>
          </w:p>
        </w:tc>
      </w:tr>
      <w:tr>
        <w:trPr>
          <w:trHeight w:val="216"/>
        </w:trPr>
        <w:tc>
          <w:tcPr>
            <w:tcW w:w="6360" w:type="dxa"/>
            <w:vAlign w:val="bottom"/>
            <w:shd w:val="clear" w:color="auto" w:fill="CCEEFF"/>
          </w:tcPr>
          <w:p>
            <w:pPr>
              <w:ind w:left="360"/>
              <w:spacing w:after="0" w:line="216" w:lineRule="exact"/>
              <w:rPr>
                <w:sz w:val="20"/>
                <w:szCs w:val="20"/>
                <w:color w:val="auto"/>
              </w:rPr>
            </w:pPr>
            <w:r>
              <w:rPr>
                <w:rFonts w:ascii="Arial" w:cs="Arial" w:eastAsia="Arial" w:hAnsi="Arial"/>
                <w:sz w:val="17"/>
                <w:szCs w:val="17"/>
                <w:color w:val="auto"/>
              </w:rPr>
              <w:t xml:space="preserve">Merger and integration </w:t>
            </w:r>
            <w:r>
              <w:rPr>
                <w:rFonts w:ascii="Arial" w:cs="Arial" w:eastAsia="Arial" w:hAnsi="Arial"/>
                <w:sz w:val="25"/>
                <w:szCs w:val="25"/>
                <w:color w:val="auto"/>
                <w:vertAlign w:val="superscript"/>
              </w:rPr>
              <w:t>(1)</w:t>
            </w: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rPr>
              <w:t>125</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21</w:t>
            </w:r>
          </w:p>
        </w:tc>
        <w:tc>
          <w:tcPr>
            <w:tcW w:w="22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12</w:t>
            </w:r>
          </w:p>
        </w:tc>
        <w:tc>
          <w:tcPr>
            <w:tcW w:w="160" w:type="dxa"/>
            <w:vAlign w:val="bottom"/>
            <w:shd w:val="clear" w:color="auto" w:fill="CCEEFF"/>
          </w:tcPr>
          <w:p>
            <w:pPr>
              <w:spacing w:after="0"/>
              <w:rPr>
                <w:sz w:val="18"/>
                <w:szCs w:val="18"/>
                <w:color w:val="auto"/>
              </w:rPr>
            </w:pP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92</w:t>
            </w:r>
          </w:p>
        </w:tc>
        <w:tc>
          <w:tcPr>
            <w:tcW w:w="140" w:type="dxa"/>
            <w:vAlign w:val="bottom"/>
            <w:shd w:val="clear" w:color="auto" w:fill="CCEEFF"/>
          </w:tcPr>
          <w:p>
            <w:pPr>
              <w:spacing w:after="0"/>
              <w:rPr>
                <w:sz w:val="18"/>
                <w:szCs w:val="18"/>
                <w:color w:val="auto"/>
              </w:rPr>
            </w:pP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0.06</w:t>
            </w:r>
          </w:p>
        </w:tc>
      </w:tr>
      <w:tr>
        <w:trPr>
          <w:trHeight w:val="216"/>
        </w:trPr>
        <w:tc>
          <w:tcPr>
            <w:tcW w:w="6360" w:type="dxa"/>
            <w:vAlign w:val="bottom"/>
          </w:tcPr>
          <w:p>
            <w:pPr>
              <w:ind w:left="360"/>
              <w:spacing w:after="0"/>
              <w:rPr>
                <w:sz w:val="20"/>
                <w:szCs w:val="20"/>
                <w:color w:val="auto"/>
              </w:rPr>
            </w:pPr>
            <w:r>
              <w:rPr>
                <w:rFonts w:ascii="Arial" w:cs="Arial" w:eastAsia="Arial" w:hAnsi="Arial"/>
                <w:sz w:val="18"/>
                <w:szCs w:val="18"/>
                <w:color w:val="auto"/>
              </w:rPr>
              <w:t>Reversal of valuation allowance relating to deferred tax assets</w:t>
            </w: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— </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8"/>
                <w:szCs w:val="18"/>
                <w:color w:val="auto"/>
              </w:rPr>
              <w:t>92</w:t>
            </w:r>
          </w:p>
        </w:tc>
        <w:tc>
          <w:tcPr>
            <w:tcW w:w="4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8"/>
                <w:szCs w:val="18"/>
                <w:color w:val="auto"/>
              </w:rPr>
              <w:t>— </w:t>
            </w:r>
          </w:p>
        </w:tc>
        <w:tc>
          <w:tcPr>
            <w:tcW w:w="3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20" w:type="dxa"/>
            <w:vAlign w:val="bottom"/>
            <w:gridSpan w:val="2"/>
          </w:tcPr>
          <w:p>
            <w:pPr>
              <w:jc w:val="right"/>
              <w:ind w:right="260"/>
              <w:spacing w:after="0"/>
              <w:rPr>
                <w:sz w:val="20"/>
                <w:szCs w:val="20"/>
                <w:color w:val="auto"/>
              </w:rPr>
            </w:pPr>
            <w:r>
              <w:rPr>
                <w:rFonts w:ascii="Arial" w:cs="Arial" w:eastAsia="Arial" w:hAnsi="Arial"/>
                <w:sz w:val="18"/>
                <w:szCs w:val="18"/>
                <w:color w:val="auto"/>
              </w:rPr>
              <w:t>(92)</w:t>
            </w:r>
          </w:p>
        </w:tc>
        <w:tc>
          <w:tcPr>
            <w:tcW w:w="140" w:type="dxa"/>
            <w:vAlign w:val="bottom"/>
          </w:tcPr>
          <w:p>
            <w:pPr>
              <w:spacing w:after="0"/>
              <w:rPr>
                <w:sz w:val="18"/>
                <w:szCs w:val="18"/>
                <w:color w:val="auto"/>
              </w:rPr>
            </w:pPr>
          </w:p>
        </w:tc>
        <w:tc>
          <w:tcPr>
            <w:tcW w:w="620" w:type="dxa"/>
            <w:vAlign w:val="bottom"/>
            <w:gridSpan w:val="2"/>
          </w:tcPr>
          <w:p>
            <w:pPr>
              <w:jc w:val="right"/>
              <w:ind w:right="60"/>
              <w:spacing w:after="0"/>
              <w:rPr>
                <w:sz w:val="20"/>
                <w:szCs w:val="20"/>
                <w:color w:val="auto"/>
              </w:rPr>
            </w:pPr>
            <w:r>
              <w:rPr>
                <w:rFonts w:ascii="Arial" w:cs="Arial" w:eastAsia="Arial" w:hAnsi="Arial"/>
                <w:sz w:val="18"/>
                <w:szCs w:val="18"/>
                <w:color w:val="auto"/>
              </w:rPr>
              <w:t>(0.06)</w:t>
            </w:r>
          </w:p>
        </w:tc>
      </w:tr>
      <w:tr>
        <w:trPr>
          <w:trHeight w:val="27"/>
        </w:trPr>
        <w:tc>
          <w:tcPr>
            <w:tcW w:w="6360" w:type="dxa"/>
            <w:vAlign w:val="bottom"/>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40" w:type="dxa"/>
            <w:vAlign w:val="bottom"/>
          </w:tcPr>
          <w:p>
            <w:pPr>
              <w:spacing w:after="0"/>
              <w:rPr>
                <w:sz w:val="2"/>
                <w:szCs w:val="2"/>
                <w:color w:val="auto"/>
              </w:rPr>
            </w:pPr>
          </w:p>
        </w:tc>
        <w:tc>
          <w:tcPr>
            <w:tcW w:w="220" w:type="dxa"/>
            <w:vAlign w:val="bottom"/>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6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320" w:type="dxa"/>
            <w:vAlign w:val="bottom"/>
          </w:tcPr>
          <w:p>
            <w:pPr>
              <w:spacing w:after="0"/>
              <w:rPr>
                <w:sz w:val="2"/>
                <w:szCs w:val="2"/>
                <w:color w:val="auto"/>
              </w:rPr>
            </w:pPr>
          </w:p>
        </w:tc>
        <w:tc>
          <w:tcPr>
            <w:tcW w:w="14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r>
        <w:trPr>
          <w:trHeight w:val="216"/>
        </w:trPr>
        <w:tc>
          <w:tcPr>
            <w:tcW w:w="6360" w:type="dxa"/>
            <w:vAlign w:val="bottom"/>
            <w:shd w:val="clear" w:color="auto" w:fill="CCEEFF"/>
          </w:tcPr>
          <w:p>
            <w:pPr>
              <w:spacing w:after="0"/>
              <w:rPr>
                <w:sz w:val="20"/>
                <w:szCs w:val="20"/>
                <w:color w:val="auto"/>
              </w:rPr>
            </w:pPr>
            <w:r>
              <w:rPr>
                <w:rFonts w:ascii="Arial" w:cs="Arial" w:eastAsia="Arial" w:hAnsi="Arial"/>
                <w:sz w:val="18"/>
                <w:szCs w:val="18"/>
                <w:color w:val="auto"/>
              </w:rPr>
              <w:t>Net income attributable to SLB, excluding charges &amp; credits</w:t>
            </w:r>
          </w:p>
        </w:tc>
        <w:tc>
          <w:tcPr>
            <w:tcW w:w="500" w:type="dxa"/>
            <w:vAlign w:val="bottom"/>
            <w:gridSpan w:val="2"/>
            <w:shd w:val="clear" w:color="auto" w:fill="CCEEFF"/>
          </w:tcPr>
          <w:p>
            <w:pPr>
              <w:jc w:val="right"/>
              <w:spacing w:after="0"/>
              <w:rPr>
                <w:sz w:val="20"/>
                <w:szCs w:val="20"/>
                <w:color w:val="auto"/>
              </w:rPr>
            </w:pPr>
            <w:r>
              <w:rPr>
                <w:rFonts w:ascii="Arial" w:cs="Arial" w:eastAsia="Arial" w:hAnsi="Arial"/>
                <w:sz w:val="18"/>
                <w:szCs w:val="18"/>
                <w:u w:val="single" w:color="auto"/>
                <w:color w:val="auto"/>
              </w:rPr>
              <w:t>$</w:t>
            </w:r>
          </w:p>
        </w:tc>
        <w:tc>
          <w:tcPr>
            <w:tcW w:w="720" w:type="dxa"/>
            <w:vAlign w:val="bottom"/>
            <w:gridSpan w:val="2"/>
            <w:shd w:val="clear" w:color="auto" w:fill="CCEEFF"/>
          </w:tcPr>
          <w:p>
            <w:pPr>
              <w:jc w:val="right"/>
              <w:ind w:right="260"/>
              <w:spacing w:after="0"/>
              <w:rPr>
                <w:sz w:val="20"/>
                <w:szCs w:val="20"/>
                <w:color w:val="auto"/>
              </w:rPr>
            </w:pPr>
            <w:r>
              <w:rPr>
                <w:rFonts w:ascii="Arial" w:cs="Arial" w:eastAsia="Arial" w:hAnsi="Arial"/>
                <w:sz w:val="18"/>
                <w:szCs w:val="18"/>
                <w:color w:val="auto"/>
                <w:w w:val="97"/>
              </w:rPr>
              <w:t>1,504</w:t>
            </w:r>
          </w:p>
        </w:tc>
        <w:tc>
          <w:tcPr>
            <w:tcW w:w="520" w:type="dxa"/>
            <w:vAlign w:val="bottom"/>
            <w:gridSpan w:val="2"/>
            <w:shd w:val="clear" w:color="auto" w:fill="CCEEFF"/>
          </w:tcPr>
          <w:p>
            <w:pPr>
              <w:jc w:val="right"/>
              <w:ind w:right="40"/>
              <w:spacing w:after="0"/>
              <w:rPr>
                <w:sz w:val="20"/>
                <w:szCs w:val="20"/>
                <w:color w:val="auto"/>
              </w:rPr>
            </w:pPr>
            <w:r>
              <w:rPr>
                <w:rFonts w:ascii="Arial" w:cs="Arial" w:eastAsia="Arial" w:hAnsi="Arial"/>
                <w:sz w:val="18"/>
                <w:szCs w:val="18"/>
                <w:color w:val="auto"/>
              </w:rPr>
              <w:t>$ 293</w:t>
            </w:r>
          </w:p>
        </w:tc>
        <w:tc>
          <w:tcPr>
            <w:tcW w:w="460" w:type="dxa"/>
            <w:vAlign w:val="bottom"/>
            <w:gridSpan w:val="2"/>
            <w:shd w:val="clear" w:color="auto" w:fill="CCEEFF"/>
          </w:tcPr>
          <w:p>
            <w:pPr>
              <w:jc w:val="right"/>
              <w:ind w:right="62"/>
              <w:spacing w:after="0"/>
              <w:rPr>
                <w:sz w:val="20"/>
                <w:szCs w:val="20"/>
                <w:color w:val="auto"/>
              </w:rPr>
            </w:pPr>
            <w:r>
              <w:rPr>
                <w:rFonts w:ascii="Arial" w:cs="Arial" w:eastAsia="Arial" w:hAnsi="Arial"/>
                <w:sz w:val="18"/>
                <w:szCs w:val="18"/>
                <w:color w:val="auto"/>
              </w:rPr>
              <w:t>$</w:t>
            </w:r>
          </w:p>
        </w:tc>
        <w:tc>
          <w:tcPr>
            <w:tcW w:w="7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32</w:t>
            </w:r>
          </w:p>
        </w:tc>
        <w:tc>
          <w:tcPr>
            <w:tcW w:w="16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gridSpan w:val="2"/>
            <w:shd w:val="clear" w:color="auto" w:fill="CCEEFF"/>
          </w:tcPr>
          <w:p>
            <w:pPr>
              <w:jc w:val="right"/>
              <w:ind w:right="320"/>
              <w:spacing w:after="0"/>
              <w:rPr>
                <w:sz w:val="20"/>
                <w:szCs w:val="20"/>
                <w:color w:val="auto"/>
              </w:rPr>
            </w:pPr>
            <w:r>
              <w:rPr>
                <w:rFonts w:ascii="Arial" w:cs="Arial" w:eastAsia="Arial" w:hAnsi="Arial"/>
                <w:sz w:val="18"/>
                <w:szCs w:val="18"/>
                <w:color w:val="auto"/>
              </w:rPr>
              <w:t>1,179</w:t>
            </w:r>
          </w:p>
        </w:tc>
        <w:tc>
          <w:tcPr>
            <w:tcW w:w="140" w:type="dxa"/>
            <w:vAlign w:val="bottom"/>
            <w:shd w:val="clear" w:color="auto" w:fill="CCEEFF"/>
          </w:tcPr>
          <w:p>
            <w:pPr>
              <w:jc w:val="right"/>
              <w:spacing w:after="0"/>
              <w:rPr>
                <w:sz w:val="20"/>
                <w:szCs w:val="20"/>
                <w:color w:val="auto"/>
              </w:rPr>
            </w:pPr>
            <w:r>
              <w:rPr>
                <w:rFonts w:ascii="Arial" w:cs="Arial" w:eastAsia="Arial" w:hAnsi="Arial"/>
                <w:sz w:val="18"/>
                <w:szCs w:val="18"/>
                <w:color w:val="auto"/>
                <w:w w:val="79"/>
              </w:rPr>
              <w:t>$</w:t>
            </w:r>
          </w:p>
        </w:tc>
        <w:tc>
          <w:tcPr>
            <w:tcW w:w="62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0.78</w:t>
            </w:r>
          </w:p>
        </w:tc>
      </w:tr>
      <w:tr>
        <w:trPr>
          <w:trHeight w:val="20"/>
        </w:trPr>
        <w:tc>
          <w:tcPr>
            <w:tcW w:w="636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21"/>
        </w:numPr>
        <w:rPr>
          <w:rFonts w:ascii="Arial" w:cs="Arial" w:eastAsia="Arial" w:hAnsi="Arial"/>
          <w:sz w:val="27"/>
          <w:szCs w:val="27"/>
          <w:color w:val="auto"/>
          <w:vertAlign w:val="superscript"/>
        </w:rPr>
      </w:pPr>
      <w:r>
        <w:rPr>
          <w:rFonts w:ascii="Arial" w:cs="Arial" w:eastAsia="Arial" w:hAnsi="Arial"/>
          <w:sz w:val="18"/>
          <w:szCs w:val="18"/>
          <w:color w:val="auto"/>
        </w:rPr>
        <w:t xml:space="preserve">Classified in </w:t>
      </w:r>
      <w:r>
        <w:rPr>
          <w:rFonts w:ascii="Arial" w:cs="Arial" w:eastAsia="Arial" w:hAnsi="Arial"/>
          <w:sz w:val="18"/>
          <w:szCs w:val="18"/>
          <w:i w:val="1"/>
          <w:iCs w:val="1"/>
          <w:color w:val="auto"/>
        </w:rPr>
        <w:t>Merger &amp; integration</w:t>
      </w:r>
      <w:r>
        <w:rPr>
          <w:rFonts w:ascii="Arial" w:cs="Arial" w:eastAsia="Arial" w:hAnsi="Arial"/>
          <w:sz w:val="18"/>
          <w:szCs w:val="18"/>
          <w:color w:val="auto"/>
        </w:rPr>
        <w:t xml:space="preserve"> in the </w:t>
      </w:r>
      <w:r>
        <w:rPr>
          <w:rFonts w:ascii="Arial" w:cs="Arial" w:eastAsia="Arial" w:hAnsi="Arial"/>
          <w:sz w:val="18"/>
          <w:szCs w:val="18"/>
          <w:i w:val="1"/>
          <w:iCs w:val="1"/>
          <w:color w:val="auto"/>
        </w:rPr>
        <w:t>Condensed Consolidated Statement of Income</w:t>
      </w:r>
      <w:r>
        <w:rPr>
          <w:rFonts w:ascii="Arial" w:cs="Arial" w:eastAsia="Arial" w:hAnsi="Arial"/>
          <w:sz w:val="18"/>
          <w:szCs w:val="18"/>
          <w:color w:val="auto"/>
        </w:rPr>
        <w:t>.</w:t>
      </w:r>
    </w:p>
    <w:p>
      <w:pPr>
        <w:ind w:left="424" w:hanging="424"/>
        <w:spacing w:after="0" w:line="183" w:lineRule="auto"/>
        <w:tabs>
          <w:tab w:leader="none" w:pos="424"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Restructuring</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3" w:lineRule="auto"/>
        <w:tabs>
          <w:tab w:leader="none" w:pos="424" w:val="left"/>
        </w:tabs>
        <w:numPr>
          <w:ilvl w:val="0"/>
          <w:numId w:val="21"/>
        </w:numPr>
        <w:rPr>
          <w:rFonts w:ascii="Arial" w:cs="Arial" w:eastAsia="Arial" w:hAnsi="Arial"/>
          <w:sz w:val="23"/>
          <w:szCs w:val="23"/>
          <w:color w:val="auto"/>
          <w:vertAlign w:val="superscript"/>
        </w:rPr>
      </w:pPr>
      <w:r>
        <w:rPr>
          <w:rFonts w:ascii="Arial" w:cs="Arial" w:eastAsia="Arial" w:hAnsi="Arial"/>
          <w:sz w:val="16"/>
          <w:szCs w:val="16"/>
          <w:color w:val="auto"/>
        </w:rPr>
        <w:t xml:space="preserve">Classified in </w:t>
      </w:r>
      <w:r>
        <w:rPr>
          <w:rFonts w:ascii="Arial" w:cs="Arial" w:eastAsia="Arial" w:hAnsi="Arial"/>
          <w:sz w:val="16"/>
          <w:szCs w:val="16"/>
          <w:i w:val="1"/>
          <w:iCs w:val="1"/>
          <w:color w:val="auto"/>
        </w:rPr>
        <w:t>Impairments</w:t>
      </w:r>
      <w:r>
        <w:rPr>
          <w:rFonts w:ascii="Arial" w:cs="Arial" w:eastAsia="Arial" w:hAnsi="Arial"/>
          <w:sz w:val="16"/>
          <w:szCs w:val="16"/>
          <w:color w:val="auto"/>
        </w:rPr>
        <w:t xml:space="preserve"> in the </w:t>
      </w:r>
      <w:r>
        <w:rPr>
          <w:rFonts w:ascii="Arial" w:cs="Arial" w:eastAsia="Arial" w:hAnsi="Arial"/>
          <w:sz w:val="16"/>
          <w:szCs w:val="16"/>
          <w:i w:val="1"/>
          <w:iCs w:val="1"/>
          <w:color w:val="auto"/>
        </w:rPr>
        <w:t>Condensed Consolidated Statement of Income</w:t>
      </w:r>
      <w:r>
        <w:rPr>
          <w:rFonts w:ascii="Arial" w:cs="Arial" w:eastAsia="Arial" w:hAnsi="Arial"/>
          <w:sz w:val="16"/>
          <w:szCs w:val="16"/>
          <w:color w:val="auto"/>
        </w:rPr>
        <w:t>.</w:t>
      </w:r>
    </w:p>
    <w:p>
      <w:pPr>
        <w:ind w:left="424" w:hanging="424"/>
        <w:spacing w:after="0" w:line="184" w:lineRule="auto"/>
        <w:tabs>
          <w:tab w:leader="none" w:pos="424" w:val="left"/>
        </w:tabs>
        <w:numPr>
          <w:ilvl w:val="0"/>
          <w:numId w:val="21"/>
        </w:numPr>
        <w:rPr>
          <w:rFonts w:ascii="Arial" w:cs="Arial" w:eastAsia="Arial" w:hAnsi="Arial"/>
          <w:sz w:val="25"/>
          <w:szCs w:val="25"/>
          <w:color w:val="auto"/>
          <w:vertAlign w:val="superscript"/>
        </w:rPr>
      </w:pPr>
      <w:r>
        <w:rPr>
          <w:rFonts w:ascii="Arial" w:cs="Arial" w:eastAsia="Arial" w:hAnsi="Arial"/>
          <w:sz w:val="17"/>
          <w:szCs w:val="17"/>
          <w:color w:val="auto"/>
        </w:rPr>
        <w:t xml:space="preserve">Classified in </w:t>
      </w:r>
      <w:r>
        <w:rPr>
          <w:rFonts w:ascii="Arial" w:cs="Arial" w:eastAsia="Arial" w:hAnsi="Arial"/>
          <w:sz w:val="17"/>
          <w:szCs w:val="17"/>
          <w:i w:val="1"/>
          <w:iCs w:val="1"/>
          <w:color w:val="auto"/>
        </w:rPr>
        <w:t>Cost of revenue</w:t>
      </w:r>
      <w:r>
        <w:rPr>
          <w:rFonts w:ascii="Arial" w:cs="Arial" w:eastAsia="Arial" w:hAnsi="Arial"/>
          <w:sz w:val="17"/>
          <w:szCs w:val="17"/>
          <w:color w:val="auto"/>
        </w:rPr>
        <w:t xml:space="preserve"> in the </w:t>
      </w:r>
      <w:r>
        <w:rPr>
          <w:rFonts w:ascii="Arial" w:cs="Arial" w:eastAsia="Arial" w:hAnsi="Arial"/>
          <w:sz w:val="17"/>
          <w:szCs w:val="17"/>
          <w:i w:val="1"/>
          <w:iCs w:val="1"/>
          <w:color w:val="auto"/>
        </w:rPr>
        <w:t>Condensed Consolidated Statement of Income</w:t>
      </w:r>
      <w:r>
        <w:rPr>
          <w:rFonts w:ascii="Arial" w:cs="Arial" w:eastAsia="Arial" w:hAnsi="Arial"/>
          <w:sz w:val="17"/>
          <w:szCs w:val="17"/>
          <w:color w:val="auto"/>
        </w:rPr>
        <w:t>.</w:t>
      </w:r>
    </w:p>
    <w:p>
      <w:pPr>
        <w:sectPr>
          <w:pgSz w:w="11900" w:h="16838" w:orient="portrait"/>
          <w:cols w:equalWidth="0" w:num="1">
            <w:col w:w="11024"/>
          </w:cols>
          <w:pgMar w:left="436" w:top="269" w:right="439" w:bottom="1440" w:gutter="0" w:footer="0" w:header="0"/>
          <w:type w:val="continuous"/>
        </w:sectPr>
      </w:pPr>
    </w:p>
    <w:bookmarkStart w:id="24" w:name="page25"/>
    <w:bookmarkEnd w:id="24"/>
    <w:p>
      <w:pPr>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74865" cy="38100"/>
                    </a:xfrm>
                    <a:prstGeom prst="rect">
                      <a:avLst/>
                    </a:prstGeom>
                    <a:noFill/>
                  </pic:spPr>
                </pic:pic>
              </a:graphicData>
            </a:graphic>
          </wp:anchor>
        </w:drawing>
        <w:t>Divisions</w:t>
      </w:r>
    </w:p>
    <w:p>
      <w:pPr>
        <w:spacing w:after="0" w:line="248" w:lineRule="exact"/>
        <w:rPr>
          <w:sz w:val="20"/>
          <w:szCs w:val="20"/>
          <w:color w:val="auto"/>
        </w:rPr>
      </w:pPr>
    </w:p>
    <w:tbl>
      <w:tblPr>
        <w:tblLayout w:type="fixed"/>
        <w:tblInd w:w="0" w:type="dxa"/>
        <w:tblCellMar>
          <w:top w:w="0" w:type="dxa"/>
          <w:left w:w="0" w:type="dxa"/>
          <w:bottom w:w="0" w:type="dxa"/>
          <w:right w:w="0" w:type="dxa"/>
        </w:tblCellMar>
      </w:tblPr>
      <w:tr>
        <w:trPr>
          <w:trHeight w:val="162"/>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320" w:type="dxa"/>
            <w:vAlign w:val="bottom"/>
            <w:gridSpan w:val="6"/>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1660" w:type="dxa"/>
            <w:vAlign w:val="bottom"/>
            <w:gridSpan w:val="8"/>
          </w:tcPr>
          <w:p>
            <w:pPr>
              <w:jc w:val="right"/>
              <w:ind w:right="300"/>
              <w:spacing w:after="0"/>
              <w:rPr>
                <w:sz w:val="20"/>
                <w:szCs w:val="20"/>
                <w:color w:val="auto"/>
              </w:rPr>
            </w:pPr>
            <w:r>
              <w:rPr>
                <w:rFonts w:ascii="Arial" w:cs="Arial" w:eastAsia="Arial" w:hAnsi="Arial"/>
                <w:sz w:val="14"/>
                <w:szCs w:val="14"/>
                <w:b w:val="1"/>
                <w:bCs w:val="1"/>
                <w:color w:val="auto"/>
              </w:rPr>
              <w:t>First Quarter 2026</w:t>
            </w:r>
          </w:p>
        </w:tc>
        <w:tc>
          <w:tcPr>
            <w:tcW w:w="140" w:type="dxa"/>
            <w:vAlign w:val="bottom"/>
          </w:tcPr>
          <w:p>
            <w:pPr>
              <w:spacing w:after="0"/>
              <w:rPr>
                <w:sz w:val="14"/>
                <w:szCs w:val="14"/>
                <w:color w:val="auto"/>
              </w:rPr>
            </w:pPr>
          </w:p>
        </w:tc>
        <w:tc>
          <w:tcPr>
            <w:tcW w:w="1680" w:type="dxa"/>
            <w:vAlign w:val="bottom"/>
            <w:gridSpan w:val="9"/>
          </w:tcPr>
          <w:p>
            <w:pPr>
              <w:jc w:val="right"/>
              <w:ind w:right="300"/>
              <w:spacing w:after="0"/>
              <w:rPr>
                <w:sz w:val="20"/>
                <w:szCs w:val="20"/>
                <w:color w:val="auto"/>
              </w:rPr>
            </w:pPr>
            <w:r>
              <w:rPr>
                <w:rFonts w:ascii="Arial" w:cs="Arial" w:eastAsia="Arial" w:hAnsi="Arial"/>
                <w:sz w:val="14"/>
                <w:szCs w:val="14"/>
                <w:color w:val="auto"/>
              </w:rPr>
              <w:t>Fourth Quarter 2025</w:t>
            </w:r>
          </w:p>
        </w:tc>
        <w:tc>
          <w:tcPr>
            <w:tcW w:w="100" w:type="dxa"/>
            <w:vAlign w:val="bottom"/>
          </w:tcPr>
          <w:p>
            <w:pPr>
              <w:spacing w:after="0"/>
              <w:rPr>
                <w:sz w:val="14"/>
                <w:szCs w:val="14"/>
                <w:color w:val="auto"/>
              </w:rPr>
            </w:pPr>
          </w:p>
        </w:tc>
        <w:tc>
          <w:tcPr>
            <w:tcW w:w="1580" w:type="dxa"/>
            <w:vAlign w:val="bottom"/>
            <w:gridSpan w:val="7"/>
          </w:tcPr>
          <w:p>
            <w:pPr>
              <w:jc w:val="right"/>
              <w:ind w:right="280"/>
              <w:spacing w:after="0"/>
              <w:rPr>
                <w:sz w:val="20"/>
                <w:szCs w:val="20"/>
                <w:color w:val="auto"/>
              </w:rPr>
            </w:pPr>
            <w:r>
              <w:rPr>
                <w:rFonts w:ascii="Arial" w:cs="Arial" w:eastAsia="Arial" w:hAnsi="Arial"/>
                <w:sz w:val="14"/>
                <w:szCs w:val="14"/>
                <w:color w:val="auto"/>
              </w:rPr>
              <w:t>First Quarter 2025</w:t>
            </w: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Borders>
              <w:top w:val="single" w:sz="8" w:color="auto"/>
            </w:tcBorders>
          </w:tcPr>
          <w:p>
            <w:pPr>
              <w:spacing w:after="0"/>
              <w:rPr>
                <w:sz w:val="12"/>
                <w:szCs w:val="12"/>
                <w:color w:val="auto"/>
              </w:rPr>
            </w:pPr>
          </w:p>
        </w:tc>
        <w:tc>
          <w:tcPr>
            <w:tcW w:w="24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ind w:left="40"/>
              <w:spacing w:after="0" w:line="147" w:lineRule="exact"/>
              <w:rPr>
                <w:sz w:val="20"/>
                <w:szCs w:val="20"/>
                <w:color w:val="auto"/>
              </w:rPr>
            </w:pPr>
            <w:r>
              <w:rPr>
                <w:rFonts w:ascii="Arial" w:cs="Arial" w:eastAsia="Arial" w:hAnsi="Arial"/>
                <w:sz w:val="14"/>
                <w:szCs w:val="14"/>
                <w:b w:val="1"/>
                <w:bCs w:val="1"/>
                <w:color w:val="auto"/>
              </w:rPr>
              <w:t>Income</w:t>
            </w: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30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160" w:type="dxa"/>
            <w:vAlign w:val="bottom"/>
            <w:tcBorders>
              <w:top w:val="single" w:sz="8" w:color="auto"/>
            </w:tcBorders>
          </w:tcPr>
          <w:p>
            <w:pPr>
              <w:spacing w:after="0"/>
              <w:rPr>
                <w:sz w:val="12"/>
                <w:szCs w:val="12"/>
                <w:color w:val="auto"/>
              </w:rPr>
            </w:pPr>
          </w:p>
        </w:tc>
        <w:tc>
          <w:tcPr>
            <w:tcW w:w="56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320" w:type="dxa"/>
            <w:vAlign w:val="bottom"/>
            <w:tcBorders>
              <w:top w:val="single" w:sz="8" w:color="auto"/>
            </w:tcBorders>
          </w:tcPr>
          <w:p>
            <w:pPr>
              <w:spacing w:after="0"/>
              <w:rPr>
                <w:sz w:val="12"/>
                <w:szCs w:val="12"/>
                <w:color w:val="auto"/>
              </w:rPr>
            </w:pPr>
          </w:p>
        </w:tc>
        <w:tc>
          <w:tcPr>
            <w:tcW w:w="180" w:type="dxa"/>
            <w:vAlign w:val="bottom"/>
            <w:tcBorders>
              <w:top w:val="single" w:sz="8" w:color="auto"/>
            </w:tcBorders>
          </w:tcPr>
          <w:p>
            <w:pPr>
              <w:spacing w:after="0"/>
              <w:rPr>
                <w:sz w:val="12"/>
                <w:szCs w:val="12"/>
                <w:color w:val="auto"/>
              </w:rPr>
            </w:pPr>
          </w:p>
        </w:tc>
        <w:tc>
          <w:tcPr>
            <w:tcW w:w="120" w:type="dxa"/>
            <w:vAlign w:val="bottom"/>
            <w:tcBorders>
              <w:top w:val="single" w:sz="8" w:color="auto"/>
            </w:tcBorders>
          </w:tcPr>
          <w:p>
            <w:pPr>
              <w:spacing w:after="0"/>
              <w:rPr>
                <w:sz w:val="12"/>
                <w:szCs w:val="12"/>
                <w:color w:val="auto"/>
              </w:rPr>
            </w:pPr>
          </w:p>
        </w:tc>
        <w:tc>
          <w:tcPr>
            <w:tcW w:w="580" w:type="dxa"/>
            <w:vAlign w:val="bottom"/>
            <w:tcBorders>
              <w:top w:val="single" w:sz="8" w:color="auto"/>
            </w:tcBorders>
            <w:gridSpan w:val="2"/>
          </w:tcPr>
          <w:p>
            <w:pPr>
              <w:jc w:val="center"/>
              <w:spacing w:after="0" w:line="147" w:lineRule="exact"/>
              <w:rPr>
                <w:sz w:val="20"/>
                <w:szCs w:val="20"/>
                <w:color w:val="auto"/>
              </w:rPr>
            </w:pPr>
            <w:r>
              <w:rPr>
                <w:rFonts w:ascii="Arial" w:cs="Arial" w:eastAsia="Arial" w:hAnsi="Arial"/>
                <w:sz w:val="14"/>
                <w:szCs w:val="14"/>
                <w:color w:val="auto"/>
              </w:rPr>
              <w:t>Income</w:t>
            </w: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2"/>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60"/>
              <w:spacing w:after="0"/>
              <w:rPr>
                <w:sz w:val="20"/>
                <w:szCs w:val="20"/>
                <w:color w:val="auto"/>
              </w:rPr>
            </w:pPr>
            <w:r>
              <w:rPr>
                <w:rFonts w:ascii="Arial" w:cs="Arial" w:eastAsia="Arial" w:hAnsi="Arial"/>
                <w:sz w:val="14"/>
                <w:szCs w:val="14"/>
                <w:b w:val="1"/>
                <w:bCs w:val="1"/>
                <w:color w:val="auto"/>
              </w:rPr>
              <w:t>Before</w:t>
            </w:r>
          </w:p>
        </w:tc>
        <w:tc>
          <w:tcPr>
            <w:tcW w:w="14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4"/>
                <w:szCs w:val="14"/>
                <w:color w:val="auto"/>
              </w:rPr>
              <w:t>Before</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rPr>
              <w:t>Before</w:t>
            </w:r>
          </w:p>
        </w:tc>
        <w:tc>
          <w:tcPr>
            <w:tcW w:w="0" w:type="dxa"/>
            <w:vAlign w:val="bottom"/>
          </w:tcPr>
          <w:p>
            <w:pPr>
              <w:spacing w:after="0"/>
              <w:rPr>
                <w:sz w:val="1"/>
                <w:szCs w:val="1"/>
                <w:color w:val="auto"/>
              </w:rPr>
            </w:pPr>
          </w:p>
        </w:tc>
      </w:tr>
      <w:tr>
        <w:trPr>
          <w:trHeight w:val="171"/>
        </w:trPr>
        <w:tc>
          <w:tcPr>
            <w:tcW w:w="4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80" w:type="dxa"/>
            <w:vAlign w:val="bottom"/>
            <w:gridSpan w:val="3"/>
          </w:tcPr>
          <w:p>
            <w:pPr>
              <w:jc w:val="right"/>
              <w:ind w:right="160"/>
              <w:spacing w:after="0"/>
              <w:rPr>
                <w:sz w:val="20"/>
                <w:szCs w:val="20"/>
                <w:color w:val="auto"/>
              </w:rPr>
            </w:pPr>
            <w:r>
              <w:rPr>
                <w:rFonts w:ascii="Arial" w:cs="Arial" w:eastAsia="Arial" w:hAnsi="Arial"/>
                <w:sz w:val="14"/>
                <w:szCs w:val="14"/>
                <w:b w:val="1"/>
                <w:bCs w:val="1"/>
                <w:color w:val="auto"/>
              </w:rPr>
              <w:t>Revenue</w:t>
            </w:r>
          </w:p>
        </w:tc>
        <w:tc>
          <w:tcPr>
            <w:tcW w:w="12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gridSpan w:val="3"/>
          </w:tcPr>
          <w:p>
            <w:pPr>
              <w:ind w:left="100"/>
              <w:spacing w:after="0"/>
              <w:rPr>
                <w:sz w:val="20"/>
                <w:szCs w:val="20"/>
                <w:color w:val="auto"/>
              </w:rPr>
            </w:pPr>
            <w:r>
              <w:rPr>
                <w:rFonts w:ascii="Arial" w:cs="Arial" w:eastAsia="Arial" w:hAnsi="Arial"/>
                <w:sz w:val="14"/>
                <w:szCs w:val="14"/>
                <w:b w:val="1"/>
                <w:bCs w:val="1"/>
                <w:color w:val="auto"/>
              </w:rPr>
              <w:t>Taxes</w:t>
            </w:r>
          </w:p>
        </w:tc>
        <w:tc>
          <w:tcPr>
            <w:tcW w:w="140" w:type="dxa"/>
            <w:vAlign w:val="bottom"/>
          </w:tcPr>
          <w:p>
            <w:pPr>
              <w:spacing w:after="0"/>
              <w:rPr>
                <w:sz w:val="14"/>
                <w:szCs w:val="14"/>
                <w:color w:val="auto"/>
              </w:rPr>
            </w:pPr>
          </w:p>
        </w:tc>
        <w:tc>
          <w:tcPr>
            <w:tcW w:w="740" w:type="dxa"/>
            <w:vAlign w:val="bottom"/>
            <w:gridSpan w:val="4"/>
          </w:tcPr>
          <w:p>
            <w:pPr>
              <w:spacing w:after="0"/>
              <w:rPr>
                <w:sz w:val="20"/>
                <w:szCs w:val="20"/>
                <w:color w:val="auto"/>
              </w:rPr>
            </w:pPr>
            <w:r>
              <w:rPr>
                <w:rFonts w:ascii="Arial" w:cs="Arial" w:eastAsia="Arial" w:hAnsi="Arial"/>
                <w:sz w:val="14"/>
                <w:szCs w:val="14"/>
                <w:color w:val="auto"/>
              </w:rPr>
              <w:t>Revenue</w:t>
            </w:r>
          </w:p>
        </w:tc>
        <w:tc>
          <w:tcPr>
            <w:tcW w:w="160" w:type="dxa"/>
            <w:vAlign w:val="bottom"/>
          </w:tcPr>
          <w:p>
            <w:pPr>
              <w:spacing w:after="0"/>
              <w:rPr>
                <w:sz w:val="14"/>
                <w:szCs w:val="14"/>
                <w:color w:val="auto"/>
              </w:rPr>
            </w:pPr>
          </w:p>
        </w:tc>
        <w:tc>
          <w:tcPr>
            <w:tcW w:w="780" w:type="dxa"/>
            <w:vAlign w:val="bottom"/>
            <w:gridSpan w:val="4"/>
          </w:tcPr>
          <w:p>
            <w:pPr>
              <w:jc w:val="center"/>
              <w:ind w:right="220"/>
              <w:spacing w:after="0"/>
              <w:rPr>
                <w:sz w:val="20"/>
                <w:szCs w:val="20"/>
                <w:color w:val="auto"/>
              </w:rPr>
            </w:pPr>
            <w:r>
              <w:rPr>
                <w:rFonts w:ascii="Arial" w:cs="Arial" w:eastAsia="Arial" w:hAnsi="Arial"/>
                <w:sz w:val="14"/>
                <w:szCs w:val="14"/>
                <w:color w:val="auto"/>
                <w:w w:val="94"/>
              </w:rPr>
              <w:t>Taxes</w:t>
            </w:r>
          </w:p>
        </w:tc>
        <w:tc>
          <w:tcPr>
            <w:tcW w:w="100" w:type="dxa"/>
            <w:vAlign w:val="bottom"/>
          </w:tcPr>
          <w:p>
            <w:pPr>
              <w:spacing w:after="0"/>
              <w:rPr>
                <w:sz w:val="14"/>
                <w:szCs w:val="14"/>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4"/>
                <w:szCs w:val="14"/>
                <w:color w:val="auto"/>
                <w:w w:val="99"/>
              </w:rPr>
              <w:t>Revenue</w:t>
            </w:r>
          </w:p>
        </w:tc>
        <w:tc>
          <w:tcPr>
            <w:tcW w:w="120" w:type="dxa"/>
            <w:vAlign w:val="bottom"/>
          </w:tcPr>
          <w:p>
            <w:pPr>
              <w:spacing w:after="0"/>
              <w:rPr>
                <w:sz w:val="14"/>
                <w:szCs w:val="14"/>
                <w:color w:val="auto"/>
              </w:rPr>
            </w:pPr>
          </w:p>
        </w:tc>
        <w:tc>
          <w:tcPr>
            <w:tcW w:w="700" w:type="dxa"/>
            <w:vAlign w:val="bottom"/>
            <w:gridSpan w:val="3"/>
          </w:tcPr>
          <w:p>
            <w:pPr>
              <w:jc w:val="center"/>
              <w:ind w:right="120"/>
              <w:spacing w:after="0"/>
              <w:rPr>
                <w:sz w:val="20"/>
                <w:szCs w:val="20"/>
                <w:color w:val="auto"/>
              </w:rPr>
            </w:pPr>
            <w:r>
              <w:rPr>
                <w:rFonts w:ascii="Arial" w:cs="Arial" w:eastAsia="Arial" w:hAnsi="Arial"/>
                <w:sz w:val="14"/>
                <w:szCs w:val="14"/>
                <w:color w:val="auto"/>
                <w:w w:val="99"/>
              </w:rPr>
              <w:t>Taxes</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CCEEFF"/>
            </w:tcBorders>
            <w:shd w:val="clear" w:color="auto" w:fill="CCEEFF"/>
          </w:tcPr>
          <w:p>
            <w:pPr>
              <w:spacing w:after="0"/>
              <w:rPr>
                <w:sz w:val="17"/>
                <w:szCs w:val="17"/>
                <w:color w:val="auto"/>
              </w:rPr>
            </w:pPr>
          </w:p>
        </w:tc>
        <w:tc>
          <w:tcPr>
            <w:tcW w:w="62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  640</w:t>
            </w: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134</w:t>
            </w:r>
          </w:p>
        </w:tc>
        <w:tc>
          <w:tcPr>
            <w:tcW w:w="16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6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825</w:t>
            </w: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280</w:t>
            </w:r>
          </w:p>
        </w:tc>
        <w:tc>
          <w:tcPr>
            <w:tcW w:w="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CCEEFF"/>
            </w:tcBorders>
            <w:shd w:val="clear" w:color="auto" w:fill="CCEEFF"/>
          </w:tcPr>
          <w:p>
            <w:pPr>
              <w:spacing w:after="0"/>
              <w:rPr>
                <w:sz w:val="17"/>
                <w:szCs w:val="17"/>
                <w:color w:val="auto"/>
              </w:rPr>
            </w:pPr>
          </w:p>
        </w:tc>
        <w:tc>
          <w:tcPr>
            <w:tcW w:w="58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  587</w:t>
            </w:r>
          </w:p>
        </w:tc>
        <w:tc>
          <w:tcPr>
            <w:tcW w:w="18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w w:val="79"/>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125</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1,594</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257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1,748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342</w:t>
            </w:r>
          </w:p>
        </w:tc>
        <w:tc>
          <w:tcPr>
            <w:tcW w:w="160" w:type="dxa"/>
            <w:vAlign w:val="bottom"/>
          </w:tcPr>
          <w:p>
            <w:pPr>
              <w:spacing w:after="0"/>
              <w:rPr>
                <w:sz w:val="18"/>
                <w:szCs w:val="18"/>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1,700</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282</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2,797</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424</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w w:val="97"/>
              </w:rPr>
              <w:t>2,949</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550</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2,977</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589</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Production</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4"/>
          </w:tcPr>
          <w:p>
            <w:pPr>
              <w:jc w:val="right"/>
              <w:ind w:right="160"/>
              <w:spacing w:after="0"/>
              <w:rPr>
                <w:sz w:val="20"/>
                <w:szCs w:val="20"/>
                <w:color w:val="auto"/>
              </w:rPr>
            </w:pPr>
            <w:r>
              <w:rPr>
                <w:rFonts w:ascii="Arial" w:cs="Arial" w:eastAsia="Arial" w:hAnsi="Arial"/>
                <w:sz w:val="18"/>
                <w:szCs w:val="18"/>
                <w:b w:val="1"/>
                <w:bCs w:val="1"/>
                <w:color w:val="auto"/>
              </w:rPr>
              <w:t>3,508</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60"/>
              <w:spacing w:after="0"/>
              <w:rPr>
                <w:sz w:val="20"/>
                <w:szCs w:val="20"/>
                <w:color w:val="auto"/>
              </w:rPr>
            </w:pPr>
            <w:r>
              <w:rPr>
                <w:rFonts w:ascii="Arial" w:cs="Arial" w:eastAsia="Arial" w:hAnsi="Arial"/>
                <w:sz w:val="18"/>
                <w:szCs w:val="18"/>
                <w:b w:val="1"/>
                <w:bCs w:val="1"/>
                <w:color w:val="auto"/>
              </w:rPr>
              <w:t>497</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4,078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664</w:t>
            </w:r>
          </w:p>
        </w:tc>
        <w:tc>
          <w:tcPr>
            <w:tcW w:w="160" w:type="dxa"/>
            <w:vAlign w:val="bottom"/>
          </w:tcPr>
          <w:p>
            <w:pPr>
              <w:spacing w:after="0"/>
              <w:rPr>
                <w:sz w:val="18"/>
                <w:szCs w:val="18"/>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8"/>
                <w:szCs w:val="18"/>
                <w:color w:val="auto"/>
              </w:rPr>
              <w:t>2,841</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471</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4"/>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443</w:t>
            </w: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113</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62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445</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85</w:t>
            </w:r>
          </w:p>
        </w:tc>
        <w:tc>
          <w:tcPr>
            <w:tcW w:w="160" w:type="dxa"/>
            <w:vAlign w:val="bottom"/>
            <w:shd w:val="clear" w:color="auto" w:fill="CCEEFF"/>
          </w:tcPr>
          <w:p>
            <w:pPr>
              <w:spacing w:after="0"/>
              <w:rPr>
                <w:sz w:val="18"/>
                <w:szCs w:val="18"/>
                <w:color w:val="auto"/>
              </w:rPr>
            </w:pPr>
          </w:p>
        </w:tc>
        <w:tc>
          <w:tcPr>
            <w:tcW w:w="860" w:type="dxa"/>
            <w:vAlign w:val="bottom"/>
            <w:gridSpan w:val="4"/>
            <w:shd w:val="clear" w:color="auto" w:fill="CCEEFF"/>
          </w:tcPr>
          <w:p>
            <w:pPr>
              <w:jc w:val="right"/>
              <w:ind w:right="180"/>
              <w:spacing w:after="0"/>
              <w:rPr>
                <w:sz w:val="20"/>
                <w:szCs w:val="20"/>
                <w:color w:val="auto"/>
              </w:rPr>
            </w:pPr>
            <w:r>
              <w:rPr>
                <w:rFonts w:ascii="Arial" w:cs="Arial" w:eastAsia="Arial" w:hAnsi="Arial"/>
                <w:sz w:val="18"/>
                <w:szCs w:val="18"/>
                <w:color w:val="auto"/>
              </w:rPr>
              <w:t>562</w:t>
            </w: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162</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4"/>
          </w:tcPr>
          <w:p>
            <w:pPr>
              <w:jc w:val="right"/>
              <w:ind w:right="100"/>
              <w:spacing w:after="0"/>
              <w:rPr>
                <w:sz w:val="20"/>
                <w:szCs w:val="20"/>
                <w:color w:val="auto"/>
              </w:rPr>
            </w:pPr>
            <w:r>
              <w:rPr>
                <w:rFonts w:ascii="Arial" w:cs="Arial" w:eastAsia="Arial" w:hAnsi="Arial"/>
                <w:sz w:val="18"/>
                <w:szCs w:val="18"/>
                <w:b w:val="1"/>
                <w:bCs w:val="1"/>
                <w:color w:val="auto"/>
              </w:rPr>
              <w:t>(261)</w:t>
            </w: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(104)</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20" w:type="dxa"/>
            <w:vAlign w:val="bottom"/>
            <w:gridSpan w:val="3"/>
          </w:tcPr>
          <w:p>
            <w:pPr>
              <w:jc w:val="right"/>
              <w:ind w:right="100"/>
              <w:spacing w:after="0"/>
              <w:rPr>
                <w:sz w:val="20"/>
                <w:szCs w:val="20"/>
                <w:color w:val="auto"/>
              </w:rPr>
            </w:pPr>
            <w:r>
              <w:rPr>
                <w:rFonts w:ascii="Arial" w:cs="Arial" w:eastAsia="Arial" w:hAnsi="Arial"/>
                <w:sz w:val="18"/>
                <w:szCs w:val="18"/>
                <w:color w:val="auto"/>
              </w:rPr>
              <w:t>(300)</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(114)</w:t>
            </w:r>
          </w:p>
        </w:tc>
        <w:tc>
          <w:tcPr>
            <w:tcW w:w="160" w:type="dxa"/>
            <w:vAlign w:val="bottom"/>
          </w:tcPr>
          <w:p>
            <w:pPr>
              <w:spacing w:after="0"/>
              <w:rPr>
                <w:sz w:val="18"/>
                <w:szCs w:val="18"/>
                <w:color w:val="auto"/>
              </w:rPr>
            </w:pPr>
          </w:p>
        </w:tc>
        <w:tc>
          <w:tcPr>
            <w:tcW w:w="860" w:type="dxa"/>
            <w:vAlign w:val="bottom"/>
            <w:gridSpan w:val="4"/>
          </w:tcPr>
          <w:p>
            <w:pPr>
              <w:jc w:val="right"/>
              <w:ind w:right="120"/>
              <w:spacing w:after="0"/>
              <w:rPr>
                <w:sz w:val="20"/>
                <w:szCs w:val="20"/>
                <w:color w:val="auto"/>
              </w:rPr>
            </w:pPr>
            <w:r>
              <w:rPr>
                <w:rFonts w:ascii="Arial" w:cs="Arial" w:eastAsia="Arial" w:hAnsi="Arial"/>
                <w:sz w:val="18"/>
                <w:szCs w:val="18"/>
                <w:color w:val="auto"/>
              </w:rPr>
              <w:t>(177)</w:t>
            </w: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(73)</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tcPr>
          <w:p>
            <w:pPr>
              <w:spacing w:after="0"/>
              <w:rPr>
                <w:sz w:val="2"/>
                <w:szCs w:val="2"/>
                <w:color w:val="auto"/>
              </w:rPr>
            </w:pPr>
          </w:p>
        </w:tc>
        <w:tc>
          <w:tcPr>
            <w:tcW w:w="420" w:type="dxa"/>
            <w:vAlign w:val="bottom"/>
          </w:tcPr>
          <w:p>
            <w:pPr>
              <w:spacing w:after="0"/>
              <w:rPr>
                <w:sz w:val="2"/>
                <w:szCs w:val="2"/>
                <w:color w:val="auto"/>
              </w:rPr>
            </w:pPr>
          </w:p>
        </w:tc>
        <w:tc>
          <w:tcPr>
            <w:tcW w:w="380" w:type="dxa"/>
            <w:vAlign w:val="bottom"/>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1,321</w:t>
            </w: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w w:val="97"/>
              </w:rPr>
              <w:t>1,807</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w w:val="97"/>
              </w:rPr>
              <w:t>1,556</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(228)</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(208)</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(179)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60"/>
              <w:spacing w:after="0"/>
              <w:rPr>
                <w:sz w:val="20"/>
                <w:szCs w:val="20"/>
                <w:color w:val="auto"/>
              </w:rPr>
            </w:pPr>
            <w:r>
              <w:rPr>
                <w:rFonts w:ascii="Arial" w:cs="Arial" w:eastAsia="Arial" w:hAnsi="Arial"/>
                <w:sz w:val="18"/>
                <w:szCs w:val="18"/>
                <w:b w:val="1"/>
                <w:bCs w:val="1"/>
                <w:color w:val="auto"/>
              </w:rPr>
              <w:t>20</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31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8"/>
                <w:szCs w:val="18"/>
                <w:b w:val="1"/>
                <w:bCs w:val="1"/>
                <w:color w:val="auto"/>
              </w:rPr>
              <w:t>(116)</w:t>
            </w: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gridSpan w:val="2"/>
          </w:tcPr>
          <w:p>
            <w:pPr>
              <w:jc w:val="right"/>
              <w:spacing w:after="0"/>
              <w:rPr>
                <w:sz w:val="20"/>
                <w:szCs w:val="20"/>
                <w:color w:val="auto"/>
              </w:rPr>
            </w:pPr>
            <w:r>
              <w:rPr>
                <w:rFonts w:ascii="Arial" w:cs="Arial" w:eastAsia="Arial" w:hAnsi="Arial"/>
                <w:sz w:val="18"/>
                <w:szCs w:val="18"/>
                <w:color w:val="auto"/>
              </w:rPr>
              <w:t>(126)</w:t>
            </w: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(144)</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380" w:type="dxa"/>
            <w:vAlign w:val="bottom"/>
            <w:shd w:val="clear" w:color="auto" w:fill="CCEEFF"/>
          </w:tcPr>
          <w:p>
            <w:pPr>
              <w:spacing w:after="0"/>
              <w:rPr>
                <w:sz w:val="18"/>
                <w:szCs w:val="18"/>
                <w:color w:val="auto"/>
              </w:rPr>
            </w:pPr>
          </w:p>
        </w:tc>
        <w:tc>
          <w:tcPr>
            <w:tcW w:w="24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00"/>
              <w:spacing w:after="0"/>
              <w:rPr>
                <w:sz w:val="20"/>
                <w:szCs w:val="20"/>
                <w:color w:val="auto"/>
              </w:rPr>
            </w:pPr>
            <w:r>
              <w:rPr>
                <w:rFonts w:ascii="Arial" w:cs="Arial" w:eastAsia="Arial" w:hAnsi="Arial"/>
                <w:sz w:val="18"/>
                <w:szCs w:val="18"/>
                <w:b w:val="1"/>
                <w:bCs w:val="1"/>
                <w:color w:val="auto"/>
              </w:rPr>
              <w:t>(41)</w:t>
            </w: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(206)</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620" w:type="dxa"/>
            <w:vAlign w:val="bottom"/>
            <w:gridSpan w:val="2"/>
          </w:tcPr>
          <w:p>
            <w:pPr>
              <w:jc w:val="right"/>
              <w:spacing w:after="0"/>
              <w:rPr>
                <w:sz w:val="20"/>
                <w:szCs w:val="20"/>
                <w:color w:val="auto"/>
              </w:rPr>
            </w:pPr>
            <w:r>
              <w:rPr>
                <w:rFonts w:ascii="Arial" w:cs="Arial" w:eastAsia="Arial" w:hAnsi="Arial"/>
                <w:sz w:val="18"/>
                <w:szCs w:val="18"/>
                <w:b w:val="1"/>
                <w:bCs w:val="1"/>
                <w:color w:val="auto"/>
                <w:w w:val="99"/>
              </w:rPr>
              <w:t>$ 8,721</w:t>
            </w:r>
          </w:p>
        </w:tc>
        <w:tc>
          <w:tcPr>
            <w:tcW w:w="160" w:type="dxa"/>
            <w:vAlign w:val="bottom"/>
          </w:tcPr>
          <w:p>
            <w:pPr>
              <w:spacing w:after="0"/>
              <w:rPr>
                <w:sz w:val="19"/>
                <w:szCs w:val="19"/>
                <w:color w:val="auto"/>
              </w:rPr>
            </w:pPr>
          </w:p>
        </w:tc>
        <w:tc>
          <w:tcPr>
            <w:tcW w:w="140" w:type="dxa"/>
            <w:vAlign w:val="bottom"/>
            <w:gridSpan w:val="2"/>
          </w:tcPr>
          <w:p>
            <w:pPr>
              <w:spacing w:after="0"/>
              <w:rPr>
                <w:sz w:val="19"/>
                <w:szCs w:val="19"/>
                <w:color w:val="auto"/>
              </w:rPr>
            </w:pPr>
          </w:p>
        </w:tc>
        <w:tc>
          <w:tcPr>
            <w:tcW w:w="100" w:type="dxa"/>
            <w:vAlign w:val="bottom"/>
          </w:tcPr>
          <w:p>
            <w:pPr>
              <w:spacing w:after="0"/>
              <w:rPr>
                <w:sz w:val="20"/>
                <w:szCs w:val="20"/>
                <w:color w:val="auto"/>
              </w:rPr>
            </w:pPr>
            <w:r>
              <w:rPr>
                <w:rFonts w:ascii="Arial" w:cs="Arial" w:eastAsia="Arial" w:hAnsi="Arial"/>
                <w:sz w:val="18"/>
                <w:szCs w:val="18"/>
                <w:b w:val="1"/>
                <w:bCs w:val="1"/>
                <w:color w:val="auto"/>
                <w:w w:val="79"/>
              </w:rPr>
              <w:t>$</w:t>
            </w:r>
          </w:p>
        </w:tc>
        <w:tc>
          <w:tcPr>
            <w:tcW w:w="480" w:type="dxa"/>
            <w:vAlign w:val="bottom"/>
          </w:tcPr>
          <w:p>
            <w:pPr>
              <w:jc w:val="right"/>
              <w:spacing w:after="0"/>
              <w:rPr>
                <w:sz w:val="20"/>
                <w:szCs w:val="20"/>
                <w:color w:val="auto"/>
              </w:rPr>
            </w:pPr>
            <w:r>
              <w:rPr>
                <w:rFonts w:ascii="Arial" w:cs="Arial" w:eastAsia="Arial" w:hAnsi="Arial"/>
                <w:sz w:val="18"/>
                <w:szCs w:val="18"/>
                <w:b w:val="1"/>
                <w:bCs w:val="1"/>
                <w:color w:val="auto"/>
              </w:rPr>
              <w:t>956</w:t>
            </w: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20" w:type="dxa"/>
            <w:vAlign w:val="bottom"/>
          </w:tcPr>
          <w:p>
            <w:pPr>
              <w:spacing w:after="0"/>
              <w:rPr>
                <w:sz w:val="20"/>
                <w:szCs w:val="20"/>
                <w:color w:val="auto"/>
              </w:rPr>
            </w:pPr>
            <w:r>
              <w:rPr>
                <w:rFonts w:ascii="Arial" w:cs="Arial" w:eastAsia="Arial" w:hAnsi="Arial"/>
                <w:sz w:val="18"/>
                <w:szCs w:val="18"/>
                <w:u w:val="single" w:color="auto"/>
                <w:color w:val="auto"/>
                <w:w w:val="99"/>
              </w:rPr>
              <w:t>$</w:t>
            </w:r>
          </w:p>
        </w:tc>
        <w:tc>
          <w:tcPr>
            <w:tcW w:w="620" w:type="dxa"/>
            <w:vAlign w:val="bottom"/>
            <w:gridSpan w:val="3"/>
          </w:tcPr>
          <w:p>
            <w:pPr>
              <w:jc w:val="right"/>
              <w:ind w:right="160"/>
              <w:spacing w:after="0"/>
              <w:rPr>
                <w:sz w:val="20"/>
                <w:szCs w:val="20"/>
                <w:color w:val="auto"/>
              </w:rPr>
            </w:pPr>
            <w:r>
              <w:rPr>
                <w:rFonts w:ascii="Arial" w:cs="Arial" w:eastAsia="Arial" w:hAnsi="Arial"/>
                <w:sz w:val="18"/>
                <w:szCs w:val="18"/>
                <w:color w:val="auto"/>
                <w:w w:val="97"/>
              </w:rPr>
              <w:t>9,745</w:t>
            </w:r>
          </w:p>
        </w:tc>
        <w:tc>
          <w:tcPr>
            <w:tcW w:w="260" w:type="dxa"/>
            <w:vAlign w:val="bottom"/>
            <w:gridSpan w:val="2"/>
          </w:tcPr>
          <w:p>
            <w:pPr>
              <w:ind w:left="160"/>
              <w:spacing w:after="0"/>
              <w:rPr>
                <w:sz w:val="20"/>
                <w:szCs w:val="20"/>
                <w:color w:val="auto"/>
              </w:rPr>
            </w:pPr>
            <w:r>
              <w:rPr>
                <w:rFonts w:ascii="Arial" w:cs="Arial" w:eastAsia="Arial" w:hAnsi="Arial"/>
                <w:sz w:val="18"/>
                <w:szCs w:val="18"/>
                <w:color w:val="auto"/>
                <w:w w:val="79"/>
              </w:rPr>
              <w:t>$</w:t>
            </w:r>
          </w:p>
        </w:tc>
        <w:tc>
          <w:tcPr>
            <w:tcW w:w="520" w:type="dxa"/>
            <w:vAlign w:val="bottom"/>
            <w:gridSpan w:val="2"/>
          </w:tcPr>
          <w:p>
            <w:pPr>
              <w:jc w:val="right"/>
              <w:ind w:right="60"/>
              <w:spacing w:after="0"/>
              <w:rPr>
                <w:sz w:val="20"/>
                <w:szCs w:val="20"/>
                <w:color w:val="auto"/>
              </w:rPr>
            </w:pPr>
            <w:r>
              <w:rPr>
                <w:rFonts w:ascii="Arial" w:cs="Arial" w:eastAsia="Arial" w:hAnsi="Arial"/>
                <w:sz w:val="18"/>
                <w:szCs w:val="18"/>
                <w:color w:val="auto"/>
              </w:rPr>
              <w:t>943</w:t>
            </w:r>
          </w:p>
        </w:tc>
        <w:tc>
          <w:tcPr>
            <w:tcW w:w="160" w:type="dxa"/>
            <w:vAlign w:val="bottom"/>
          </w:tcPr>
          <w:p>
            <w:pPr>
              <w:spacing w:after="0"/>
              <w:rPr>
                <w:sz w:val="19"/>
                <w:szCs w:val="19"/>
                <w:color w:val="auto"/>
              </w:rPr>
            </w:pPr>
          </w:p>
        </w:tc>
        <w:tc>
          <w:tcPr>
            <w:tcW w:w="860" w:type="dxa"/>
            <w:vAlign w:val="bottom"/>
            <w:gridSpan w:val="4"/>
          </w:tcPr>
          <w:p>
            <w:pPr>
              <w:jc w:val="right"/>
              <w:ind w:right="180"/>
              <w:spacing w:after="0"/>
              <w:rPr>
                <w:sz w:val="20"/>
                <w:szCs w:val="20"/>
                <w:color w:val="auto"/>
              </w:rPr>
            </w:pPr>
            <w:r>
              <w:rPr>
                <w:rFonts w:ascii="Arial" w:cs="Arial" w:eastAsia="Arial" w:hAnsi="Arial"/>
                <w:sz w:val="18"/>
                <w:szCs w:val="18"/>
                <w:u w:val="single" w:color="auto"/>
                <w:color w:val="auto"/>
              </w:rPr>
              <w:t>$</w:t>
            </w:r>
            <w:r>
              <w:rPr>
                <w:rFonts w:ascii="Arial" w:cs="Arial" w:eastAsia="Arial" w:hAnsi="Arial"/>
                <w:sz w:val="18"/>
                <w:szCs w:val="18"/>
                <w:color w:val="auto"/>
              </w:rPr>
              <w:t xml:space="preserve"> 8,490</w:t>
            </w:r>
          </w:p>
        </w:tc>
        <w:tc>
          <w:tcPr>
            <w:tcW w:w="240" w:type="dxa"/>
            <w:vAlign w:val="bottom"/>
            <w:gridSpan w:val="2"/>
          </w:tcPr>
          <w:p>
            <w:pPr>
              <w:jc w:val="right"/>
              <w:spacing w:after="0"/>
              <w:rPr>
                <w:sz w:val="20"/>
                <w:szCs w:val="20"/>
                <w:color w:val="auto"/>
              </w:rPr>
            </w:pPr>
            <w:r>
              <w:rPr>
                <w:rFonts w:ascii="Arial" w:cs="Arial" w:eastAsia="Arial" w:hAnsi="Arial"/>
                <w:sz w:val="18"/>
                <w:szCs w:val="18"/>
                <w:u w:val="single" w:color="auto"/>
                <w:color w:val="auto"/>
              </w:rPr>
              <w:t>$</w:t>
            </w: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1,063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gridSpan w:val="2"/>
          </w:tcPr>
          <w:p>
            <w:pPr>
              <w:spacing w:after="0" w:line="20" w:lineRule="exact"/>
              <w:rPr>
                <w:sz w:val="1"/>
                <w:szCs w:val="1"/>
                <w:color w:val="auto"/>
              </w:rPr>
            </w:pPr>
          </w:p>
        </w:tc>
        <w:tc>
          <w:tcPr>
            <w:tcW w:w="58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gridSpan w:val="7"/>
            <w:vMerge w:val="restart"/>
          </w:tcPr>
          <w:p>
            <w:pPr>
              <w:jc w:val="right"/>
              <w:ind w:right="280"/>
              <w:spacing w:after="0"/>
              <w:rPr>
                <w:sz w:val="20"/>
                <w:szCs w:val="20"/>
                <w:color w:val="auto"/>
              </w:rPr>
            </w:pPr>
            <w:r>
              <w:rPr>
                <w:rFonts w:ascii="Arial" w:cs="Arial" w:eastAsia="Arial" w:hAnsi="Arial"/>
                <w:sz w:val="14"/>
                <w:szCs w:val="14"/>
                <w:b w:val="1"/>
                <w:bCs w:val="1"/>
                <w:color w:val="auto"/>
              </w:rPr>
              <w:t>First Quarter 2026</w:t>
            </w: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320" w:type="dxa"/>
            <w:vAlign w:val="bottom"/>
            <w:gridSpan w:val="6"/>
          </w:tcPr>
          <w:p>
            <w:pP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8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420" w:type="dxa"/>
            <w:vAlign w:val="bottom"/>
            <w:tcBorders>
              <w:bottom w:val="single" w:sz="8" w:color="auto"/>
            </w:tcBorders>
          </w:tcPr>
          <w:p>
            <w:pPr>
              <w:spacing w:after="0"/>
              <w:rPr>
                <w:sz w:val="12"/>
                <w:szCs w:val="12"/>
                <w:color w:val="auto"/>
              </w:rPr>
            </w:pPr>
          </w:p>
        </w:tc>
        <w:tc>
          <w:tcPr>
            <w:tcW w:w="38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2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1520" w:type="dxa"/>
            <w:vAlign w:val="bottom"/>
            <w:tcBorders>
              <w:bottom w:val="single" w:sz="8" w:color="auto"/>
            </w:tcBorders>
            <w:gridSpan w:val="7"/>
            <w:vMerge w:val="continue"/>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32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12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38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940" w:type="dxa"/>
            <w:vAlign w:val="bottom"/>
            <w:gridSpan w:val="5"/>
          </w:tcPr>
          <w:p>
            <w:pPr>
              <w:spacing w:after="0" w:line="147" w:lineRule="exact"/>
              <w:rPr>
                <w:sz w:val="20"/>
                <w:szCs w:val="20"/>
                <w:color w:val="auto"/>
              </w:rPr>
            </w:pPr>
            <w:r>
              <w:rPr>
                <w:rFonts w:ascii="Arial" w:cs="Arial" w:eastAsia="Arial" w:hAnsi="Arial"/>
                <w:sz w:val="14"/>
                <w:szCs w:val="14"/>
                <w:b w:val="1"/>
                <w:bCs w:val="1"/>
                <w:color w:val="auto"/>
              </w:rPr>
              <w:t>Net Interest</w:t>
            </w:r>
          </w:p>
        </w:tc>
        <w:tc>
          <w:tcPr>
            <w:tcW w:w="10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12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400" w:type="dxa"/>
            <w:vAlign w:val="bottom"/>
            <w:gridSpan w:val="5"/>
          </w:tcPr>
          <w:p>
            <w:pPr>
              <w:spacing w:after="0" w:line="158" w:lineRule="exact"/>
              <w:rPr>
                <w:sz w:val="20"/>
                <w:szCs w:val="20"/>
                <w:color w:val="auto"/>
              </w:rPr>
            </w:pPr>
            <w:r>
              <w:rPr>
                <w:rFonts w:ascii="Arial" w:cs="Arial" w:eastAsia="Arial" w:hAnsi="Arial"/>
                <w:sz w:val="14"/>
                <w:szCs w:val="14"/>
                <w:b w:val="1"/>
                <w:bCs w:val="1"/>
                <w:color w:val="auto"/>
              </w:rPr>
              <w:t>Income Before</w:t>
            </w:r>
          </w:p>
        </w:tc>
        <w:tc>
          <w:tcPr>
            <w:tcW w:w="120" w:type="dxa"/>
            <w:vAlign w:val="bottom"/>
          </w:tcPr>
          <w:p>
            <w:pPr>
              <w:spacing w:after="0"/>
              <w:rPr>
                <w:sz w:val="13"/>
                <w:szCs w:val="13"/>
                <w:color w:val="auto"/>
              </w:rPr>
            </w:pPr>
          </w:p>
        </w:tc>
        <w:tc>
          <w:tcPr>
            <w:tcW w:w="1640" w:type="dxa"/>
            <w:vAlign w:val="bottom"/>
            <w:gridSpan w:val="9"/>
          </w:tcPr>
          <w:p>
            <w:pPr>
              <w:spacing w:after="0" w:line="158" w:lineRule="exact"/>
              <w:rPr>
                <w:sz w:val="20"/>
                <w:szCs w:val="20"/>
                <w:color w:val="auto"/>
              </w:rPr>
            </w:pPr>
            <w:r>
              <w:rPr>
                <w:rFonts w:ascii="Arial" w:cs="Arial" w:eastAsia="Arial" w:hAnsi="Arial"/>
                <w:sz w:val="14"/>
                <w:szCs w:val="14"/>
                <w:b w:val="1"/>
                <w:bCs w:val="1"/>
                <w:color w:val="auto"/>
              </w:rPr>
              <w:t>Depreciation and</w:t>
            </w:r>
          </w:p>
        </w:tc>
        <w:tc>
          <w:tcPr>
            <w:tcW w:w="940" w:type="dxa"/>
            <w:vAlign w:val="bottom"/>
            <w:gridSpan w:val="5"/>
          </w:tcPr>
          <w:p>
            <w:pPr>
              <w:jc w:val="right"/>
              <w:ind w:right="260"/>
              <w:spacing w:after="0" w:line="158" w:lineRule="exact"/>
              <w:rPr>
                <w:sz w:val="20"/>
                <w:szCs w:val="20"/>
                <w:color w:val="auto"/>
              </w:rPr>
            </w:pPr>
            <w:r>
              <w:rPr>
                <w:rFonts w:ascii="Arial" w:cs="Arial" w:eastAsia="Arial" w:hAnsi="Arial"/>
                <w:sz w:val="14"/>
                <w:szCs w:val="14"/>
                <w:b w:val="1"/>
                <w:bCs w:val="1"/>
                <w:color w:val="auto"/>
              </w:rPr>
              <w:t>Expense</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320" w:type="dxa"/>
            <w:vAlign w:val="bottom"/>
            <w:gridSpan w:val="6"/>
          </w:tcPr>
          <w:p>
            <w:pPr>
              <w:jc w:val="right"/>
              <w:ind w:right="420"/>
              <w:spacing w:after="0" w:line="158" w:lineRule="exact"/>
              <w:rPr>
                <w:sz w:val="20"/>
                <w:szCs w:val="20"/>
                <w:color w:val="auto"/>
              </w:rPr>
            </w:pPr>
            <w:r>
              <w:rPr>
                <w:rFonts w:ascii="Arial" w:cs="Arial" w:eastAsia="Arial" w:hAnsi="Arial"/>
                <w:sz w:val="14"/>
                <w:szCs w:val="14"/>
                <w:b w:val="1"/>
                <w:bCs w:val="1"/>
                <w:color w:val="auto"/>
              </w:rPr>
              <w:t>Adjusted</w:t>
            </w:r>
          </w:p>
        </w:tc>
        <w:tc>
          <w:tcPr>
            <w:tcW w:w="0" w:type="dxa"/>
            <w:vAlign w:val="bottom"/>
          </w:tcPr>
          <w:p>
            <w:pPr>
              <w:spacing w:after="0"/>
              <w:rPr>
                <w:sz w:val="1"/>
                <w:szCs w:val="1"/>
                <w:color w:val="auto"/>
              </w:rPr>
            </w:pPr>
          </w:p>
        </w:tc>
      </w:tr>
      <w:tr>
        <w:trPr>
          <w:trHeight w:val="175"/>
        </w:trPr>
        <w:tc>
          <w:tcPr>
            <w:tcW w:w="4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100" w:type="dxa"/>
            <w:vAlign w:val="bottom"/>
            <w:gridSpan w:val="4"/>
          </w:tcPr>
          <w:p>
            <w:pPr>
              <w:spacing w:after="0"/>
              <w:rPr>
                <w:sz w:val="20"/>
                <w:szCs w:val="20"/>
                <w:color w:val="auto"/>
              </w:rPr>
            </w:pPr>
            <w:r>
              <w:rPr>
                <w:rFonts w:ascii="Arial" w:cs="Arial" w:eastAsia="Arial" w:hAnsi="Arial"/>
                <w:sz w:val="14"/>
                <w:szCs w:val="14"/>
                <w:b w:val="1"/>
                <w:bCs w:val="1"/>
                <w:color w:val="auto"/>
              </w:rPr>
              <w:t>Revenue</w:t>
            </w:r>
          </w:p>
        </w:tc>
        <w:tc>
          <w:tcPr>
            <w:tcW w:w="200" w:type="dxa"/>
            <w:vAlign w:val="bottom"/>
          </w:tcPr>
          <w:p>
            <w:pPr>
              <w:spacing w:after="0"/>
              <w:rPr>
                <w:sz w:val="15"/>
                <w:szCs w:val="15"/>
                <w:color w:val="auto"/>
              </w:rPr>
            </w:pPr>
          </w:p>
        </w:tc>
        <w:tc>
          <w:tcPr>
            <w:tcW w:w="1200" w:type="dxa"/>
            <w:vAlign w:val="bottom"/>
            <w:gridSpan w:val="4"/>
          </w:tcPr>
          <w:p>
            <w:pPr>
              <w:jc w:val="right"/>
              <w:ind w:right="700"/>
              <w:spacing w:after="0"/>
              <w:rPr>
                <w:sz w:val="20"/>
                <w:szCs w:val="20"/>
                <w:color w:val="auto"/>
              </w:rPr>
            </w:pPr>
            <w:r>
              <w:rPr>
                <w:rFonts w:ascii="Arial" w:cs="Arial" w:eastAsia="Arial" w:hAnsi="Arial"/>
                <w:sz w:val="14"/>
                <w:szCs w:val="14"/>
                <w:b w:val="1"/>
                <w:bCs w:val="1"/>
                <w:color w:val="auto"/>
              </w:rPr>
              <w:t>Taxes</w:t>
            </w:r>
          </w:p>
        </w:tc>
        <w:tc>
          <w:tcPr>
            <w:tcW w:w="12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620" w:type="dxa"/>
            <w:vAlign w:val="bottom"/>
            <w:gridSpan w:val="8"/>
          </w:tcPr>
          <w:p>
            <w:pPr>
              <w:ind w:left="40"/>
              <w:spacing w:after="0" w:line="175" w:lineRule="exact"/>
              <w:rPr>
                <w:sz w:val="20"/>
                <w:szCs w:val="20"/>
                <w:color w:val="auto"/>
              </w:rPr>
            </w:pPr>
            <w:r>
              <w:rPr>
                <w:rFonts w:ascii="Arial" w:cs="Arial" w:eastAsia="Arial" w:hAnsi="Arial"/>
                <w:sz w:val="14"/>
                <w:szCs w:val="14"/>
                <w:b w:val="1"/>
                <w:bCs w:val="1"/>
                <w:color w:val="auto"/>
              </w:rPr>
              <w:t xml:space="preserve">Amortization </w:t>
            </w:r>
            <w:r>
              <w:rPr>
                <w:rFonts w:ascii="Arial" w:cs="Arial" w:eastAsia="Arial" w:hAnsi="Arial"/>
                <w:sz w:val="20"/>
                <w:szCs w:val="20"/>
                <w:b w:val="1"/>
                <w:bCs w:val="1"/>
                <w:color w:val="auto"/>
                <w:vertAlign w:val="superscript"/>
              </w:rPr>
              <w:t>(3)</w:t>
            </w:r>
          </w:p>
        </w:tc>
        <w:tc>
          <w:tcPr>
            <w:tcW w:w="940" w:type="dxa"/>
            <w:vAlign w:val="bottom"/>
            <w:gridSpan w:val="5"/>
          </w:tcPr>
          <w:p>
            <w:pPr>
              <w:spacing w:after="0" w:line="175" w:lineRule="exact"/>
              <w:rPr>
                <w:sz w:val="20"/>
                <w:szCs w:val="20"/>
                <w:color w:val="auto"/>
              </w:rPr>
            </w:pPr>
            <w:r>
              <w:rPr>
                <w:rFonts w:ascii="Arial" w:cs="Arial" w:eastAsia="Arial" w:hAnsi="Arial"/>
                <w:sz w:val="14"/>
                <w:szCs w:val="14"/>
                <w:b w:val="1"/>
                <w:bCs w:val="1"/>
                <w:color w:val="auto"/>
              </w:rPr>
              <w:t xml:space="preserve">(Income) </w:t>
            </w:r>
            <w:r>
              <w:rPr>
                <w:rFonts w:ascii="Arial" w:cs="Arial" w:eastAsia="Arial" w:hAnsi="Arial"/>
                <w:sz w:val="20"/>
                <w:szCs w:val="20"/>
                <w:b w:val="1"/>
                <w:bCs w:val="1"/>
                <w:color w:val="auto"/>
                <w:vertAlign w:val="superscript"/>
              </w:rPr>
              <w:t>(4)</w:t>
            </w: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320" w:type="dxa"/>
            <w:vAlign w:val="bottom"/>
            <w:gridSpan w:val="6"/>
          </w:tcPr>
          <w:p>
            <w:pPr>
              <w:jc w:val="right"/>
              <w:ind w:right="380"/>
              <w:spacing w:after="0" w:line="175" w:lineRule="exact"/>
              <w:rPr>
                <w:sz w:val="20"/>
                <w:szCs w:val="20"/>
                <w:color w:val="auto"/>
              </w:rPr>
            </w:pPr>
            <w:r>
              <w:rPr>
                <w:rFonts w:ascii="Arial" w:cs="Arial" w:eastAsia="Arial" w:hAnsi="Arial"/>
                <w:sz w:val="14"/>
                <w:szCs w:val="14"/>
                <w:b w:val="1"/>
                <w:bCs w:val="1"/>
                <w:color w:val="auto"/>
              </w:rPr>
              <w:t xml:space="preserve">EBITDA </w:t>
            </w:r>
            <w:r>
              <w:rPr>
                <w:rFonts w:ascii="Arial" w:cs="Arial" w:eastAsia="Arial" w:hAnsi="Arial"/>
                <w:sz w:val="20"/>
                <w:szCs w:val="20"/>
                <w:b w:val="1"/>
                <w:bCs w:val="1"/>
                <w:color w:val="auto"/>
                <w:vertAlign w:val="superscript"/>
              </w:rPr>
              <w:t>(5)</w:t>
            </w:r>
          </w:p>
        </w:tc>
        <w:tc>
          <w:tcPr>
            <w:tcW w:w="0" w:type="dxa"/>
            <w:vAlign w:val="bottom"/>
          </w:tcPr>
          <w:p>
            <w:pPr>
              <w:spacing w:after="0"/>
              <w:rPr>
                <w:sz w:val="1"/>
                <w:szCs w:val="1"/>
                <w:color w:val="auto"/>
              </w:rPr>
            </w:pPr>
          </w:p>
        </w:tc>
      </w:tr>
      <w:tr>
        <w:trPr>
          <w:trHeight w:val="196"/>
        </w:trPr>
        <w:tc>
          <w:tcPr>
            <w:tcW w:w="412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2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4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640</w:t>
            </w:r>
          </w:p>
        </w:tc>
        <w:tc>
          <w:tcPr>
            <w:tcW w:w="20" w:type="dxa"/>
            <w:vAlign w:val="bottom"/>
            <w:tcBorders>
              <w:top w:val="single" w:sz="8" w:color="CCEEFF"/>
            </w:tcBorders>
            <w:shd w:val="clear" w:color="auto" w:fill="CCEEFF"/>
          </w:tcPr>
          <w:p>
            <w:pPr>
              <w:spacing w:after="0"/>
              <w:rPr>
                <w:sz w:val="17"/>
                <w:szCs w:val="17"/>
                <w:color w:val="auto"/>
              </w:rPr>
            </w:pPr>
          </w:p>
        </w:tc>
        <w:tc>
          <w:tcPr>
            <w:tcW w:w="500" w:type="dxa"/>
            <w:vAlign w:val="bottom"/>
            <w:tcBorders>
              <w:top w:val="single" w:sz="8" w:color="CCEEFF"/>
            </w:tcBorders>
            <w:shd w:val="clear" w:color="auto" w:fill="CCEEFF"/>
          </w:tcPr>
          <w:p>
            <w:pPr>
              <w:spacing w:after="0"/>
              <w:rPr>
                <w:sz w:val="17"/>
                <w:szCs w:val="17"/>
                <w:color w:val="auto"/>
              </w:rPr>
            </w:pPr>
          </w:p>
        </w:tc>
        <w:tc>
          <w:tcPr>
            <w:tcW w:w="2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800" w:type="dxa"/>
            <w:vAlign w:val="bottom"/>
            <w:tcBorders>
              <w:top w:val="single" w:sz="8" w:color="auto"/>
            </w:tcBorders>
            <w:gridSpan w:val="2"/>
            <w:shd w:val="clear" w:color="auto" w:fill="CCEEFF"/>
          </w:tcPr>
          <w:p>
            <w:pPr>
              <w:jc w:val="right"/>
              <w:spacing w:after="0" w:line="196" w:lineRule="exact"/>
              <w:rPr>
                <w:sz w:val="20"/>
                <w:szCs w:val="20"/>
                <w:color w:val="auto"/>
              </w:rPr>
            </w:pPr>
            <w:r>
              <w:rPr>
                <w:rFonts w:ascii="Arial" w:cs="Arial" w:eastAsia="Arial" w:hAnsi="Arial"/>
                <w:sz w:val="18"/>
                <w:szCs w:val="18"/>
                <w:color w:val="auto"/>
              </w:rPr>
              <w:t>134</w:t>
            </w:r>
          </w:p>
        </w:tc>
        <w:tc>
          <w:tcPr>
            <w:tcW w:w="24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w w:val="99"/>
              </w:rPr>
              <w:t>$</w:t>
            </w:r>
          </w:p>
        </w:tc>
        <w:tc>
          <w:tcPr>
            <w:tcW w:w="480" w:type="dxa"/>
            <w:vAlign w:val="bottom"/>
            <w:tcBorders>
              <w:top w:val="single" w:sz="8" w:color="auto"/>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rPr>
                <w:sz w:val="17"/>
                <w:szCs w:val="17"/>
                <w:color w:val="auto"/>
              </w:rPr>
            </w:pPr>
          </w:p>
        </w:tc>
        <w:tc>
          <w:tcPr>
            <w:tcW w:w="420" w:type="dxa"/>
            <w:vAlign w:val="bottom"/>
            <w:tcBorders>
              <w:top w:val="single" w:sz="8" w:color="auto"/>
            </w:tcBorders>
            <w:gridSpan w:val="3"/>
            <w:shd w:val="clear" w:color="auto" w:fill="CCEEFF"/>
          </w:tcPr>
          <w:p>
            <w:pPr>
              <w:jc w:val="right"/>
              <w:spacing w:after="0" w:line="196" w:lineRule="exact"/>
              <w:rPr>
                <w:sz w:val="20"/>
                <w:szCs w:val="20"/>
                <w:color w:val="auto"/>
              </w:rPr>
            </w:pPr>
            <w:r>
              <w:rPr>
                <w:rFonts w:ascii="Arial" w:cs="Arial" w:eastAsia="Arial" w:hAnsi="Arial"/>
                <w:sz w:val="18"/>
                <w:szCs w:val="18"/>
                <w:color w:val="auto"/>
              </w:rPr>
              <w:t>33</w:t>
            </w:r>
          </w:p>
        </w:tc>
        <w:tc>
          <w:tcPr>
            <w:tcW w:w="30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00" w:type="dxa"/>
            <w:vAlign w:val="bottom"/>
            <w:tcBorders>
              <w:top w:val="single" w:sz="8" w:color="auto"/>
            </w:tcBorders>
            <w:shd w:val="clear" w:color="auto" w:fill="CCEEFF"/>
          </w:tcPr>
          <w:p>
            <w:pPr>
              <w:spacing w:after="0"/>
              <w:rPr>
                <w:sz w:val="17"/>
                <w:szCs w:val="17"/>
                <w:color w:val="auto"/>
              </w:rPr>
            </w:pPr>
          </w:p>
        </w:tc>
        <w:tc>
          <w:tcPr>
            <w:tcW w:w="520" w:type="dxa"/>
            <w:vAlign w:val="bottom"/>
            <w:tcBorders>
              <w:top w:val="single" w:sz="8" w:color="auto"/>
            </w:tcBorders>
            <w:gridSpan w:val="2"/>
            <w:shd w:val="clear" w:color="auto" w:fill="CCEEFF"/>
          </w:tcPr>
          <w:p>
            <w:pPr>
              <w:jc w:val="right"/>
              <w:ind w:right="40"/>
              <w:spacing w:after="0" w:line="196" w:lineRule="exact"/>
              <w:rPr>
                <w:sz w:val="20"/>
                <w:szCs w:val="20"/>
                <w:color w:val="auto"/>
              </w:rPr>
            </w:pPr>
            <w:r>
              <w:rPr>
                <w:rFonts w:ascii="Arial" w:cs="Arial" w:eastAsia="Arial" w:hAnsi="Arial"/>
                <w:sz w:val="18"/>
                <w:szCs w:val="18"/>
                <w:color w:val="auto"/>
              </w:rPr>
              <w:t>— </w:t>
            </w:r>
          </w:p>
        </w:tc>
        <w:tc>
          <w:tcPr>
            <w:tcW w:w="160" w:type="dxa"/>
            <w:vAlign w:val="bottom"/>
            <w:tcBorders>
              <w:top w:val="single" w:sz="8" w:color="CCEEFF"/>
            </w:tcBorders>
            <w:shd w:val="clear" w:color="auto" w:fill="CCEEFF"/>
          </w:tcPr>
          <w:p>
            <w:pPr>
              <w:spacing w:after="0"/>
              <w:rPr>
                <w:sz w:val="17"/>
                <w:szCs w:val="17"/>
                <w:color w:val="auto"/>
              </w:rPr>
            </w:pPr>
          </w:p>
        </w:tc>
        <w:tc>
          <w:tcPr>
            <w:tcW w:w="360" w:type="dxa"/>
            <w:vAlign w:val="bottom"/>
            <w:tcBorders>
              <w:top w:val="single" w:sz="8" w:color="CCEEFF"/>
            </w:tcBorders>
            <w:gridSpan w:val="2"/>
            <w:shd w:val="clear" w:color="auto" w:fill="CCEEFF"/>
          </w:tcPr>
          <w:p>
            <w:pPr>
              <w:spacing w:after="0"/>
              <w:rPr>
                <w:sz w:val="17"/>
                <w:szCs w:val="17"/>
                <w:color w:val="auto"/>
              </w:rPr>
            </w:pPr>
          </w:p>
        </w:tc>
        <w:tc>
          <w:tcPr>
            <w:tcW w:w="3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18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167</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1,594</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257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8"/>
                <w:szCs w:val="18"/>
                <w:color w:val="auto"/>
              </w:rPr>
              <w:t>113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369</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2,797</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424</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161</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584</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Production Systems</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3,508</w:t>
            </w: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497</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8"/>
                <w:szCs w:val="18"/>
                <w:color w:val="auto"/>
              </w:rPr>
              <w:t>152</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(1)</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rPr>
              <w:t>648</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20"/>
              <w:spacing w:after="0"/>
              <w:rPr>
                <w:sz w:val="20"/>
                <w:szCs w:val="20"/>
                <w:color w:val="auto"/>
              </w:rPr>
            </w:pPr>
            <w:r>
              <w:rPr>
                <w:rFonts w:ascii="Arial" w:cs="Arial" w:eastAsia="Arial" w:hAnsi="Arial"/>
                <w:sz w:val="18"/>
                <w:szCs w:val="18"/>
                <w:color w:val="auto"/>
              </w:rPr>
              <w:t>443</w:t>
            </w: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113</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720" w:type="dxa"/>
            <w:vAlign w:val="bottom"/>
            <w:gridSpan w:val="4"/>
            <w:shd w:val="clear" w:color="auto" w:fill="CCEEFF"/>
          </w:tcPr>
          <w:p>
            <w:pPr>
              <w:jc w:val="right"/>
              <w:ind w:right="300"/>
              <w:spacing w:after="0"/>
              <w:rPr>
                <w:sz w:val="20"/>
                <w:szCs w:val="20"/>
                <w:color w:val="auto"/>
              </w:rPr>
            </w:pPr>
            <w:r>
              <w:rPr>
                <w:rFonts w:ascii="Arial" w:cs="Arial" w:eastAsia="Arial" w:hAnsi="Arial"/>
                <w:sz w:val="18"/>
                <w:szCs w:val="18"/>
                <w:color w:val="auto"/>
              </w:rPr>
              <w:t>84</w:t>
            </w: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80" w:type="dxa"/>
            <w:vAlign w:val="bottom"/>
            <w:gridSpan w:val="3"/>
            <w:shd w:val="clear" w:color="auto" w:fill="CCEEFF"/>
          </w:tcPr>
          <w:p>
            <w:pPr>
              <w:jc w:val="right"/>
              <w:ind w:right="160"/>
              <w:spacing w:after="0"/>
              <w:rPr>
                <w:sz w:val="20"/>
                <w:szCs w:val="20"/>
                <w:color w:val="auto"/>
              </w:rPr>
            </w:pPr>
            <w:r>
              <w:rPr>
                <w:rFonts w:ascii="Arial" w:cs="Arial" w:eastAsia="Arial" w:hAnsi="Arial"/>
                <w:sz w:val="18"/>
                <w:szCs w:val="18"/>
                <w:color w:val="auto"/>
              </w:rPr>
              <w:t>—</w:t>
            </w: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8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197</w:t>
            </w: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000" w:type="dxa"/>
            <w:vAlign w:val="bottom"/>
            <w:gridSpan w:val="3"/>
          </w:tcPr>
          <w:p>
            <w:pPr>
              <w:jc w:val="right"/>
              <w:ind w:right="460"/>
              <w:spacing w:after="0"/>
              <w:rPr>
                <w:sz w:val="20"/>
                <w:szCs w:val="20"/>
                <w:color w:val="auto"/>
              </w:rPr>
            </w:pPr>
            <w:r>
              <w:rPr>
                <w:rFonts w:ascii="Arial" w:cs="Arial" w:eastAsia="Arial" w:hAnsi="Arial"/>
                <w:sz w:val="18"/>
                <w:szCs w:val="18"/>
                <w:color w:val="auto"/>
              </w:rPr>
              <w:t>(261)</w:t>
            </w:r>
          </w:p>
        </w:tc>
        <w:tc>
          <w:tcPr>
            <w:tcW w:w="2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(104)</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8"/>
                <w:szCs w:val="18"/>
                <w:color w:val="auto"/>
              </w:rPr>
              <w:t>69</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(37)</w:t>
            </w:r>
          </w:p>
        </w:tc>
        <w:tc>
          <w:tcPr>
            <w:tcW w:w="0" w:type="dxa"/>
            <w:vAlign w:val="bottom"/>
          </w:tcPr>
          <w:p>
            <w:pPr>
              <w:spacing w:after="0"/>
              <w:rPr>
                <w:sz w:val="1"/>
                <w:szCs w:val="1"/>
                <w:color w:val="auto"/>
              </w:rPr>
            </w:pPr>
          </w:p>
        </w:tc>
      </w:tr>
      <w:tr>
        <w:trPr>
          <w:trHeight w:val="27"/>
        </w:trPr>
        <w:tc>
          <w:tcPr>
            <w:tcW w:w="4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20" w:type="dxa"/>
            <w:vAlign w:val="bottom"/>
          </w:tcPr>
          <w:p>
            <w:pPr>
              <w:spacing w:after="0"/>
              <w:rPr>
                <w:sz w:val="2"/>
                <w:szCs w:val="2"/>
                <w:color w:val="auto"/>
              </w:rPr>
            </w:pPr>
          </w:p>
        </w:tc>
        <w:tc>
          <w:tcPr>
            <w:tcW w:w="5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4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40" w:type="dxa"/>
            <w:vAlign w:val="bottom"/>
          </w:tcPr>
          <w:p>
            <w:pPr>
              <w:spacing w:after="0"/>
              <w:rPr>
                <w:sz w:val="2"/>
                <w:szCs w:val="2"/>
                <w:color w:val="auto"/>
              </w:rPr>
            </w:pPr>
          </w:p>
        </w:tc>
        <w:tc>
          <w:tcPr>
            <w:tcW w:w="160" w:type="dxa"/>
            <w:vAlign w:val="bottom"/>
          </w:tcPr>
          <w:p>
            <w:pPr>
              <w:spacing w:after="0"/>
              <w:rPr>
                <w:sz w:val="2"/>
                <w:szCs w:val="2"/>
                <w:color w:val="auto"/>
              </w:rPr>
            </w:pPr>
          </w:p>
        </w:tc>
        <w:tc>
          <w:tcPr>
            <w:tcW w:w="120" w:type="dxa"/>
            <w:vAlign w:val="bottom"/>
          </w:tcPr>
          <w:p>
            <w:pPr>
              <w:spacing w:after="0"/>
              <w:rPr>
                <w:sz w:val="2"/>
                <w:szCs w:val="2"/>
                <w:color w:val="auto"/>
              </w:rPr>
            </w:pPr>
          </w:p>
        </w:tc>
        <w:tc>
          <w:tcPr>
            <w:tcW w:w="20" w:type="dxa"/>
            <w:vAlign w:val="bottom"/>
          </w:tcPr>
          <w:p>
            <w:pPr>
              <w:spacing w:after="0"/>
              <w:rPr>
                <w:sz w:val="2"/>
                <w:szCs w:val="2"/>
                <w:color w:val="auto"/>
              </w:rPr>
            </w:pPr>
          </w:p>
        </w:tc>
        <w:tc>
          <w:tcPr>
            <w:tcW w:w="100" w:type="dxa"/>
            <w:vAlign w:val="bottom"/>
          </w:tcPr>
          <w:p>
            <w:pPr>
              <w:spacing w:after="0"/>
              <w:rPr>
                <w:sz w:val="2"/>
                <w:szCs w:val="2"/>
                <w:color w:val="auto"/>
              </w:rPr>
            </w:pPr>
          </w:p>
        </w:tc>
        <w:tc>
          <w:tcPr>
            <w:tcW w:w="480" w:type="dxa"/>
            <w:vAlign w:val="bottom"/>
          </w:tcPr>
          <w:p>
            <w:pPr>
              <w:spacing w:after="0"/>
              <w:rPr>
                <w:sz w:val="2"/>
                <w:szCs w:val="2"/>
                <w:color w:val="auto"/>
              </w:rPr>
            </w:pPr>
          </w:p>
        </w:tc>
        <w:tc>
          <w:tcPr>
            <w:tcW w:w="160" w:type="dxa"/>
            <w:vAlign w:val="bottom"/>
          </w:tcPr>
          <w:p>
            <w:pPr>
              <w:spacing w:after="0"/>
              <w:rPr>
                <w:sz w:val="2"/>
                <w:szCs w:val="2"/>
                <w:color w:val="auto"/>
              </w:rPr>
            </w:pPr>
          </w:p>
        </w:tc>
        <w:tc>
          <w:tcPr>
            <w:tcW w:w="140" w:type="dxa"/>
            <w:vAlign w:val="bottom"/>
          </w:tcPr>
          <w:p>
            <w:pPr>
              <w:spacing w:after="0"/>
              <w:rPr>
                <w:sz w:val="2"/>
                <w:szCs w:val="2"/>
                <w:color w:val="auto"/>
              </w:rPr>
            </w:pPr>
          </w:p>
        </w:tc>
        <w:tc>
          <w:tcPr>
            <w:tcW w:w="120" w:type="dxa"/>
            <w:vAlign w:val="bottom"/>
          </w:tcPr>
          <w:p>
            <w:pPr>
              <w:spacing w:after="0"/>
              <w:rPr>
                <w:sz w:val="2"/>
                <w:szCs w:val="2"/>
                <w:color w:val="auto"/>
              </w:rPr>
            </w:pPr>
          </w:p>
        </w:tc>
        <w:tc>
          <w:tcPr>
            <w:tcW w:w="160" w:type="dxa"/>
            <w:vAlign w:val="bottom"/>
          </w:tcPr>
          <w:p>
            <w:pPr>
              <w:spacing w:after="0"/>
              <w:rPr>
                <w:sz w:val="2"/>
                <w:szCs w:val="2"/>
                <w:color w:val="auto"/>
              </w:rPr>
            </w:pPr>
          </w:p>
        </w:tc>
        <w:tc>
          <w:tcPr>
            <w:tcW w:w="300" w:type="dxa"/>
            <w:vAlign w:val="bottom"/>
          </w:tcPr>
          <w:p>
            <w:pPr>
              <w:spacing w:after="0"/>
              <w:rPr>
                <w:sz w:val="2"/>
                <w:szCs w:val="2"/>
                <w:color w:val="auto"/>
              </w:rPr>
            </w:pPr>
          </w:p>
        </w:tc>
        <w:tc>
          <w:tcPr>
            <w:tcW w:w="1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60" w:type="dxa"/>
            <w:vAlign w:val="bottom"/>
          </w:tcPr>
          <w:p>
            <w:pPr>
              <w:spacing w:after="0"/>
              <w:rPr>
                <w:sz w:val="2"/>
                <w:szCs w:val="2"/>
                <w:color w:val="auto"/>
              </w:rPr>
            </w:pPr>
          </w:p>
        </w:tc>
        <w:tc>
          <w:tcPr>
            <w:tcW w:w="160" w:type="dxa"/>
            <w:vAlign w:val="bottom"/>
          </w:tcPr>
          <w:p>
            <w:pPr>
              <w:spacing w:after="0"/>
              <w:rPr>
                <w:sz w:val="2"/>
                <w:szCs w:val="2"/>
                <w:color w:val="auto"/>
              </w:rPr>
            </w:pPr>
          </w:p>
        </w:tc>
        <w:tc>
          <w:tcPr>
            <w:tcW w:w="100" w:type="dxa"/>
            <w:vAlign w:val="bottom"/>
          </w:tcPr>
          <w:p>
            <w:pPr>
              <w:spacing w:after="0"/>
              <w:rPr>
                <w:sz w:val="2"/>
                <w:szCs w:val="2"/>
                <w:color w:val="auto"/>
              </w:rPr>
            </w:pPr>
          </w:p>
        </w:tc>
        <w:tc>
          <w:tcPr>
            <w:tcW w:w="2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8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tcPr>
          <w:p>
            <w:pPr>
              <w:spacing w:after="0"/>
              <w:rPr>
                <w:sz w:val="2"/>
                <w:szCs w:val="2"/>
                <w:color w:val="auto"/>
              </w:rPr>
            </w:pPr>
          </w:p>
        </w:tc>
        <w:tc>
          <w:tcPr>
            <w:tcW w:w="46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120" w:type="dxa"/>
            <w:vAlign w:val="bottom"/>
            <w:shd w:val="clear" w:color="auto" w:fill="CCEEFF"/>
          </w:tcPr>
          <w:p>
            <w:pPr>
              <w:spacing w:after="0"/>
              <w:rPr>
                <w:sz w:val="20"/>
                <w:szCs w:val="20"/>
                <w:color w:val="auto"/>
              </w:rPr>
            </w:pPr>
            <w:r>
              <w:rPr>
                <w:rFonts w:ascii="Arial" w:cs="Arial" w:eastAsia="Arial" w:hAnsi="Arial"/>
                <w:sz w:val="18"/>
                <w:szCs w:val="18"/>
                <w:color w:val="auto"/>
              </w:rPr>
              <w:t>Pretax segment operating income</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1,321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(228)</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8"/>
                <w:szCs w:val="18"/>
                <w:color w:val="auto"/>
              </w:rPr>
              <w:t>73</w:t>
            </w: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80" w:type="dxa"/>
            <w:vAlign w:val="bottom"/>
            <w:gridSpan w:val="2"/>
          </w:tcPr>
          <w:p>
            <w:pPr>
              <w:jc w:val="right"/>
              <w:ind w:right="60"/>
              <w:spacing w:after="0"/>
              <w:rPr>
                <w:sz w:val="20"/>
                <w:szCs w:val="20"/>
                <w:color w:val="auto"/>
              </w:rPr>
            </w:pPr>
            <w:r>
              <w:rPr>
                <w:rFonts w:ascii="Arial" w:cs="Arial" w:eastAsia="Arial" w:hAnsi="Arial"/>
                <w:sz w:val="18"/>
                <w:szCs w:val="18"/>
                <w:color w:val="auto"/>
              </w:rPr>
              <w:t>(155)</w:t>
            </w: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color w:val="auto"/>
              </w:rPr>
              <w:t>20</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tcPr>
          <w:p>
            <w:pPr>
              <w:spacing w:after="0" w:line="216"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040" w:type="dxa"/>
            <w:vAlign w:val="bottom"/>
            <w:gridSpan w:val="3"/>
          </w:tcPr>
          <w:p>
            <w:pPr>
              <w:jc w:val="right"/>
              <w:ind w:right="180"/>
              <w:spacing w:after="0"/>
              <w:rPr>
                <w:sz w:val="20"/>
                <w:szCs w:val="20"/>
                <w:color w:val="auto"/>
              </w:rPr>
            </w:pPr>
            <w:r>
              <w:rPr>
                <w:rFonts w:ascii="Arial" w:cs="Arial" w:eastAsia="Arial" w:hAnsi="Arial"/>
                <w:sz w:val="18"/>
                <w:szCs w:val="18"/>
                <w:color w:val="auto"/>
              </w:rPr>
              <w:t>(116)</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12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040" w:type="dxa"/>
            <w:vAlign w:val="bottom"/>
            <w:gridSpan w:val="3"/>
            <w:shd w:val="clear" w:color="auto" w:fill="CCEEFF"/>
          </w:tcPr>
          <w:p>
            <w:pPr>
              <w:jc w:val="right"/>
              <w:ind w:right="180"/>
              <w:spacing w:after="0"/>
              <w:rPr>
                <w:sz w:val="20"/>
                <w:szCs w:val="20"/>
                <w:color w:val="auto"/>
              </w:rPr>
            </w:pPr>
            <w:r>
              <w:rPr>
                <w:rFonts w:ascii="Arial" w:cs="Arial" w:eastAsia="Arial" w:hAnsi="Arial"/>
                <w:sz w:val="18"/>
                <w:szCs w:val="18"/>
                <w:color w:val="auto"/>
              </w:rPr>
              <w:t>(41)</w:t>
            </w:r>
          </w:p>
        </w:tc>
        <w:tc>
          <w:tcPr>
            <w:tcW w:w="1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8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00" w:type="dxa"/>
            <w:vAlign w:val="bottom"/>
            <w:gridSpan w:val="2"/>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gridSpan w:val="2"/>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420" w:type="dxa"/>
            <w:vAlign w:val="bottom"/>
            <w:gridSpan w:val="3"/>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shd w:val="clear" w:color="auto" w:fill="00000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20" w:type="dxa"/>
            <w:vAlign w:val="bottom"/>
            <w:gridSpan w:val="2"/>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360" w:type="dxa"/>
            <w:vAlign w:val="bottom"/>
            <w:gridSpan w:val="2"/>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120" w:type="dxa"/>
            <w:vAlign w:val="bottom"/>
          </w:tcPr>
          <w:p>
            <w:pPr>
              <w:spacing w:after="0"/>
              <w:rPr>
                <w:sz w:val="19"/>
                <w:szCs w:val="19"/>
                <w:color w:val="auto"/>
              </w:rPr>
            </w:pPr>
          </w:p>
        </w:tc>
        <w:tc>
          <w:tcPr>
            <w:tcW w:w="120" w:type="dxa"/>
            <w:vAlign w:val="bottom"/>
            <w:gridSpan w:val="2"/>
          </w:tcPr>
          <w:p>
            <w:pPr>
              <w:spacing w:after="0"/>
              <w:rPr>
                <w:sz w:val="20"/>
                <w:szCs w:val="20"/>
                <w:color w:val="auto"/>
              </w:rPr>
            </w:pPr>
            <w:r>
              <w:rPr>
                <w:rFonts w:ascii="Arial" w:cs="Arial" w:eastAsia="Arial" w:hAnsi="Arial"/>
                <w:sz w:val="18"/>
                <w:szCs w:val="18"/>
                <w:color w:val="auto"/>
                <w:w w:val="99"/>
              </w:rPr>
              <w:t>$</w:t>
            </w:r>
          </w:p>
        </w:tc>
        <w:tc>
          <w:tcPr>
            <w:tcW w:w="500" w:type="dxa"/>
            <w:vAlign w:val="bottom"/>
            <w:gridSpan w:val="2"/>
          </w:tcPr>
          <w:p>
            <w:pPr>
              <w:jc w:val="right"/>
              <w:ind w:right="20"/>
              <w:spacing w:after="0"/>
              <w:rPr>
                <w:sz w:val="20"/>
                <w:szCs w:val="20"/>
                <w:color w:val="auto"/>
              </w:rPr>
            </w:pPr>
            <w:r>
              <w:rPr>
                <w:rFonts w:ascii="Arial" w:cs="Arial" w:eastAsia="Arial" w:hAnsi="Arial"/>
                <w:sz w:val="18"/>
                <w:szCs w:val="18"/>
                <w:color w:val="auto"/>
              </w:rPr>
              <w:t>8,721</w:t>
            </w:r>
          </w:p>
        </w:tc>
        <w:tc>
          <w:tcPr>
            <w:tcW w:w="500" w:type="dxa"/>
            <w:vAlign w:val="bottom"/>
          </w:tcPr>
          <w:p>
            <w:pPr>
              <w:spacing w:after="0"/>
              <w:rPr>
                <w:sz w:val="19"/>
                <w:szCs w:val="19"/>
                <w:color w:val="auto"/>
              </w:rPr>
            </w:pPr>
          </w:p>
        </w:tc>
        <w:tc>
          <w:tcPr>
            <w:tcW w:w="200" w:type="dxa"/>
            <w:vAlign w:val="bottom"/>
          </w:tcPr>
          <w:p>
            <w:pPr>
              <w:spacing w:after="0"/>
              <w:rPr>
                <w:sz w:val="20"/>
                <w:szCs w:val="20"/>
                <w:color w:val="auto"/>
              </w:rPr>
            </w:pPr>
            <w:r>
              <w:rPr>
                <w:rFonts w:ascii="Arial" w:cs="Arial" w:eastAsia="Arial" w:hAnsi="Arial"/>
                <w:sz w:val="18"/>
                <w:szCs w:val="18"/>
                <w:color w:val="auto"/>
              </w:rPr>
              <w:t>$</w:t>
            </w:r>
          </w:p>
        </w:tc>
        <w:tc>
          <w:tcPr>
            <w:tcW w:w="1040" w:type="dxa"/>
            <w:vAlign w:val="bottom"/>
            <w:gridSpan w:val="3"/>
          </w:tcPr>
          <w:p>
            <w:pPr>
              <w:jc w:val="right"/>
              <w:ind w:right="240"/>
              <w:spacing w:after="0"/>
              <w:rPr>
                <w:sz w:val="20"/>
                <w:szCs w:val="20"/>
                <w:color w:val="auto"/>
              </w:rPr>
            </w:pPr>
            <w:r>
              <w:rPr>
                <w:rFonts w:ascii="Arial" w:cs="Arial" w:eastAsia="Arial" w:hAnsi="Arial"/>
                <w:sz w:val="18"/>
                <w:szCs w:val="18"/>
                <w:color w:val="auto"/>
              </w:rPr>
              <w:t>956</w:t>
            </w:r>
          </w:p>
        </w:tc>
        <w:tc>
          <w:tcPr>
            <w:tcW w:w="160" w:type="dxa"/>
            <w:vAlign w:val="bottom"/>
          </w:tcPr>
          <w:p>
            <w:pPr>
              <w:spacing w:after="0"/>
              <w:rPr>
                <w:sz w:val="19"/>
                <w:szCs w:val="19"/>
                <w:color w:val="auto"/>
              </w:rPr>
            </w:pPr>
          </w:p>
        </w:tc>
        <w:tc>
          <w:tcPr>
            <w:tcW w:w="240" w:type="dxa"/>
            <w:vAlign w:val="bottom"/>
            <w:gridSpan w:val="3"/>
          </w:tcPr>
          <w:p>
            <w:pPr>
              <w:ind w:left="120"/>
              <w:spacing w:after="0"/>
              <w:rPr>
                <w:sz w:val="20"/>
                <w:szCs w:val="20"/>
                <w:color w:val="auto"/>
              </w:rPr>
            </w:pPr>
            <w:r>
              <w:rPr>
                <w:rFonts w:ascii="Arial" w:cs="Arial" w:eastAsia="Arial" w:hAnsi="Arial"/>
                <w:sz w:val="18"/>
                <w:szCs w:val="18"/>
                <w:color w:val="auto"/>
                <w:w w:val="99"/>
              </w:rPr>
              <w:t>$</w:t>
            </w:r>
          </w:p>
        </w:tc>
        <w:tc>
          <w:tcPr>
            <w:tcW w:w="4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720" w:type="dxa"/>
            <w:vAlign w:val="bottom"/>
            <w:gridSpan w:val="4"/>
          </w:tcPr>
          <w:p>
            <w:pPr>
              <w:jc w:val="right"/>
              <w:ind w:right="300"/>
              <w:spacing w:after="0"/>
              <w:rPr>
                <w:sz w:val="20"/>
                <w:szCs w:val="20"/>
                <w:color w:val="auto"/>
              </w:rPr>
            </w:pPr>
            <w:r>
              <w:rPr>
                <w:rFonts w:ascii="Arial" w:cs="Arial" w:eastAsia="Arial" w:hAnsi="Arial"/>
                <w:sz w:val="18"/>
                <w:szCs w:val="18"/>
                <w:color w:val="auto"/>
              </w:rPr>
              <w:t>685</w:t>
            </w:r>
          </w:p>
        </w:tc>
        <w:tc>
          <w:tcPr>
            <w:tcW w:w="160" w:type="dxa"/>
            <w:vAlign w:val="bottom"/>
          </w:tcPr>
          <w:p>
            <w:pPr>
              <w:spacing w:after="0"/>
              <w:rPr>
                <w:sz w:val="19"/>
                <w:szCs w:val="19"/>
                <w:color w:val="auto"/>
              </w:rPr>
            </w:pPr>
          </w:p>
        </w:tc>
        <w:tc>
          <w:tcPr>
            <w:tcW w:w="160" w:type="dxa"/>
            <w:vAlign w:val="bottom"/>
          </w:tcPr>
          <w:p>
            <w:pPr>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8"/>
                <w:szCs w:val="18"/>
                <w:color w:val="auto"/>
              </w:rPr>
              <w:t>(5)</w:t>
            </w:r>
          </w:p>
        </w:tc>
        <w:tc>
          <w:tcPr>
            <w:tcW w:w="6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80" w:type="dxa"/>
            <w:vAlign w:val="bottom"/>
            <w:gridSpan w:val="2"/>
          </w:tcPr>
          <w:p>
            <w:pPr>
              <w:jc w:val="right"/>
              <w:ind w:right="120"/>
              <w:spacing w:after="0"/>
              <w:rPr>
                <w:sz w:val="20"/>
                <w:szCs w:val="20"/>
                <w:color w:val="auto"/>
              </w:rPr>
            </w:pPr>
            <w:r>
              <w:rPr>
                <w:rFonts w:ascii="Arial" w:cs="Arial" w:eastAsia="Arial" w:hAnsi="Arial"/>
                <w:sz w:val="18"/>
                <w:szCs w:val="18"/>
                <w:color w:val="auto"/>
                <w:w w:val="97"/>
              </w:rPr>
              <w:t>1,773</w:t>
            </w:r>
          </w:p>
        </w:tc>
        <w:tc>
          <w:tcPr>
            <w:tcW w:w="0" w:type="dxa"/>
            <w:vAlign w:val="bottom"/>
          </w:tcPr>
          <w:p>
            <w:pPr>
              <w:spacing w:after="0"/>
              <w:rPr>
                <w:sz w:val="1"/>
                <w:szCs w:val="1"/>
                <w:color w:val="auto"/>
              </w:rPr>
            </w:pPr>
          </w:p>
        </w:tc>
      </w:tr>
      <w:tr>
        <w:trPr>
          <w:trHeight w:val="20"/>
        </w:trPr>
        <w:tc>
          <w:tcPr>
            <w:tcW w:w="412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ectPr>
          <w:pgSz w:w="11900" w:h="16838" w:orient="portrait"/>
          <w:cols w:equalWidth="0" w:num="1">
            <w:col w:w="11020"/>
          </w:cols>
          <w:pgMar w:left="440" w:top="269" w:right="439" w:bottom="1440" w:gutter="0" w:footer="0" w:header="0"/>
        </w:sectPr>
      </w:pPr>
    </w:p>
    <w:bookmarkStart w:id="25" w:name="page26"/>
    <w:bookmarkEnd w:id="25"/>
    <w:p>
      <w:pPr>
        <w:spacing w:after="0" w:line="1"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tbl>
      <w:tblPr>
        <w:tblLayout w:type="fixed"/>
        <w:tblInd w:w="4" w:type="dxa"/>
        <w:tblCellMar>
          <w:top w:w="0" w:type="dxa"/>
          <w:left w:w="0" w:type="dxa"/>
          <w:bottom w:w="0" w:type="dxa"/>
          <w:right w:w="0" w:type="dxa"/>
        </w:tblCellMar>
      </w:tblPr>
      <w:tr>
        <w:trPr>
          <w:trHeight w:val="190"/>
        </w:trPr>
        <w:tc>
          <w:tcPr>
            <w:tcW w:w="478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660" w:type="dxa"/>
            <w:vAlign w:val="bottom"/>
            <w:gridSpan w:val="5"/>
            <w:vMerge w:val="restart"/>
          </w:tcPr>
          <w:p>
            <w:pPr>
              <w:jc w:val="right"/>
              <w:ind w:right="200"/>
              <w:spacing w:after="0"/>
              <w:rPr>
                <w:sz w:val="20"/>
                <w:szCs w:val="20"/>
                <w:color w:val="auto"/>
              </w:rPr>
            </w:pPr>
            <w:r>
              <w:rPr>
                <w:rFonts w:ascii="Arial" w:cs="Arial" w:eastAsia="Arial" w:hAnsi="Arial"/>
                <w:sz w:val="14"/>
                <w:szCs w:val="14"/>
                <w:b w:val="1"/>
                <w:bCs w:val="1"/>
                <w:color w:val="auto"/>
              </w:rPr>
              <w:t>Fourth Quarter 2025</w:t>
            </w:r>
          </w:p>
        </w:tc>
        <w:tc>
          <w:tcPr>
            <w:tcW w:w="18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1200" w:type="dxa"/>
            <w:vAlign w:val="bottom"/>
            <w:gridSpan w:val="3"/>
          </w:tcPr>
          <w:p>
            <w:pPr>
              <w:spacing w:after="0" w:line="147" w:lineRule="exact"/>
              <w:rPr>
                <w:sz w:val="20"/>
                <w:szCs w:val="20"/>
                <w:color w:val="auto"/>
              </w:rPr>
            </w:pPr>
            <w:r>
              <w:rPr>
                <w:rFonts w:ascii="Arial" w:cs="Arial" w:eastAsia="Arial" w:hAnsi="Arial"/>
                <w:sz w:val="14"/>
                <w:szCs w:val="14"/>
                <w:color w:val="auto"/>
              </w:rPr>
              <w:t>Net Interest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ind w:left="20"/>
              <w:spacing w:after="0" w:line="158" w:lineRule="exact"/>
              <w:rPr>
                <w:sz w:val="20"/>
                <w:szCs w:val="20"/>
                <w:color w:val="auto"/>
              </w:rPr>
            </w:pPr>
            <w:r>
              <w:rPr>
                <w:rFonts w:ascii="Arial" w:cs="Arial" w:eastAsia="Arial" w:hAnsi="Arial"/>
                <w:sz w:val="14"/>
                <w:szCs w:val="14"/>
                <w:b w:val="1"/>
                <w:bCs w:val="1"/>
                <w:color w:val="auto"/>
              </w:rPr>
              <w:t>Income Before</w:t>
            </w:r>
          </w:p>
        </w:tc>
        <w:tc>
          <w:tcPr>
            <w:tcW w:w="3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300" w:type="dxa"/>
            <w:vAlign w:val="bottom"/>
            <w:gridSpan w:val="3"/>
          </w:tcPr>
          <w:p>
            <w:pPr>
              <w:spacing w:after="0" w:line="158" w:lineRule="exact"/>
              <w:rPr>
                <w:sz w:val="20"/>
                <w:szCs w:val="20"/>
                <w:color w:val="auto"/>
              </w:rPr>
            </w:pPr>
            <w:r>
              <w:rPr>
                <w:rFonts w:ascii="Arial" w:cs="Arial" w:eastAsia="Arial" w:hAnsi="Arial"/>
                <w:sz w:val="14"/>
                <w:szCs w:val="14"/>
                <w:color w:val="auto"/>
              </w:rPr>
              <w:t>Depreciation and</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100" w:type="dxa"/>
            <w:vAlign w:val="bottom"/>
            <w:gridSpan w:val="2"/>
          </w:tcPr>
          <w:p>
            <w:pPr>
              <w:jc w:val="right"/>
              <w:ind w:right="468"/>
              <w:spacing w:after="0" w:line="158" w:lineRule="exact"/>
              <w:rPr>
                <w:sz w:val="20"/>
                <w:szCs w:val="20"/>
                <w:color w:val="auto"/>
              </w:rPr>
            </w:pPr>
            <w:r>
              <w:rPr>
                <w:rFonts w:ascii="Arial" w:cs="Arial" w:eastAsia="Arial" w:hAnsi="Arial"/>
                <w:sz w:val="14"/>
                <w:szCs w:val="14"/>
                <w:color w:val="auto"/>
                <w:w w:val="99"/>
              </w:rPr>
              <w:t>Expense</w:t>
            </w:r>
          </w:p>
        </w:tc>
        <w:tc>
          <w:tcPr>
            <w:tcW w:w="820" w:type="dxa"/>
            <w:vAlign w:val="bottom"/>
            <w:gridSpan w:val="3"/>
          </w:tcPr>
          <w:p>
            <w:pPr>
              <w:ind w:left="60"/>
              <w:spacing w:after="0" w:line="158"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860" w:type="dxa"/>
            <w:vAlign w:val="bottom"/>
            <w:gridSpan w:val="4"/>
          </w:tcPr>
          <w:p>
            <w:pPr>
              <w:jc w:val="right"/>
              <w:ind w:right="260"/>
              <w:spacing w:after="0"/>
              <w:rPr>
                <w:sz w:val="20"/>
                <w:szCs w:val="20"/>
                <w:color w:val="auto"/>
              </w:rPr>
            </w:pPr>
            <w:r>
              <w:rPr>
                <w:rFonts w:ascii="Arial" w:cs="Arial" w:eastAsia="Arial" w:hAnsi="Arial"/>
                <w:sz w:val="14"/>
                <w:szCs w:val="14"/>
                <w:b w:val="1"/>
                <w:bCs w:val="1"/>
                <w:color w:val="auto"/>
                <w:w w:val="99"/>
              </w:rPr>
              <w:t>Revenue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rPr>
              <w:t>Taxes</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3"/>
          </w:tcPr>
          <w:p>
            <w:pPr>
              <w:jc w:val="right"/>
              <w:ind w:right="280"/>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200" w:type="dxa"/>
            <w:vAlign w:val="bottom"/>
            <w:gridSpan w:val="3"/>
          </w:tcPr>
          <w:p>
            <w:pPr>
              <w:ind w:left="20"/>
              <w:spacing w:after="0" w:line="175" w:lineRule="exact"/>
              <w:rPr>
                <w:sz w:val="20"/>
                <w:szCs w:val="20"/>
                <w:color w:val="auto"/>
              </w:rPr>
            </w:pPr>
            <w:r>
              <w:rPr>
                <w:rFonts w:ascii="Arial" w:cs="Arial" w:eastAsia="Arial" w:hAnsi="Arial"/>
                <w:sz w:val="14"/>
                <w:szCs w:val="14"/>
                <w:color w:val="auto"/>
              </w:rPr>
              <w:t xml:space="preserve">(Income) </w:t>
            </w:r>
            <w:r>
              <w:rPr>
                <w:rFonts w:ascii="Arial" w:cs="Arial" w:eastAsia="Arial" w:hAnsi="Arial"/>
                <w:sz w:val="20"/>
                <w:szCs w:val="20"/>
                <w:color w:val="auto"/>
                <w:vertAlign w:val="superscript"/>
              </w:rPr>
              <w:t>(4)</w:t>
            </w:r>
          </w:p>
        </w:tc>
        <w:tc>
          <w:tcPr>
            <w:tcW w:w="82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20" w:type="dxa"/>
            <w:vAlign w:val="bottom"/>
            <w:tcBorders>
              <w:top w:val="single" w:sz="8" w:color="CCEEFF"/>
            </w:tcBorders>
            <w:shd w:val="clear" w:color="auto" w:fill="CCEEFF"/>
          </w:tcPr>
          <w:p>
            <w:pPr>
              <w:spacing w:after="0"/>
              <w:rPr>
                <w:sz w:val="17"/>
                <w:szCs w:val="17"/>
                <w:color w:val="auto"/>
              </w:rPr>
            </w:pPr>
          </w:p>
        </w:tc>
        <w:tc>
          <w:tcPr>
            <w:tcW w:w="4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w w:val="79"/>
              </w:rPr>
              <w:t>$</w:t>
            </w:r>
          </w:p>
        </w:tc>
        <w:tc>
          <w:tcPr>
            <w:tcW w:w="500" w:type="dxa"/>
            <w:vAlign w:val="bottom"/>
            <w:tcBorders>
              <w:top w:val="single" w:sz="8" w:color="auto"/>
              <w:right w:val="single" w:sz="8" w:color="CCEEFF"/>
            </w:tcBorders>
            <w:gridSpan w:val="2"/>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825</w:t>
            </w: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280</w:t>
            </w: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42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66</w:t>
            </w: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6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w w:val="79"/>
              </w:rPr>
              <w:t>$</w:t>
            </w:r>
          </w:p>
        </w:tc>
        <w:tc>
          <w:tcPr>
            <w:tcW w:w="600" w:type="dxa"/>
            <w:vAlign w:val="bottom"/>
            <w:tcBorders>
              <w:top w:val="single" w:sz="8" w:color="auto"/>
            </w:tcBorders>
            <w:shd w:val="clear" w:color="auto" w:fill="CCEEFF"/>
          </w:tcPr>
          <w:p>
            <w:pPr>
              <w:ind w:left="380"/>
              <w:spacing w:after="0"/>
              <w:rPr>
                <w:sz w:val="20"/>
                <w:szCs w:val="20"/>
                <w:color w:val="auto"/>
              </w:rPr>
            </w:pPr>
            <w:r>
              <w:rPr>
                <w:rFonts w:ascii="Arial" w:cs="Arial" w:eastAsia="Arial" w:hAnsi="Arial"/>
                <w:sz w:val="17"/>
                <w:szCs w:val="17"/>
                <w:color w:val="auto"/>
                <w:w w:val="70"/>
              </w:rPr>
              <w:t>— </w:t>
            </w:r>
          </w:p>
        </w:tc>
        <w:tc>
          <w:tcPr>
            <w:tcW w:w="50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346</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1,748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342</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114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456</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2,949</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550</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169</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719</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Production Systems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4,078</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664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151</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815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760" w:type="dxa"/>
            <w:vAlign w:val="bottom"/>
            <w:gridSpan w:val="3"/>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445</w:t>
            </w: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85</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880" w:type="dxa"/>
            <w:vAlign w:val="bottom"/>
            <w:gridSpan w:val="2"/>
            <w:shd w:val="clear" w:color="auto" w:fill="CCEEFF"/>
          </w:tcPr>
          <w:p>
            <w:pPr>
              <w:jc w:val="right"/>
              <w:ind w:right="200"/>
              <w:spacing w:after="0"/>
              <w:rPr>
                <w:sz w:val="20"/>
                <w:szCs w:val="20"/>
                <w:color w:val="auto"/>
              </w:rPr>
            </w:pPr>
            <w:r>
              <w:rPr>
                <w:rFonts w:ascii="Arial" w:cs="Arial" w:eastAsia="Arial" w:hAnsi="Arial"/>
                <w:sz w:val="18"/>
                <w:szCs w:val="18"/>
                <w:color w:val="auto"/>
              </w:rPr>
              <w:t>85</w:t>
            </w: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ind w:left="380"/>
              <w:spacing w:after="0"/>
              <w:rPr>
                <w:sz w:val="20"/>
                <w:szCs w:val="20"/>
                <w:color w:val="auto"/>
              </w:rPr>
            </w:pPr>
            <w:r>
              <w:rPr>
                <w:rFonts w:ascii="Arial" w:cs="Arial" w:eastAsia="Arial" w:hAnsi="Arial"/>
                <w:sz w:val="18"/>
                <w:szCs w:val="18"/>
                <w:color w:val="auto"/>
              </w:rPr>
              <w:t>— </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170</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180"/>
              <w:spacing w:after="0"/>
              <w:rPr>
                <w:sz w:val="20"/>
                <w:szCs w:val="20"/>
                <w:color w:val="auto"/>
              </w:rPr>
            </w:pPr>
            <w:r>
              <w:rPr>
                <w:rFonts w:ascii="Arial" w:cs="Arial" w:eastAsia="Arial" w:hAnsi="Arial"/>
                <w:sz w:val="18"/>
                <w:szCs w:val="18"/>
                <w:b w:val="1"/>
                <w:bCs w:val="1"/>
                <w:color w:val="auto"/>
              </w:rPr>
              <w:t>(300)</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(114)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74</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— </w:t>
            </w: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(40)</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Borders>
              <w:left w:val="single" w:sz="8" w:color="auto"/>
            </w:tcBorders>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segment operating income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1,807</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(208)</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73</w:t>
            </w: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31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80"/>
              <w:spacing w:after="0"/>
              <w:rPr>
                <w:sz w:val="20"/>
                <w:szCs w:val="20"/>
                <w:color w:val="auto"/>
              </w:rPr>
            </w:pPr>
            <w:r>
              <w:rPr>
                <w:rFonts w:ascii="Arial" w:cs="Arial" w:eastAsia="Arial" w:hAnsi="Arial"/>
                <w:sz w:val="18"/>
                <w:szCs w:val="18"/>
                <w:b w:val="1"/>
                <w:bCs w:val="1"/>
                <w:color w:val="auto"/>
              </w:rPr>
              <w:t>(126)</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80"/>
              <w:spacing w:after="0"/>
              <w:rPr>
                <w:sz w:val="20"/>
                <w:szCs w:val="20"/>
                <w:color w:val="auto"/>
              </w:rPr>
            </w:pPr>
            <w:r>
              <w:rPr>
                <w:rFonts w:ascii="Arial" w:cs="Arial" w:eastAsia="Arial" w:hAnsi="Arial"/>
                <w:sz w:val="18"/>
                <w:szCs w:val="18"/>
                <w:b w:val="1"/>
                <w:bCs w:val="1"/>
                <w:color w:val="auto"/>
              </w:rPr>
              <w:t>(561)</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60" w:type="dxa"/>
            <w:vAlign w:val="bottom"/>
            <w:gridSpan w:val="2"/>
            <w:shd w:val="clear" w:color="auto" w:fill="000000"/>
          </w:tcPr>
          <w:p>
            <w:pPr>
              <w:spacing w:after="0" w:line="20" w:lineRule="exact"/>
              <w:rPr>
                <w:sz w:val="1"/>
                <w:szCs w:val="1"/>
                <w:color w:val="auto"/>
              </w:rPr>
            </w:pPr>
          </w:p>
        </w:tc>
        <w:tc>
          <w:tcPr>
            <w:tcW w:w="40" w:type="dxa"/>
            <w:vAlign w:val="bottom"/>
            <w:tcBorders>
              <w:right w:val="single" w:sz="8" w:color="auto"/>
            </w:tcBorders>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Borders>
              <w:left w:val="single" w:sz="8" w:color="auto"/>
            </w:tcBorders>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Borders>
              <w:left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Borders>
              <w:lef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tcPr>
          <w:p>
            <w:pPr>
              <w:spacing w:after="0"/>
              <w:rPr>
                <w:sz w:val="19"/>
                <w:szCs w:val="19"/>
                <w:color w:val="auto"/>
              </w:rPr>
            </w:pPr>
          </w:p>
        </w:tc>
        <w:tc>
          <w:tcPr>
            <w:tcW w:w="60" w:type="dxa"/>
            <w:vAlign w:val="bottom"/>
            <w:gridSpan w:val="2"/>
          </w:tcPr>
          <w:p>
            <w:pPr>
              <w:spacing w:after="0"/>
              <w:rPr>
                <w:sz w:val="19"/>
                <w:szCs w:val="19"/>
                <w:color w:val="auto"/>
              </w:rPr>
            </w:pPr>
          </w:p>
        </w:tc>
        <w:tc>
          <w:tcPr>
            <w:tcW w:w="860" w:type="dxa"/>
            <w:vAlign w:val="bottom"/>
            <w:gridSpan w:val="4"/>
          </w:tcPr>
          <w:p>
            <w:pPr>
              <w:jc w:val="right"/>
              <w:ind w:right="240"/>
              <w:spacing w:after="0"/>
              <w:rPr>
                <w:sz w:val="20"/>
                <w:szCs w:val="20"/>
                <w:color w:val="auto"/>
              </w:rPr>
            </w:pPr>
            <w:r>
              <w:rPr>
                <w:rFonts w:ascii="Arial" w:cs="Arial" w:eastAsia="Arial" w:hAnsi="Arial"/>
                <w:sz w:val="18"/>
                <w:szCs w:val="18"/>
                <w:b w:val="1"/>
                <w:bCs w:val="1"/>
                <w:color w:val="auto"/>
                <w:w w:val="99"/>
              </w:rPr>
              <w:t>$ 9,745</w:t>
            </w:r>
          </w:p>
        </w:tc>
        <w:tc>
          <w:tcPr>
            <w:tcW w:w="420" w:type="dxa"/>
            <w:vAlign w:val="bottom"/>
            <w:gridSpan w:val="2"/>
          </w:tcPr>
          <w:p>
            <w:pPr>
              <w:ind w:left="240"/>
              <w:spacing w:after="0"/>
              <w:rPr>
                <w:sz w:val="20"/>
                <w:szCs w:val="20"/>
                <w:color w:val="auto"/>
              </w:rPr>
            </w:pPr>
            <w:r>
              <w:rPr>
                <w:rFonts w:ascii="Arial" w:cs="Arial" w:eastAsia="Arial" w:hAnsi="Arial"/>
                <w:sz w:val="18"/>
                <w:szCs w:val="18"/>
                <w:b w:val="1"/>
                <w:bCs w:val="1"/>
                <w:color w:val="auto"/>
              </w:rPr>
              <w:t>$</w:t>
            </w: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943</w:t>
            </w:r>
          </w:p>
        </w:tc>
        <w:tc>
          <w:tcPr>
            <w:tcW w:w="780" w:type="dxa"/>
            <w:vAlign w:val="bottom"/>
            <w:gridSpan w:val="3"/>
          </w:tcPr>
          <w:p>
            <w:pPr>
              <w:ind w:left="36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732</w:t>
            </w:r>
          </w:p>
        </w:tc>
        <w:tc>
          <w:tcPr>
            <w:tcW w:w="340" w:type="dxa"/>
            <w:vAlign w:val="bottom"/>
            <w:gridSpan w:val="3"/>
          </w:tcPr>
          <w:p>
            <w:pPr>
              <w:ind w:left="240"/>
              <w:spacing w:after="0"/>
              <w:rPr>
                <w:sz w:val="20"/>
                <w:szCs w:val="20"/>
                <w:color w:val="auto"/>
              </w:rPr>
            </w:pPr>
            <w:r>
              <w:rPr>
                <w:rFonts w:ascii="Arial" w:cs="Arial" w:eastAsia="Arial" w:hAnsi="Arial"/>
                <w:sz w:val="18"/>
                <w:szCs w:val="18"/>
                <w:color w:val="auto"/>
                <w:w w:val="79"/>
              </w:rPr>
              <w:t>$</w:t>
            </w:r>
          </w:p>
        </w:tc>
        <w:tc>
          <w:tcPr>
            <w:tcW w:w="1100" w:type="dxa"/>
            <w:vAlign w:val="bottom"/>
            <w:gridSpan w:val="2"/>
          </w:tcPr>
          <w:p>
            <w:pPr>
              <w:ind w:left="380"/>
              <w:spacing w:after="0"/>
              <w:rPr>
                <w:sz w:val="20"/>
                <w:szCs w:val="20"/>
                <w:color w:val="auto"/>
              </w:rPr>
            </w:pPr>
            <w:r>
              <w:rPr>
                <w:rFonts w:ascii="Arial" w:cs="Arial" w:eastAsia="Arial" w:hAnsi="Arial"/>
                <w:sz w:val="18"/>
                <w:szCs w:val="18"/>
                <w:color w:val="auto"/>
              </w:rPr>
              <w:t xml:space="preserve">— </w:t>
            </w: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2,331</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gridSpan w:val="2"/>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18"/>
        </w:trPr>
        <w:tc>
          <w:tcPr>
            <w:tcW w:w="47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660" w:type="dxa"/>
            <w:vAlign w:val="bottom"/>
            <w:gridSpan w:val="5"/>
            <w:vMerge w:val="restart"/>
          </w:tcPr>
          <w:p>
            <w:pPr>
              <w:jc w:val="right"/>
              <w:ind w:right="300"/>
              <w:spacing w:after="0"/>
              <w:rPr>
                <w:sz w:val="20"/>
                <w:szCs w:val="20"/>
                <w:color w:val="auto"/>
              </w:rPr>
            </w:pPr>
            <w:r>
              <w:rPr>
                <w:rFonts w:ascii="Arial" w:cs="Arial" w:eastAsia="Arial" w:hAnsi="Arial"/>
                <w:sz w:val="14"/>
                <w:szCs w:val="14"/>
                <w:b w:val="1"/>
                <w:bCs w:val="1"/>
                <w:color w:val="auto"/>
              </w:rPr>
              <w:t>First Quarter 2025</w:t>
            </w: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320" w:type="dxa"/>
            <w:vAlign w:val="bottom"/>
            <w:gridSpan w:val="4"/>
          </w:tcPr>
          <w:p>
            <w:pPr>
              <w:jc w:val="right"/>
              <w:ind w:right="1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43"/>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460" w:type="dxa"/>
            <w:vAlign w:val="bottom"/>
            <w:tcBorders>
              <w:bottom w:val="single" w:sz="8" w:color="auto"/>
            </w:tcBorders>
          </w:tcPr>
          <w:p>
            <w:pPr>
              <w:spacing w:after="0"/>
              <w:rPr>
                <w:sz w:val="12"/>
                <w:szCs w:val="12"/>
                <w:color w:val="auto"/>
              </w:rPr>
            </w:pPr>
          </w:p>
        </w:tc>
        <w:tc>
          <w:tcPr>
            <w:tcW w:w="40" w:type="dxa"/>
            <w:vAlign w:val="bottom"/>
            <w:tcBorders>
              <w:bottom w:val="single" w:sz="8" w:color="auto"/>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24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780" w:type="dxa"/>
            <w:vAlign w:val="bottom"/>
            <w:tcBorders>
              <w:bottom w:val="single" w:sz="8" w:color="auto"/>
            </w:tcBorders>
          </w:tcPr>
          <w:p>
            <w:pPr>
              <w:spacing w:after="0"/>
              <w:rPr>
                <w:sz w:val="12"/>
                <w:szCs w:val="12"/>
                <w:color w:val="auto"/>
              </w:rPr>
            </w:pPr>
          </w:p>
        </w:tc>
        <w:tc>
          <w:tcPr>
            <w:tcW w:w="200" w:type="dxa"/>
            <w:vAlign w:val="bottom"/>
            <w:tcBorders>
              <w:bottom w:val="single" w:sz="8" w:color="auto"/>
            </w:tcBorders>
          </w:tcPr>
          <w:p>
            <w:pPr>
              <w:spacing w:after="0"/>
              <w:rPr>
                <w:sz w:val="12"/>
                <w:szCs w:val="12"/>
                <w:color w:val="auto"/>
              </w:rPr>
            </w:pPr>
          </w:p>
        </w:tc>
        <w:tc>
          <w:tcPr>
            <w:tcW w:w="1660" w:type="dxa"/>
            <w:vAlign w:val="bottom"/>
            <w:tcBorders>
              <w:bottom w:val="single" w:sz="8" w:color="auto"/>
            </w:tcBorders>
            <w:gridSpan w:val="5"/>
            <w:vMerge w:val="continue"/>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60" w:type="dxa"/>
            <w:vAlign w:val="bottom"/>
            <w:tcBorders>
              <w:bottom w:val="single" w:sz="8" w:color="auto"/>
            </w:tcBorders>
          </w:tcPr>
          <w:p>
            <w:pPr>
              <w:spacing w:after="0"/>
              <w:rPr>
                <w:sz w:val="12"/>
                <w:szCs w:val="12"/>
                <w:color w:val="auto"/>
              </w:rPr>
            </w:pPr>
          </w:p>
        </w:tc>
        <w:tc>
          <w:tcPr>
            <w:tcW w:w="100" w:type="dxa"/>
            <w:vAlign w:val="bottom"/>
            <w:tcBorders>
              <w:bottom w:val="single" w:sz="8" w:color="auto"/>
            </w:tcBorders>
          </w:tcPr>
          <w:p>
            <w:pPr>
              <w:spacing w:after="0"/>
              <w:rPr>
                <w:sz w:val="12"/>
                <w:szCs w:val="12"/>
                <w:color w:val="auto"/>
              </w:rPr>
            </w:pPr>
          </w:p>
        </w:tc>
        <w:tc>
          <w:tcPr>
            <w:tcW w:w="600" w:type="dxa"/>
            <w:vAlign w:val="bottom"/>
            <w:tcBorders>
              <w:bottom w:val="single" w:sz="8" w:color="auto"/>
            </w:tcBorders>
          </w:tcPr>
          <w:p>
            <w:pPr>
              <w:spacing w:after="0"/>
              <w:rPr>
                <w:sz w:val="12"/>
                <w:szCs w:val="12"/>
                <w:color w:val="auto"/>
              </w:rPr>
            </w:pPr>
          </w:p>
        </w:tc>
        <w:tc>
          <w:tcPr>
            <w:tcW w:w="500" w:type="dxa"/>
            <w:vAlign w:val="bottom"/>
            <w:tcBorders>
              <w:bottom w:val="single" w:sz="8" w:color="auto"/>
            </w:tcBorders>
          </w:tcPr>
          <w:p>
            <w:pPr>
              <w:spacing w:after="0"/>
              <w:rPr>
                <w:sz w:val="12"/>
                <w:szCs w:val="12"/>
                <w:color w:val="auto"/>
              </w:rPr>
            </w:pPr>
          </w:p>
        </w:tc>
        <w:tc>
          <w:tcPr>
            <w:tcW w:w="180" w:type="dxa"/>
            <w:vAlign w:val="bottom"/>
            <w:tcBorders>
              <w:bottom w:val="single" w:sz="8" w:color="auto"/>
            </w:tcBorders>
          </w:tcPr>
          <w:p>
            <w:pPr>
              <w:spacing w:after="0"/>
              <w:rPr>
                <w:sz w:val="12"/>
                <w:szCs w:val="12"/>
                <w:color w:val="auto"/>
              </w:rPr>
            </w:pPr>
          </w:p>
        </w:tc>
        <w:tc>
          <w:tcPr>
            <w:tcW w:w="520" w:type="dxa"/>
            <w:vAlign w:val="bottom"/>
            <w:tcBorders>
              <w:bottom w:val="single" w:sz="8" w:color="auto"/>
            </w:tcBorders>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6"/>
        </w:trPr>
        <w:tc>
          <w:tcPr>
            <w:tcW w:w="47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46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78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3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260" w:type="dxa"/>
            <w:vAlign w:val="bottom"/>
            <w:gridSpan w:val="4"/>
          </w:tcPr>
          <w:p>
            <w:pPr>
              <w:ind w:left="20"/>
              <w:spacing w:after="0" w:line="147" w:lineRule="exact"/>
              <w:rPr>
                <w:sz w:val="20"/>
                <w:szCs w:val="20"/>
                <w:color w:val="auto"/>
              </w:rPr>
            </w:pPr>
            <w:r>
              <w:rPr>
                <w:rFonts w:ascii="Arial" w:cs="Arial" w:eastAsia="Arial" w:hAnsi="Arial"/>
                <w:sz w:val="14"/>
                <w:szCs w:val="14"/>
                <w:color w:val="auto"/>
              </w:rPr>
              <w:t>Net Interest</w:t>
            </w:r>
          </w:p>
        </w:tc>
        <w:tc>
          <w:tcPr>
            <w:tcW w:w="18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1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8"/>
        </w:trPr>
        <w:tc>
          <w:tcPr>
            <w:tcW w:w="4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46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160" w:type="dxa"/>
            <w:vAlign w:val="bottom"/>
            <w:gridSpan w:val="3"/>
          </w:tcPr>
          <w:p>
            <w:pPr>
              <w:spacing w:after="0" w:line="158" w:lineRule="exact"/>
              <w:rPr>
                <w:sz w:val="20"/>
                <w:szCs w:val="20"/>
                <w:color w:val="auto"/>
              </w:rPr>
            </w:pPr>
            <w:r>
              <w:rPr>
                <w:rFonts w:ascii="Arial" w:cs="Arial" w:eastAsia="Arial" w:hAnsi="Arial"/>
                <w:sz w:val="14"/>
                <w:szCs w:val="14"/>
                <w:b w:val="1"/>
                <w:bCs w:val="1"/>
                <w:color w:val="auto"/>
              </w:rPr>
              <w:t>Income Before</w:t>
            </w:r>
          </w:p>
        </w:tc>
        <w:tc>
          <w:tcPr>
            <w:tcW w:w="300" w:type="dxa"/>
            <w:vAlign w:val="bottom"/>
          </w:tcPr>
          <w:p>
            <w:pPr>
              <w:spacing w:after="0"/>
              <w:rPr>
                <w:sz w:val="13"/>
                <w:szCs w:val="13"/>
                <w:color w:val="auto"/>
              </w:rPr>
            </w:pPr>
          </w:p>
        </w:tc>
        <w:tc>
          <w:tcPr>
            <w:tcW w:w="1360" w:type="dxa"/>
            <w:vAlign w:val="bottom"/>
            <w:gridSpan w:val="4"/>
          </w:tcPr>
          <w:p>
            <w:pPr>
              <w:ind w:left="20"/>
              <w:spacing w:after="0" w:line="158" w:lineRule="exact"/>
              <w:rPr>
                <w:sz w:val="20"/>
                <w:szCs w:val="20"/>
                <w:color w:val="auto"/>
              </w:rPr>
            </w:pPr>
            <w:r>
              <w:rPr>
                <w:rFonts w:ascii="Arial" w:cs="Arial" w:eastAsia="Arial" w:hAnsi="Arial"/>
                <w:sz w:val="14"/>
                <w:szCs w:val="14"/>
                <w:color w:val="auto"/>
              </w:rPr>
              <w:t>Depreciation and</w:t>
            </w: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1200" w:type="dxa"/>
            <w:vAlign w:val="bottom"/>
            <w:gridSpan w:val="3"/>
          </w:tcPr>
          <w:p>
            <w:pPr>
              <w:ind w:left="40"/>
              <w:spacing w:after="0" w:line="158" w:lineRule="exact"/>
              <w:rPr>
                <w:sz w:val="20"/>
                <w:szCs w:val="20"/>
                <w:color w:val="auto"/>
              </w:rPr>
            </w:pPr>
            <w:r>
              <w:rPr>
                <w:rFonts w:ascii="Arial" w:cs="Arial" w:eastAsia="Arial" w:hAnsi="Arial"/>
                <w:sz w:val="14"/>
                <w:szCs w:val="14"/>
                <w:color w:val="auto"/>
              </w:rPr>
              <w:t>Expense</w:t>
            </w:r>
          </w:p>
        </w:tc>
        <w:tc>
          <w:tcPr>
            <w:tcW w:w="820" w:type="dxa"/>
            <w:vAlign w:val="bottom"/>
            <w:gridSpan w:val="3"/>
          </w:tcPr>
          <w:p>
            <w:pPr>
              <w:ind w:left="60"/>
              <w:spacing w:after="0" w:line="158" w:lineRule="exact"/>
              <w:rPr>
                <w:sz w:val="20"/>
                <w:szCs w:val="20"/>
                <w:color w:val="auto"/>
              </w:rPr>
            </w:pPr>
            <w:r>
              <w:rPr>
                <w:rFonts w:ascii="Arial" w:cs="Arial" w:eastAsia="Arial" w:hAnsi="Arial"/>
                <w:sz w:val="14"/>
                <w:szCs w:val="14"/>
                <w:color w:val="auto"/>
              </w:rPr>
              <w:t>Adjusted</w:t>
            </w:r>
          </w:p>
        </w:tc>
        <w:tc>
          <w:tcPr>
            <w:tcW w:w="0" w:type="dxa"/>
            <w:vAlign w:val="bottom"/>
          </w:tcPr>
          <w:p>
            <w:pPr>
              <w:spacing w:after="0"/>
              <w:rPr>
                <w:sz w:val="1"/>
                <w:szCs w:val="1"/>
                <w:color w:val="auto"/>
              </w:rPr>
            </w:pPr>
          </w:p>
        </w:tc>
      </w:tr>
      <w:tr>
        <w:trPr>
          <w:trHeight w:val="175"/>
        </w:trPr>
        <w:tc>
          <w:tcPr>
            <w:tcW w:w="4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gridSpan w:val="5"/>
          </w:tcPr>
          <w:p>
            <w:pPr>
              <w:spacing w:after="0"/>
              <w:rPr>
                <w:sz w:val="20"/>
                <w:szCs w:val="20"/>
                <w:color w:val="auto"/>
              </w:rPr>
            </w:pPr>
            <w:r>
              <w:rPr>
                <w:rFonts w:ascii="Arial" w:cs="Arial" w:eastAsia="Arial" w:hAnsi="Arial"/>
                <w:sz w:val="14"/>
                <w:szCs w:val="14"/>
                <w:b w:val="1"/>
                <w:bCs w:val="1"/>
                <w:color w:val="auto"/>
              </w:rPr>
              <w:t>Revenue</w:t>
            </w:r>
          </w:p>
        </w:tc>
        <w:tc>
          <w:tcPr>
            <w:tcW w:w="2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98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rPr>
              <w:t>Taxes</w:t>
            </w:r>
          </w:p>
        </w:tc>
        <w:tc>
          <w:tcPr>
            <w:tcW w:w="3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30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Amortization </w:t>
            </w:r>
            <w:r>
              <w:rPr>
                <w:rFonts w:ascii="Arial" w:cs="Arial" w:eastAsia="Arial" w:hAnsi="Arial"/>
                <w:sz w:val="20"/>
                <w:szCs w:val="20"/>
                <w:color w:val="auto"/>
                <w:vertAlign w:val="superscript"/>
              </w:rPr>
              <w:t>(3)</w:t>
            </w:r>
          </w:p>
        </w:tc>
        <w:tc>
          <w:tcPr>
            <w:tcW w:w="180" w:type="dxa"/>
            <w:vAlign w:val="bottom"/>
          </w:tcPr>
          <w:p>
            <w:pPr>
              <w:spacing w:after="0"/>
              <w:rPr>
                <w:sz w:val="15"/>
                <w:szCs w:val="15"/>
                <w:color w:val="auto"/>
              </w:rPr>
            </w:pPr>
          </w:p>
        </w:tc>
        <w:tc>
          <w:tcPr>
            <w:tcW w:w="1260" w:type="dxa"/>
            <w:vAlign w:val="bottom"/>
            <w:gridSpan w:val="4"/>
          </w:tcPr>
          <w:p>
            <w:pPr>
              <w:ind w:left="20"/>
              <w:spacing w:after="0" w:line="175" w:lineRule="exact"/>
              <w:rPr>
                <w:sz w:val="20"/>
                <w:szCs w:val="20"/>
                <w:color w:val="auto"/>
              </w:rPr>
            </w:pPr>
            <w:r>
              <w:rPr>
                <w:rFonts w:ascii="Arial" w:cs="Arial" w:eastAsia="Arial" w:hAnsi="Arial"/>
                <w:sz w:val="14"/>
                <w:szCs w:val="14"/>
                <w:color w:val="auto"/>
              </w:rPr>
              <w:t xml:space="preserve">(Income) </w:t>
            </w:r>
            <w:r>
              <w:rPr>
                <w:rFonts w:ascii="Arial" w:cs="Arial" w:eastAsia="Arial" w:hAnsi="Arial"/>
                <w:sz w:val="20"/>
                <w:szCs w:val="20"/>
                <w:color w:val="auto"/>
                <w:vertAlign w:val="superscript"/>
              </w:rPr>
              <w:t>(4)</w:t>
            </w:r>
          </w:p>
        </w:tc>
        <w:tc>
          <w:tcPr>
            <w:tcW w:w="820" w:type="dxa"/>
            <w:vAlign w:val="bottom"/>
            <w:gridSpan w:val="3"/>
          </w:tcPr>
          <w:p>
            <w:pPr>
              <w:spacing w:after="0" w:line="175" w:lineRule="exact"/>
              <w:rPr>
                <w:sz w:val="20"/>
                <w:szCs w:val="20"/>
                <w:color w:val="auto"/>
              </w:rPr>
            </w:pPr>
            <w:r>
              <w:rPr>
                <w:rFonts w:ascii="Arial" w:cs="Arial" w:eastAsia="Arial" w:hAnsi="Arial"/>
                <w:sz w:val="14"/>
                <w:szCs w:val="14"/>
                <w:color w:val="auto"/>
              </w:rPr>
              <w:t xml:space="preserve">EBITDA </w:t>
            </w:r>
            <w:r>
              <w:rPr>
                <w:rFonts w:ascii="Arial" w:cs="Arial" w:eastAsia="Arial" w:hAnsi="Arial"/>
                <w:sz w:val="20"/>
                <w:szCs w:val="20"/>
                <w:color w:val="auto"/>
                <w:vertAlign w:val="superscript"/>
              </w:rPr>
              <w:t>(5)</w:t>
            </w:r>
          </w:p>
        </w:tc>
        <w:tc>
          <w:tcPr>
            <w:tcW w:w="0" w:type="dxa"/>
            <w:vAlign w:val="bottom"/>
          </w:tcPr>
          <w:p>
            <w:pPr>
              <w:spacing w:after="0"/>
              <w:rPr>
                <w:sz w:val="1"/>
                <w:szCs w:val="1"/>
                <w:color w:val="auto"/>
              </w:rPr>
            </w:pPr>
          </w:p>
        </w:tc>
      </w:tr>
      <w:tr>
        <w:trPr>
          <w:trHeight w:val="196"/>
        </w:trPr>
        <w:tc>
          <w:tcPr>
            <w:tcW w:w="478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color w:val="auto"/>
              </w:rPr>
              <w:t>Digital</w:t>
            </w:r>
          </w:p>
        </w:tc>
        <w:tc>
          <w:tcPr>
            <w:tcW w:w="20" w:type="dxa"/>
            <w:vAlign w:val="bottom"/>
            <w:tcBorders>
              <w:top w:val="single" w:sz="8" w:color="CCEEFF"/>
            </w:tcBorders>
            <w:shd w:val="clear" w:color="auto" w:fill="CCEEFF"/>
          </w:tcPr>
          <w:p>
            <w:pPr>
              <w:spacing w:after="0"/>
              <w:rPr>
                <w:sz w:val="17"/>
                <w:szCs w:val="17"/>
                <w:color w:val="auto"/>
              </w:rPr>
            </w:pPr>
          </w:p>
        </w:tc>
        <w:tc>
          <w:tcPr>
            <w:tcW w:w="14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46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587</w:t>
            </w:r>
          </w:p>
        </w:tc>
        <w:tc>
          <w:tcPr>
            <w:tcW w:w="40" w:type="dxa"/>
            <w:vAlign w:val="bottom"/>
            <w:tcBorders>
              <w:top w:val="single" w:sz="8" w:color="CCEEFF"/>
              <w:right w:val="single" w:sz="8" w:color="CCEEFF"/>
            </w:tcBorders>
            <w:shd w:val="clear" w:color="auto" w:fill="CCEEFF"/>
          </w:tcPr>
          <w:p>
            <w:pPr>
              <w:spacing w:after="0"/>
              <w:rPr>
                <w:sz w:val="17"/>
                <w:szCs w:val="17"/>
                <w:color w:val="auto"/>
              </w:rPr>
            </w:pPr>
          </w:p>
        </w:tc>
        <w:tc>
          <w:tcPr>
            <w:tcW w:w="260" w:type="dxa"/>
            <w:vAlign w:val="bottom"/>
            <w:tcBorders>
              <w:top w:val="single" w:sz="8" w:color="CCEEFF"/>
            </w:tcBorders>
            <w:shd w:val="clear" w:color="auto" w:fill="CCEEFF"/>
          </w:tcPr>
          <w:p>
            <w:pPr>
              <w:spacing w:after="0"/>
              <w:rPr>
                <w:sz w:val="17"/>
                <w:szCs w:val="17"/>
                <w:color w:val="auto"/>
              </w:rPr>
            </w:pPr>
          </w:p>
        </w:tc>
        <w:tc>
          <w:tcPr>
            <w:tcW w:w="240" w:type="dxa"/>
            <w:vAlign w:val="bottom"/>
            <w:tcBorders>
              <w:top w:val="single" w:sz="8" w:color="CCEEFF"/>
              <w:righ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8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125</w:t>
            </w:r>
          </w:p>
        </w:tc>
        <w:tc>
          <w:tcPr>
            <w:tcW w:w="200" w:type="dxa"/>
            <w:vAlign w:val="bottom"/>
            <w:tcBorders>
              <w:top w:val="single" w:sz="8" w:color="CCEEFF"/>
              <w:left w:val="single" w:sz="8" w:color="CCEEFF"/>
            </w:tcBorders>
            <w:shd w:val="clear" w:color="auto" w:fill="CCEEFF"/>
          </w:tcPr>
          <w:p>
            <w:pPr>
              <w:spacing w:after="0"/>
              <w:rPr>
                <w:sz w:val="17"/>
                <w:szCs w:val="17"/>
                <w:color w:val="auto"/>
              </w:rPr>
            </w:pPr>
          </w:p>
        </w:tc>
        <w:tc>
          <w:tcPr>
            <w:tcW w:w="300" w:type="dxa"/>
            <w:vAlign w:val="bottom"/>
            <w:tcBorders>
              <w:top w:val="single" w:sz="8" w:color="CCEEFF"/>
            </w:tcBorders>
            <w:shd w:val="clear" w:color="auto" w:fill="CCEEFF"/>
          </w:tcPr>
          <w:p>
            <w:pPr>
              <w:spacing w:after="0"/>
              <w:rPr>
                <w:sz w:val="17"/>
                <w:szCs w:val="17"/>
                <w:color w:val="auto"/>
              </w:rPr>
            </w:pPr>
          </w:p>
        </w:tc>
        <w:tc>
          <w:tcPr>
            <w:tcW w:w="48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56</w:t>
            </w:r>
          </w:p>
        </w:tc>
        <w:tc>
          <w:tcPr>
            <w:tcW w:w="26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CCEEFF"/>
            </w:tcBorders>
            <w:shd w:val="clear" w:color="auto" w:fill="CCEEFF"/>
          </w:tcPr>
          <w:p>
            <w:pPr>
              <w:spacing w:after="0"/>
              <w:rPr>
                <w:sz w:val="17"/>
                <w:szCs w:val="17"/>
                <w:color w:val="auto"/>
              </w:rPr>
            </w:pPr>
          </w:p>
        </w:tc>
        <w:tc>
          <w:tcPr>
            <w:tcW w:w="160" w:type="dxa"/>
            <w:vAlign w:val="bottom"/>
            <w:tcBorders>
              <w:top w:val="single" w:sz="8" w:color="auto"/>
            </w:tcBorders>
            <w:gridSpan w:val="2"/>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60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— </w:t>
            </w:r>
          </w:p>
        </w:tc>
        <w:tc>
          <w:tcPr>
            <w:tcW w:w="500" w:type="dxa"/>
            <w:vAlign w:val="bottom"/>
            <w:tcBorders>
              <w:top w:val="single" w:sz="8" w:color="CCEEFF"/>
              <w:left w:val="single" w:sz="8" w:color="CCEEFF"/>
            </w:tcBorders>
            <w:shd w:val="clear" w:color="auto" w:fill="CCEEFF"/>
          </w:tcPr>
          <w:p>
            <w:pPr>
              <w:spacing w:after="0"/>
              <w:rPr>
                <w:sz w:val="17"/>
                <w:szCs w:val="17"/>
                <w:color w:val="auto"/>
              </w:rPr>
            </w:pPr>
          </w:p>
        </w:tc>
        <w:tc>
          <w:tcPr>
            <w:tcW w:w="180" w:type="dxa"/>
            <w:vAlign w:val="bottom"/>
            <w:tcBorders>
              <w:top w:val="single" w:sz="8" w:color="auto"/>
            </w:tcBorders>
            <w:shd w:val="clear" w:color="auto" w:fill="CCEEFF"/>
          </w:tcPr>
          <w:p>
            <w:pPr>
              <w:spacing w:after="0" w:line="196" w:lineRule="exact"/>
              <w:rPr>
                <w:sz w:val="20"/>
                <w:szCs w:val="20"/>
                <w:color w:val="auto"/>
              </w:rPr>
            </w:pPr>
            <w:r>
              <w:rPr>
                <w:rFonts w:ascii="Arial" w:cs="Arial" w:eastAsia="Arial" w:hAnsi="Arial"/>
                <w:sz w:val="18"/>
                <w:szCs w:val="18"/>
                <w:color w:val="auto"/>
              </w:rPr>
              <w:t>$</w:t>
            </w:r>
          </w:p>
        </w:tc>
        <w:tc>
          <w:tcPr>
            <w:tcW w:w="520" w:type="dxa"/>
            <w:vAlign w:val="bottom"/>
            <w:tcBorders>
              <w:top w:val="single" w:sz="8" w:color="auto"/>
            </w:tcBorders>
            <w:shd w:val="clear" w:color="auto" w:fill="CCEEFF"/>
          </w:tcPr>
          <w:p>
            <w:pPr>
              <w:jc w:val="right"/>
              <w:spacing w:after="0" w:line="196" w:lineRule="exact"/>
              <w:rPr>
                <w:sz w:val="20"/>
                <w:szCs w:val="20"/>
                <w:color w:val="auto"/>
              </w:rPr>
            </w:pPr>
            <w:r>
              <w:rPr>
                <w:rFonts w:ascii="Arial" w:cs="Arial" w:eastAsia="Arial" w:hAnsi="Arial"/>
                <w:sz w:val="18"/>
                <w:szCs w:val="18"/>
                <w:color w:val="auto"/>
              </w:rPr>
              <w:t>181</w:t>
            </w:r>
          </w:p>
        </w:tc>
        <w:tc>
          <w:tcPr>
            <w:tcW w:w="1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Reservoir Performance</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1,700</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282</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104</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368"/>
              <w:spacing w:after="0"/>
              <w:rPr>
                <w:sz w:val="20"/>
                <w:szCs w:val="20"/>
                <w:color w:val="auto"/>
              </w:rPr>
            </w:pPr>
            <w:r>
              <w:rPr>
                <w:rFonts w:ascii="Arial" w:cs="Arial" w:eastAsia="Arial" w:hAnsi="Arial"/>
                <w:sz w:val="18"/>
                <w:szCs w:val="18"/>
                <w:color w:val="auto"/>
              </w:rPr>
              <w:t>(1)</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385</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w w:val="97"/>
              </w:rPr>
              <w:t>2,977</w:t>
            </w: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589</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164</w:t>
            </w: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1100" w:type="dxa"/>
            <w:vAlign w:val="bottom"/>
            <w:gridSpan w:val="2"/>
            <w:shd w:val="clear" w:color="auto" w:fill="CCEEFF"/>
          </w:tcPr>
          <w:p>
            <w:pPr>
              <w:jc w:val="right"/>
              <w:ind w:right="428"/>
              <w:spacing w:after="0"/>
              <w:rPr>
                <w:sz w:val="20"/>
                <w:szCs w:val="20"/>
                <w:color w:val="auto"/>
              </w:rPr>
            </w:pPr>
            <w:r>
              <w:rPr>
                <w:rFonts w:ascii="Arial" w:cs="Arial" w:eastAsia="Arial" w:hAnsi="Arial"/>
                <w:sz w:val="18"/>
                <w:szCs w:val="18"/>
                <w:color w:val="auto"/>
              </w:rPr>
              <w:t>—</w:t>
            </w: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753</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Production Systems</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00" w:type="dxa"/>
            <w:vAlign w:val="bottom"/>
            <w:gridSpan w:val="2"/>
          </w:tcPr>
          <w:p>
            <w:pPr>
              <w:jc w:val="right"/>
              <w:ind w:right="40"/>
              <w:spacing w:after="0"/>
              <w:rPr>
                <w:sz w:val="20"/>
                <w:szCs w:val="20"/>
                <w:color w:val="auto"/>
              </w:rPr>
            </w:pPr>
            <w:r>
              <w:rPr>
                <w:rFonts w:ascii="Arial" w:cs="Arial" w:eastAsia="Arial" w:hAnsi="Arial"/>
                <w:sz w:val="18"/>
                <w:szCs w:val="18"/>
                <w:b w:val="1"/>
                <w:bCs w:val="1"/>
                <w:color w:val="auto"/>
                <w:w w:val="97"/>
              </w:rPr>
              <w:t>2,841</w:t>
            </w: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471</w:t>
            </w:r>
          </w:p>
        </w:tc>
        <w:tc>
          <w:tcPr>
            <w:tcW w:w="2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90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00" w:type="dxa"/>
            <w:vAlign w:val="bottom"/>
            <w:gridSpan w:val="2"/>
          </w:tcPr>
          <w:p>
            <w:pPr>
              <w:jc w:val="right"/>
              <w:ind w:right="428"/>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18"/>
                <w:szCs w:val="18"/>
                <w:color w:val="auto"/>
              </w:rPr>
            </w:pP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561</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rPr>
                <w:sz w:val="20"/>
                <w:szCs w:val="20"/>
                <w:color w:val="auto"/>
              </w:rPr>
            </w:pPr>
            <w:r>
              <w:rPr>
                <w:rFonts w:ascii="Arial" w:cs="Arial" w:eastAsia="Arial" w:hAnsi="Arial"/>
                <w:sz w:val="18"/>
                <w:szCs w:val="18"/>
                <w:color w:val="auto"/>
              </w:rPr>
              <w:t>All Other</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500" w:type="dxa"/>
            <w:vAlign w:val="bottom"/>
            <w:tcBorders>
              <w:right w:val="single" w:sz="8" w:color="CCEEFF"/>
            </w:tcBorders>
            <w:gridSpan w:val="2"/>
            <w:shd w:val="clear" w:color="auto" w:fill="CCEEFF"/>
          </w:tcPr>
          <w:p>
            <w:pPr>
              <w:jc w:val="right"/>
              <w:ind w:right="40"/>
              <w:spacing w:after="0"/>
              <w:rPr>
                <w:sz w:val="20"/>
                <w:szCs w:val="20"/>
                <w:color w:val="auto"/>
              </w:rPr>
            </w:pPr>
            <w:r>
              <w:rPr>
                <w:rFonts w:ascii="Arial" w:cs="Arial" w:eastAsia="Arial" w:hAnsi="Arial"/>
                <w:sz w:val="18"/>
                <w:szCs w:val="18"/>
                <w:b w:val="1"/>
                <w:bCs w:val="1"/>
                <w:color w:val="auto"/>
              </w:rPr>
              <w:t>562</w:t>
            </w: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162</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111</w:t>
            </w: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8"/>
                <w:szCs w:val="18"/>
                <w:color w:val="auto"/>
              </w:rPr>
              <w:t>3</w:t>
            </w:r>
          </w:p>
        </w:tc>
        <w:tc>
          <w:tcPr>
            <w:tcW w:w="5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40" w:type="dxa"/>
            <w:vAlign w:val="bottom"/>
            <w:gridSpan w:val="2"/>
            <w:shd w:val="clear" w:color="auto" w:fill="CCEEFF"/>
          </w:tcPr>
          <w:p>
            <w:pPr>
              <w:jc w:val="right"/>
              <w:ind w:right="120"/>
              <w:spacing w:after="0"/>
              <w:rPr>
                <w:sz w:val="20"/>
                <w:szCs w:val="20"/>
                <w:color w:val="auto"/>
              </w:rPr>
            </w:pPr>
            <w:r>
              <w:rPr>
                <w:rFonts w:ascii="Arial" w:cs="Arial" w:eastAsia="Arial" w:hAnsi="Arial"/>
                <w:sz w:val="18"/>
                <w:szCs w:val="18"/>
                <w:color w:val="auto"/>
              </w:rPr>
              <w:t>276</w:t>
            </w: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Eliminations &amp; other</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60" w:type="dxa"/>
            <w:vAlign w:val="bottom"/>
            <w:gridSpan w:val="3"/>
          </w:tcPr>
          <w:p>
            <w:pPr>
              <w:jc w:val="right"/>
              <w:ind w:right="240"/>
              <w:spacing w:after="0"/>
              <w:rPr>
                <w:sz w:val="20"/>
                <w:szCs w:val="20"/>
                <w:color w:val="auto"/>
              </w:rPr>
            </w:pPr>
            <w:r>
              <w:rPr>
                <w:rFonts w:ascii="Arial" w:cs="Arial" w:eastAsia="Arial" w:hAnsi="Arial"/>
                <w:sz w:val="18"/>
                <w:szCs w:val="18"/>
                <w:b w:val="1"/>
                <w:bCs w:val="1"/>
                <w:color w:val="auto"/>
              </w:rPr>
              <w:t>(177)</w:t>
            </w: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(73)</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70</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8"/>
                <w:szCs w:val="18"/>
                <w:color w:val="auto"/>
              </w:rPr>
              <w:t>1</w:t>
            </w: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(2)</w:t>
            </w:r>
          </w:p>
        </w:tc>
        <w:tc>
          <w:tcPr>
            <w:tcW w:w="0" w:type="dxa"/>
            <w:vAlign w:val="bottom"/>
          </w:tcPr>
          <w:p>
            <w:pPr>
              <w:spacing w:after="0"/>
              <w:rPr>
                <w:sz w:val="1"/>
                <w:szCs w:val="1"/>
                <w:color w:val="auto"/>
              </w:rPr>
            </w:pPr>
          </w:p>
        </w:tc>
      </w:tr>
      <w:tr>
        <w:trPr>
          <w:trHeight w:val="27"/>
        </w:trPr>
        <w:tc>
          <w:tcPr>
            <w:tcW w:w="4780" w:type="dxa"/>
            <w:vAlign w:val="bottom"/>
          </w:tcPr>
          <w:p>
            <w:pPr>
              <w:spacing w:after="0"/>
              <w:rPr>
                <w:sz w:val="2"/>
                <w:szCs w:val="2"/>
                <w:color w:val="auto"/>
              </w:rPr>
            </w:pPr>
          </w:p>
        </w:tc>
        <w:tc>
          <w:tcPr>
            <w:tcW w:w="2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460" w:type="dxa"/>
            <w:vAlign w:val="bottom"/>
          </w:tcPr>
          <w:p>
            <w:pPr>
              <w:spacing w:after="0"/>
              <w:rPr>
                <w:sz w:val="2"/>
                <w:szCs w:val="2"/>
                <w:color w:val="auto"/>
              </w:rPr>
            </w:pPr>
          </w:p>
        </w:tc>
        <w:tc>
          <w:tcPr>
            <w:tcW w:w="40" w:type="dxa"/>
            <w:vAlign w:val="bottom"/>
          </w:tcPr>
          <w:p>
            <w:pPr>
              <w:spacing w:after="0"/>
              <w:rPr>
                <w:sz w:val="2"/>
                <w:szCs w:val="2"/>
                <w:color w:val="auto"/>
              </w:rPr>
            </w:pPr>
          </w:p>
        </w:tc>
        <w:tc>
          <w:tcPr>
            <w:tcW w:w="260" w:type="dxa"/>
            <w:vAlign w:val="bottom"/>
          </w:tcPr>
          <w:p>
            <w:pPr>
              <w:spacing w:after="0"/>
              <w:rPr>
                <w:sz w:val="2"/>
                <w:szCs w:val="2"/>
                <w:color w:val="auto"/>
              </w:rPr>
            </w:pPr>
          </w:p>
        </w:tc>
        <w:tc>
          <w:tcPr>
            <w:tcW w:w="240" w:type="dxa"/>
            <w:vAlign w:val="bottom"/>
            <w:tcBorders>
              <w:right w:val="single" w:sz="8" w:color="auto"/>
            </w:tcBorders>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8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300" w:type="dxa"/>
            <w:vAlign w:val="bottom"/>
          </w:tcPr>
          <w:p>
            <w:pPr>
              <w:spacing w:after="0"/>
              <w:rPr>
                <w:sz w:val="2"/>
                <w:szCs w:val="2"/>
                <w:color w:val="auto"/>
              </w:rPr>
            </w:pPr>
          </w:p>
        </w:tc>
        <w:tc>
          <w:tcPr>
            <w:tcW w:w="60" w:type="dxa"/>
            <w:vAlign w:val="bottom"/>
          </w:tcPr>
          <w:p>
            <w:pPr>
              <w:spacing w:after="0"/>
              <w:rPr>
                <w:sz w:val="2"/>
                <w:szCs w:val="2"/>
                <w:color w:val="auto"/>
              </w:rPr>
            </w:pPr>
          </w:p>
        </w:tc>
        <w:tc>
          <w:tcPr>
            <w:tcW w:w="420" w:type="dxa"/>
            <w:vAlign w:val="bottom"/>
          </w:tcPr>
          <w:p>
            <w:pPr>
              <w:spacing w:after="0"/>
              <w:rPr>
                <w:sz w:val="2"/>
                <w:szCs w:val="2"/>
                <w:color w:val="auto"/>
              </w:rPr>
            </w:pPr>
          </w:p>
        </w:tc>
        <w:tc>
          <w:tcPr>
            <w:tcW w:w="620" w:type="dxa"/>
            <w:vAlign w:val="bottom"/>
          </w:tcPr>
          <w:p>
            <w:pPr>
              <w:spacing w:after="0"/>
              <w:rPr>
                <w:sz w:val="2"/>
                <w:szCs w:val="2"/>
                <w:color w:val="auto"/>
              </w:rPr>
            </w:pPr>
          </w:p>
        </w:tc>
        <w:tc>
          <w:tcPr>
            <w:tcW w:w="260" w:type="dxa"/>
            <w:vAlign w:val="bottom"/>
          </w:tcPr>
          <w:p>
            <w:pPr>
              <w:spacing w:after="0"/>
              <w:rPr>
                <w:sz w:val="2"/>
                <w:szCs w:val="2"/>
                <w:color w:val="auto"/>
              </w:rPr>
            </w:pPr>
          </w:p>
        </w:tc>
        <w:tc>
          <w:tcPr>
            <w:tcW w:w="180" w:type="dxa"/>
            <w:vAlign w:val="bottom"/>
          </w:tcPr>
          <w:p>
            <w:pPr>
              <w:spacing w:after="0"/>
              <w:rPr>
                <w:sz w:val="2"/>
                <w:szCs w:val="2"/>
                <w:color w:val="auto"/>
              </w:rPr>
            </w:pPr>
          </w:p>
        </w:tc>
        <w:tc>
          <w:tcPr>
            <w:tcW w:w="60" w:type="dxa"/>
            <w:vAlign w:val="bottom"/>
          </w:tcPr>
          <w:p>
            <w:pPr>
              <w:spacing w:after="0"/>
              <w:rPr>
                <w:sz w:val="2"/>
                <w:szCs w:val="2"/>
                <w:color w:val="auto"/>
              </w:rPr>
            </w:pPr>
          </w:p>
        </w:tc>
        <w:tc>
          <w:tcPr>
            <w:tcW w:w="100" w:type="dxa"/>
            <w:vAlign w:val="bottom"/>
          </w:tcPr>
          <w:p>
            <w:pPr>
              <w:spacing w:after="0"/>
              <w:rPr>
                <w:sz w:val="2"/>
                <w:szCs w:val="2"/>
                <w:color w:val="auto"/>
              </w:rPr>
            </w:pPr>
          </w:p>
        </w:tc>
        <w:tc>
          <w:tcPr>
            <w:tcW w:w="600" w:type="dxa"/>
            <w:vAlign w:val="bottom"/>
          </w:tcPr>
          <w:p>
            <w:pPr>
              <w:spacing w:after="0"/>
              <w:rPr>
                <w:sz w:val="2"/>
                <w:szCs w:val="2"/>
                <w:color w:val="auto"/>
              </w:rPr>
            </w:pPr>
          </w:p>
        </w:tc>
        <w:tc>
          <w:tcPr>
            <w:tcW w:w="500" w:type="dxa"/>
            <w:vAlign w:val="bottom"/>
          </w:tcPr>
          <w:p>
            <w:pPr>
              <w:spacing w:after="0"/>
              <w:rPr>
                <w:sz w:val="2"/>
                <w:szCs w:val="2"/>
                <w:color w:val="auto"/>
              </w:rPr>
            </w:pPr>
          </w:p>
        </w:tc>
        <w:tc>
          <w:tcPr>
            <w:tcW w:w="180" w:type="dxa"/>
            <w:vAlign w:val="bottom"/>
          </w:tcPr>
          <w:p>
            <w:pPr>
              <w:spacing w:after="0"/>
              <w:rPr>
                <w:sz w:val="2"/>
                <w:szCs w:val="2"/>
                <w:color w:val="auto"/>
              </w:rPr>
            </w:pPr>
          </w:p>
        </w:tc>
        <w:tc>
          <w:tcPr>
            <w:tcW w:w="520" w:type="dxa"/>
            <w:vAlign w:val="bottom"/>
          </w:tcPr>
          <w:p>
            <w:pPr>
              <w:spacing w:after="0"/>
              <w:rPr>
                <w:sz w:val="2"/>
                <w:szCs w:val="2"/>
                <w:color w:val="auto"/>
              </w:rPr>
            </w:pPr>
          </w:p>
        </w:tc>
        <w:tc>
          <w:tcPr>
            <w:tcW w:w="1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4780" w:type="dxa"/>
            <w:vAlign w:val="bottom"/>
            <w:shd w:val="clear" w:color="auto" w:fill="CCEEFF"/>
          </w:tcPr>
          <w:p>
            <w:pPr>
              <w:ind w:left="360"/>
              <w:spacing w:after="0"/>
              <w:rPr>
                <w:sz w:val="20"/>
                <w:szCs w:val="20"/>
                <w:color w:val="auto"/>
              </w:rPr>
            </w:pPr>
            <w:r>
              <w:rPr>
                <w:rFonts w:ascii="Arial" w:cs="Arial" w:eastAsia="Arial" w:hAnsi="Arial"/>
                <w:sz w:val="18"/>
                <w:szCs w:val="18"/>
                <w:color w:val="auto"/>
              </w:rPr>
              <w:t>Pretax segment operating income</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1,556</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rPr>
                <w:sz w:val="20"/>
                <w:szCs w:val="20"/>
                <w:color w:val="auto"/>
              </w:rPr>
            </w:pPr>
            <w:r>
              <w:rPr>
                <w:rFonts w:ascii="Arial" w:cs="Arial" w:eastAsia="Arial" w:hAnsi="Arial"/>
                <w:sz w:val="18"/>
                <w:szCs w:val="18"/>
                <w:color w:val="auto"/>
              </w:rPr>
              <w:t>Corporate &amp; other</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(179)</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45</w:t>
            </w: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40" w:type="dxa"/>
            <w:vAlign w:val="bottom"/>
            <w:gridSpan w:val="2"/>
          </w:tcPr>
          <w:p>
            <w:pPr>
              <w:jc w:val="right"/>
              <w:ind w:right="60"/>
              <w:spacing w:after="0"/>
              <w:rPr>
                <w:sz w:val="20"/>
                <w:szCs w:val="20"/>
                <w:color w:val="auto"/>
              </w:rPr>
            </w:pPr>
            <w:r>
              <w:rPr>
                <w:rFonts w:ascii="Arial" w:cs="Arial" w:eastAsia="Arial" w:hAnsi="Arial"/>
                <w:sz w:val="18"/>
                <w:szCs w:val="18"/>
                <w:color w:val="auto"/>
              </w:rPr>
              <w:t>(134)</w:t>
            </w: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Interest income </w:t>
            </w:r>
            <w:r>
              <w:rPr>
                <w:rFonts w:ascii="Arial" w:cs="Arial" w:eastAsia="Arial" w:hAnsi="Arial"/>
                <w:sz w:val="25"/>
                <w:szCs w:val="25"/>
                <w:color w:val="auto"/>
                <w:vertAlign w:val="superscript"/>
              </w:rPr>
              <w:t>(1)</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36</w:t>
            </w:r>
          </w:p>
        </w:tc>
        <w:tc>
          <w:tcPr>
            <w:tcW w:w="200" w:type="dxa"/>
            <w:vAlign w:val="bottom"/>
            <w:tcBorders>
              <w:left w:val="single" w:sz="8" w:color="CCEEFF"/>
            </w:tcBorders>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tcPr>
          <w:p>
            <w:pPr>
              <w:spacing w:after="0" w:line="216" w:lineRule="exact"/>
              <w:rPr>
                <w:sz w:val="20"/>
                <w:szCs w:val="20"/>
                <w:color w:val="auto"/>
              </w:rPr>
            </w:pPr>
            <w:r>
              <w:rPr>
                <w:rFonts w:ascii="Arial" w:cs="Arial" w:eastAsia="Arial" w:hAnsi="Arial"/>
                <w:sz w:val="17"/>
                <w:szCs w:val="17"/>
                <w:color w:val="auto"/>
              </w:rPr>
              <w:t xml:space="preserve">Interest expense </w:t>
            </w:r>
            <w:r>
              <w:rPr>
                <w:rFonts w:ascii="Arial" w:cs="Arial" w:eastAsia="Arial" w:hAnsi="Arial"/>
                <w:sz w:val="25"/>
                <w:szCs w:val="25"/>
                <w:color w:val="auto"/>
                <w:vertAlign w:val="superscript"/>
              </w:rPr>
              <w:t>(1)</w:t>
            </w:r>
          </w:p>
        </w:tc>
        <w:tc>
          <w:tcPr>
            <w:tcW w:w="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980" w:type="dxa"/>
            <w:vAlign w:val="bottom"/>
            <w:gridSpan w:val="2"/>
          </w:tcPr>
          <w:p>
            <w:pPr>
              <w:jc w:val="right"/>
              <w:ind w:right="140"/>
              <w:spacing w:after="0"/>
              <w:rPr>
                <w:sz w:val="20"/>
                <w:szCs w:val="20"/>
                <w:color w:val="auto"/>
              </w:rPr>
            </w:pPr>
            <w:r>
              <w:rPr>
                <w:rFonts w:ascii="Arial" w:cs="Arial" w:eastAsia="Arial" w:hAnsi="Arial"/>
                <w:sz w:val="18"/>
                <w:szCs w:val="18"/>
                <w:b w:val="1"/>
                <w:bCs w:val="1"/>
                <w:color w:val="auto"/>
              </w:rPr>
              <w:t>(144)</w:t>
            </w:r>
          </w:p>
        </w:tc>
        <w:tc>
          <w:tcPr>
            <w:tcW w:w="30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4780" w:type="dxa"/>
            <w:vAlign w:val="bottom"/>
            <w:shd w:val="clear" w:color="auto" w:fill="CCEEFF"/>
          </w:tcPr>
          <w:p>
            <w:pPr>
              <w:spacing w:after="0" w:line="216" w:lineRule="exact"/>
              <w:rPr>
                <w:sz w:val="20"/>
                <w:szCs w:val="20"/>
                <w:color w:val="auto"/>
              </w:rPr>
            </w:pPr>
            <w:r>
              <w:rPr>
                <w:rFonts w:ascii="Arial" w:cs="Arial" w:eastAsia="Arial" w:hAnsi="Arial"/>
                <w:sz w:val="17"/>
                <w:szCs w:val="17"/>
                <w:color w:val="auto"/>
              </w:rPr>
              <w:t xml:space="preserve">Charges &amp; credits </w:t>
            </w:r>
            <w:r>
              <w:rPr>
                <w:rFonts w:ascii="Arial" w:cs="Arial" w:eastAsia="Arial" w:hAnsi="Arial"/>
                <w:sz w:val="25"/>
                <w:szCs w:val="25"/>
                <w:color w:val="auto"/>
                <w:vertAlign w:val="superscript"/>
              </w:rPr>
              <w:t>(2)</w:t>
            </w:r>
          </w:p>
        </w:tc>
        <w:tc>
          <w:tcPr>
            <w:tcW w:w="20" w:type="dxa"/>
            <w:vAlign w:val="bottom"/>
            <w:shd w:val="clear" w:color="auto" w:fill="CCEEFF"/>
          </w:tcPr>
          <w:p>
            <w:pPr>
              <w:spacing w:after="0"/>
              <w:rPr>
                <w:sz w:val="18"/>
                <w:szCs w:val="18"/>
                <w:color w:val="auto"/>
              </w:rPr>
            </w:pPr>
          </w:p>
        </w:tc>
        <w:tc>
          <w:tcPr>
            <w:tcW w:w="4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 w:type="dxa"/>
            <w:vAlign w:val="bottom"/>
            <w:tcBorders>
              <w:right w:val="single" w:sz="8" w:color="CCEEFF"/>
            </w:tcBorders>
            <w:shd w:val="clear" w:color="auto" w:fill="CCEEFF"/>
          </w:tcPr>
          <w:p>
            <w:pPr>
              <w:spacing w:after="0"/>
              <w:rPr>
                <w:sz w:val="18"/>
                <w:szCs w:val="18"/>
                <w:color w:val="auto"/>
              </w:rPr>
            </w:pPr>
          </w:p>
        </w:tc>
        <w:tc>
          <w:tcPr>
            <w:tcW w:w="260" w:type="dxa"/>
            <w:vAlign w:val="bottom"/>
            <w:shd w:val="clear" w:color="auto" w:fill="CCEEFF"/>
          </w:tcPr>
          <w:p>
            <w:pPr>
              <w:spacing w:after="0"/>
              <w:rPr>
                <w:sz w:val="18"/>
                <w:szCs w:val="18"/>
                <w:color w:val="auto"/>
              </w:rPr>
            </w:pPr>
          </w:p>
        </w:tc>
        <w:tc>
          <w:tcPr>
            <w:tcW w:w="240" w:type="dxa"/>
            <w:vAlign w:val="bottom"/>
            <w:tcBorders>
              <w:righ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980" w:type="dxa"/>
            <w:vAlign w:val="bottom"/>
            <w:gridSpan w:val="2"/>
            <w:shd w:val="clear" w:color="auto" w:fill="CCEEFF"/>
          </w:tcPr>
          <w:p>
            <w:pPr>
              <w:jc w:val="right"/>
              <w:ind w:right="140"/>
              <w:spacing w:after="0"/>
              <w:rPr>
                <w:sz w:val="20"/>
                <w:szCs w:val="20"/>
                <w:color w:val="auto"/>
              </w:rPr>
            </w:pPr>
            <w:r>
              <w:rPr>
                <w:rFonts w:ascii="Arial" w:cs="Arial" w:eastAsia="Arial" w:hAnsi="Arial"/>
                <w:sz w:val="18"/>
                <w:szCs w:val="18"/>
                <w:b w:val="1"/>
                <w:bCs w:val="1"/>
                <w:color w:val="auto"/>
              </w:rPr>
              <w:t>(206)</w:t>
            </w:r>
          </w:p>
        </w:tc>
        <w:tc>
          <w:tcPr>
            <w:tcW w:w="30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420" w:type="dxa"/>
            <w:vAlign w:val="bottom"/>
            <w:shd w:val="clear" w:color="auto" w:fill="CCEEFF"/>
          </w:tcPr>
          <w:p>
            <w:pPr>
              <w:spacing w:after="0"/>
              <w:rPr>
                <w:sz w:val="18"/>
                <w:szCs w:val="18"/>
                <w:color w:val="auto"/>
              </w:rPr>
            </w:pPr>
          </w:p>
        </w:tc>
        <w:tc>
          <w:tcPr>
            <w:tcW w:w="620" w:type="dxa"/>
            <w:vAlign w:val="bottom"/>
            <w:shd w:val="clear" w:color="auto" w:fill="CCEEFF"/>
          </w:tcPr>
          <w:p>
            <w:pPr>
              <w:spacing w:after="0"/>
              <w:rPr>
                <w:sz w:val="18"/>
                <w:szCs w:val="18"/>
                <w:color w:val="auto"/>
              </w:rPr>
            </w:pPr>
          </w:p>
        </w:tc>
        <w:tc>
          <w:tcPr>
            <w:tcW w:w="26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600" w:type="dxa"/>
            <w:vAlign w:val="bottom"/>
            <w:shd w:val="clear" w:color="auto" w:fill="CCEEFF"/>
          </w:tcPr>
          <w:p>
            <w:pPr>
              <w:spacing w:after="0"/>
              <w:rPr>
                <w:sz w:val="18"/>
                <w:szCs w:val="18"/>
                <w:color w:val="auto"/>
              </w:rPr>
            </w:pPr>
          </w:p>
        </w:tc>
        <w:tc>
          <w:tcPr>
            <w:tcW w:w="500" w:type="dxa"/>
            <w:vAlign w:val="bottom"/>
            <w:tcBorders>
              <w:left w:val="single" w:sz="8" w:color="CCEEFF"/>
            </w:tcBorders>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5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00" w:type="dxa"/>
            <w:vAlign w:val="bottom"/>
            <w:gridSpan w:val="3"/>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Borders>
              <w:right w:val="single" w:sz="8" w:color="auto"/>
            </w:tcBorders>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80" w:type="dxa"/>
            <w:vAlign w:val="bottom"/>
            <w:gridSpan w:val="2"/>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60" w:type="dxa"/>
            <w:vAlign w:val="bottom"/>
            <w:gridSpan w:val="2"/>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52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4780" w:type="dxa"/>
            <w:vAlign w:val="bottom"/>
          </w:tcPr>
          <w:p>
            <w:pPr>
              <w:spacing w:after="0"/>
              <w:rPr>
                <w:sz w:val="19"/>
                <w:szCs w:val="19"/>
                <w:color w:val="auto"/>
              </w:rPr>
            </w:pPr>
          </w:p>
        </w:tc>
        <w:tc>
          <w:tcPr>
            <w:tcW w:w="660" w:type="dxa"/>
            <w:vAlign w:val="bottom"/>
            <w:gridSpan w:val="5"/>
          </w:tcPr>
          <w:p>
            <w:pPr>
              <w:jc w:val="right"/>
              <w:ind w:right="40"/>
              <w:spacing w:after="0"/>
              <w:rPr>
                <w:sz w:val="20"/>
                <w:szCs w:val="20"/>
                <w:color w:val="auto"/>
              </w:rPr>
            </w:pPr>
            <w:r>
              <w:rPr>
                <w:rFonts w:ascii="Arial" w:cs="Arial" w:eastAsia="Arial" w:hAnsi="Arial"/>
                <w:sz w:val="18"/>
                <w:szCs w:val="18"/>
                <w:b w:val="1"/>
                <w:bCs w:val="1"/>
                <w:color w:val="auto"/>
                <w:w w:val="99"/>
              </w:rPr>
              <w:t>$ 8,490</w:t>
            </w:r>
          </w:p>
        </w:tc>
        <w:tc>
          <w:tcPr>
            <w:tcW w:w="260" w:type="dxa"/>
            <w:vAlign w:val="bottom"/>
          </w:tcPr>
          <w:p>
            <w:pPr>
              <w:spacing w:after="0"/>
              <w:rPr>
                <w:sz w:val="19"/>
                <w:szCs w:val="19"/>
                <w:color w:val="auto"/>
              </w:rPr>
            </w:pPr>
          </w:p>
        </w:tc>
        <w:tc>
          <w:tcPr>
            <w:tcW w:w="420" w:type="dxa"/>
            <w:vAlign w:val="bottom"/>
            <w:gridSpan w:val="2"/>
          </w:tcPr>
          <w:p>
            <w:pPr>
              <w:ind w:left="200"/>
              <w:spacing w:after="0"/>
              <w:rPr>
                <w:sz w:val="20"/>
                <w:szCs w:val="20"/>
                <w:color w:val="auto"/>
              </w:rPr>
            </w:pPr>
            <w:r>
              <w:rPr>
                <w:rFonts w:ascii="Arial" w:cs="Arial" w:eastAsia="Arial" w:hAnsi="Arial"/>
                <w:sz w:val="18"/>
                <w:szCs w:val="18"/>
                <w:b w:val="1"/>
                <w:bCs w:val="1"/>
                <w:color w:val="auto"/>
              </w:rPr>
              <w:t>$</w:t>
            </w:r>
          </w:p>
        </w:tc>
        <w:tc>
          <w:tcPr>
            <w:tcW w:w="780" w:type="dxa"/>
            <w:vAlign w:val="bottom"/>
          </w:tcPr>
          <w:p>
            <w:pPr>
              <w:jc w:val="right"/>
              <w:spacing w:after="0"/>
              <w:rPr>
                <w:sz w:val="20"/>
                <w:szCs w:val="20"/>
                <w:color w:val="auto"/>
              </w:rPr>
            </w:pPr>
            <w:r>
              <w:rPr>
                <w:rFonts w:ascii="Arial" w:cs="Arial" w:eastAsia="Arial" w:hAnsi="Arial"/>
                <w:sz w:val="18"/>
                <w:szCs w:val="18"/>
                <w:b w:val="1"/>
                <w:bCs w:val="1"/>
                <w:color w:val="auto"/>
              </w:rPr>
              <w:t>1,063</w:t>
            </w:r>
          </w:p>
        </w:tc>
        <w:tc>
          <w:tcPr>
            <w:tcW w:w="200" w:type="dxa"/>
            <w:vAlign w:val="bottom"/>
          </w:tcPr>
          <w:p>
            <w:pPr>
              <w:spacing w:after="0"/>
              <w:rPr>
                <w:sz w:val="19"/>
                <w:szCs w:val="19"/>
                <w:color w:val="auto"/>
              </w:rPr>
            </w:pPr>
          </w:p>
        </w:tc>
        <w:tc>
          <w:tcPr>
            <w:tcW w:w="780" w:type="dxa"/>
            <w:vAlign w:val="bottom"/>
            <w:gridSpan w:val="3"/>
          </w:tcPr>
          <w:p>
            <w:pPr>
              <w:ind w:left="300"/>
              <w:spacing w:after="0"/>
              <w:rPr>
                <w:sz w:val="20"/>
                <w:szCs w:val="20"/>
                <w:color w:val="auto"/>
              </w:rPr>
            </w:pPr>
            <w:r>
              <w:rPr>
                <w:rFonts w:ascii="Arial" w:cs="Arial" w:eastAsia="Arial" w:hAnsi="Arial"/>
                <w:sz w:val="18"/>
                <w:szCs w:val="18"/>
                <w:color w:val="auto"/>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640</w:t>
            </w:r>
          </w:p>
        </w:tc>
        <w:tc>
          <w:tcPr>
            <w:tcW w:w="260" w:type="dxa"/>
            <w:vAlign w:val="bottom"/>
          </w:tcPr>
          <w:p>
            <w:pPr>
              <w:spacing w:after="0"/>
              <w:rPr>
                <w:sz w:val="19"/>
                <w:szCs w:val="19"/>
                <w:color w:val="auto"/>
              </w:rPr>
            </w:pPr>
          </w:p>
        </w:tc>
        <w:tc>
          <w:tcPr>
            <w:tcW w:w="340" w:type="dxa"/>
            <w:vAlign w:val="bottom"/>
            <w:gridSpan w:val="3"/>
          </w:tcPr>
          <w:p>
            <w:pPr>
              <w:ind w:left="180"/>
              <w:spacing w:after="0"/>
              <w:rPr>
                <w:sz w:val="20"/>
                <w:szCs w:val="20"/>
                <w:color w:val="auto"/>
              </w:rPr>
            </w:pPr>
            <w:r>
              <w:rPr>
                <w:rFonts w:ascii="Arial" w:cs="Arial" w:eastAsia="Arial" w:hAnsi="Arial"/>
                <w:sz w:val="18"/>
                <w:szCs w:val="18"/>
                <w:color w:val="auto"/>
              </w:rPr>
              <w:t>$</w:t>
            </w:r>
          </w:p>
        </w:tc>
        <w:tc>
          <w:tcPr>
            <w:tcW w:w="600" w:type="dxa"/>
            <w:vAlign w:val="bottom"/>
          </w:tcPr>
          <w:p>
            <w:pPr>
              <w:jc w:val="right"/>
              <w:spacing w:after="0"/>
              <w:rPr>
                <w:sz w:val="20"/>
                <w:szCs w:val="20"/>
                <w:color w:val="auto"/>
              </w:rPr>
            </w:pPr>
            <w:r>
              <w:rPr>
                <w:rFonts w:ascii="Arial" w:cs="Arial" w:eastAsia="Arial" w:hAnsi="Arial"/>
                <w:sz w:val="18"/>
                <w:szCs w:val="18"/>
                <w:color w:val="auto"/>
              </w:rPr>
              <w:t>3</w:t>
            </w:r>
          </w:p>
        </w:tc>
        <w:tc>
          <w:tcPr>
            <w:tcW w:w="500" w:type="dxa"/>
            <w:vAlign w:val="bottom"/>
          </w:tcPr>
          <w:p>
            <w:pPr>
              <w:spacing w:after="0"/>
              <w:rPr>
                <w:sz w:val="19"/>
                <w:szCs w:val="19"/>
                <w:color w:val="auto"/>
              </w:rPr>
            </w:pPr>
          </w:p>
        </w:tc>
        <w:tc>
          <w:tcPr>
            <w:tcW w:w="180" w:type="dxa"/>
            <w:vAlign w:val="bottom"/>
          </w:tcPr>
          <w:p>
            <w:pPr>
              <w:spacing w:after="0"/>
              <w:rPr>
                <w:sz w:val="20"/>
                <w:szCs w:val="20"/>
                <w:color w:val="auto"/>
              </w:rPr>
            </w:pPr>
            <w:r>
              <w:rPr>
                <w:rFonts w:ascii="Arial" w:cs="Arial" w:eastAsia="Arial" w:hAnsi="Arial"/>
                <w:sz w:val="18"/>
                <w:szCs w:val="18"/>
                <w:color w:val="auto"/>
              </w:rPr>
              <w:t>$</w:t>
            </w:r>
          </w:p>
        </w:tc>
        <w:tc>
          <w:tcPr>
            <w:tcW w:w="640" w:type="dxa"/>
            <w:vAlign w:val="bottom"/>
            <w:gridSpan w:val="2"/>
          </w:tcPr>
          <w:p>
            <w:pPr>
              <w:jc w:val="right"/>
              <w:ind w:right="120"/>
              <w:spacing w:after="0"/>
              <w:rPr>
                <w:sz w:val="20"/>
                <w:szCs w:val="20"/>
                <w:color w:val="auto"/>
              </w:rPr>
            </w:pPr>
            <w:r>
              <w:rPr>
                <w:rFonts w:ascii="Arial" w:cs="Arial" w:eastAsia="Arial" w:hAnsi="Arial"/>
                <w:sz w:val="18"/>
                <w:szCs w:val="18"/>
                <w:color w:val="auto"/>
              </w:rPr>
              <w:t>2,020</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Borders>
              <w:top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420" w:type="dxa"/>
            <w:vAlign w:val="bottom"/>
            <w:tcBorders>
              <w:top w:val="single" w:sz="8" w:color="auto"/>
              <w:bottom w:val="single" w:sz="8" w:color="auto"/>
            </w:tcBorders>
          </w:tcPr>
          <w:p>
            <w:pPr>
              <w:spacing w:after="0" w:line="20" w:lineRule="exact"/>
              <w:rPr>
                <w:sz w:val="1"/>
                <w:szCs w:val="1"/>
                <w:color w:val="auto"/>
              </w:rPr>
            </w:pPr>
          </w:p>
        </w:tc>
        <w:tc>
          <w:tcPr>
            <w:tcW w:w="6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60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52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48" w:lineRule="exact"/>
        <w:rPr>
          <w:sz w:val="20"/>
          <w:szCs w:val="20"/>
          <w:color w:val="auto"/>
        </w:rPr>
      </w:pPr>
    </w:p>
    <w:p>
      <w:pPr>
        <w:ind w:left="424" w:hanging="424"/>
        <w:spacing w:after="0"/>
        <w:tabs>
          <w:tab w:leader="none" w:pos="424"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Excludes amounts which are included in the segments’ results.</w:t>
      </w:r>
    </w:p>
    <w:p>
      <w:pPr>
        <w:ind w:left="424" w:hanging="424"/>
        <w:spacing w:after="0" w:line="183" w:lineRule="auto"/>
        <w:tabs>
          <w:tab w:leader="none" w:pos="424"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See section entitled “Charges &amp; Credits” for details.</w:t>
      </w:r>
    </w:p>
    <w:p>
      <w:pPr>
        <w:ind w:left="424" w:hanging="424"/>
        <w:spacing w:after="0" w:line="183" w:lineRule="auto"/>
        <w:tabs>
          <w:tab w:leader="none" w:pos="424"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Includes depreciation of fixed assets and amortization of intangible assets, APS and exploration data costs.</w:t>
      </w:r>
    </w:p>
    <w:p>
      <w:pPr>
        <w:ind w:left="424" w:hanging="424"/>
        <w:spacing w:after="0" w:line="183" w:lineRule="auto"/>
        <w:tabs>
          <w:tab w:leader="none" w:pos="424" w:val="left"/>
        </w:tabs>
        <w:numPr>
          <w:ilvl w:val="0"/>
          <w:numId w:val="22"/>
        </w:numPr>
        <w:rPr>
          <w:rFonts w:ascii="Arial" w:cs="Arial" w:eastAsia="Arial" w:hAnsi="Arial"/>
          <w:sz w:val="23"/>
          <w:szCs w:val="23"/>
          <w:color w:val="auto"/>
          <w:vertAlign w:val="superscript"/>
        </w:rPr>
      </w:pPr>
      <w:r>
        <w:rPr>
          <w:rFonts w:ascii="Arial" w:cs="Arial" w:eastAsia="Arial" w:hAnsi="Arial"/>
          <w:sz w:val="16"/>
          <w:szCs w:val="16"/>
          <w:color w:val="auto"/>
        </w:rPr>
        <w:t>Excludes interest income and interest expense recorded at the corporate level.</w:t>
      </w:r>
    </w:p>
    <w:p>
      <w:pPr>
        <w:ind w:left="424" w:right="320" w:hanging="424"/>
        <w:spacing w:after="0" w:line="196" w:lineRule="auto"/>
        <w:tabs>
          <w:tab w:leader="none" w:pos="424" w:val="left"/>
        </w:tabs>
        <w:numPr>
          <w:ilvl w:val="0"/>
          <w:numId w:val="22"/>
        </w:numPr>
        <w:rPr>
          <w:rFonts w:ascii="Arial" w:cs="Arial" w:eastAsia="Arial" w:hAnsi="Arial"/>
          <w:sz w:val="27"/>
          <w:szCs w:val="27"/>
          <w:color w:val="auto"/>
          <w:vertAlign w:val="superscript"/>
        </w:rPr>
      </w:pPr>
      <w:r>
        <w:rPr>
          <w:rFonts w:ascii="Arial" w:cs="Arial" w:eastAsia="Arial" w:hAnsi="Arial"/>
          <w:sz w:val="18"/>
          <w:szCs w:val="18"/>
          <w:color w:val="auto"/>
        </w:rPr>
        <w:t>Adjusted EBITDA represents income before taxes excluding depreciation and amortization, interest income, interest expense and charges &amp; credits.</w:t>
      </w:r>
    </w:p>
    <w:p>
      <w:pPr>
        <w:sectPr>
          <w:pgSz w:w="11900" w:h="16838" w:orient="portrait"/>
          <w:cols w:equalWidth="0" w:num="1">
            <w:col w:w="11024"/>
          </w:cols>
          <w:pgMar w:left="436" w:top="279" w:right="439" w:bottom="1440" w:gutter="0" w:footer="0" w:header="0"/>
        </w:sectPr>
      </w:pPr>
    </w:p>
    <w:bookmarkStart w:id="26" w:name="page27"/>
    <w:bookmarkEnd w:id="26"/>
    <w:p>
      <w:pPr>
        <w:ind w:left="4"/>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74865" cy="38100"/>
                    </a:xfrm>
                    <a:prstGeom prst="rect">
                      <a:avLst/>
                    </a:prstGeom>
                    <a:noFill/>
                  </pic:spPr>
                </pic:pic>
              </a:graphicData>
            </a:graphic>
          </wp:anchor>
        </w:drawing>
        <w:t>Supplementary Information</w:t>
      </w:r>
    </w:p>
    <w:p>
      <w:pPr>
        <w:spacing w:after="0" w:line="104"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Frequently Asked Questions</w:t>
      </w:r>
    </w:p>
    <w:p>
      <w:pPr>
        <w:spacing w:after="0" w:line="117" w:lineRule="exact"/>
        <w:rPr>
          <w:sz w:val="20"/>
          <w:szCs w:val="20"/>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capital investment guidance for the full-year 2026?</w:t>
      </w:r>
    </w:p>
    <w:p>
      <w:pPr>
        <w:spacing w:after="0" w:line="103" w:lineRule="exact"/>
        <w:rPr>
          <w:rFonts w:ascii="Arial" w:cs="Arial" w:eastAsia="Arial" w:hAnsi="Arial"/>
          <w:sz w:val="18"/>
          <w:szCs w:val="18"/>
          <w:b w:val="1"/>
          <w:bCs w:val="1"/>
          <w:color w:val="auto"/>
        </w:rPr>
      </w:pPr>
    </w:p>
    <w:p>
      <w:pPr>
        <w:ind w:left="444" w:right="3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Capital investment (consisting of capex, exploration data costs and APS investments) for the full-year 2026 is still expected to be approximately $2.5 billion. Capital investment for the full-year 2025 was $2.4 billion.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cash flow from operations and free cash flow for the first quarter of 2026?</w:t>
      </w:r>
    </w:p>
    <w:p>
      <w:pPr>
        <w:spacing w:after="0" w:line="103"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Cash flow from operations for the first quarter of 2026 was $487 million and free cash flow was negative $23 million.</w:t>
      </w:r>
    </w:p>
    <w:p>
      <w:pPr>
        <w:spacing w:after="0" w:line="117" w:lineRule="exact"/>
        <w:rPr>
          <w:rFonts w:ascii="Arial" w:cs="Arial" w:eastAsia="Arial" w:hAnsi="Arial"/>
          <w:sz w:val="18"/>
          <w:szCs w:val="18"/>
          <w:b w:val="1"/>
          <w:bCs w:val="1"/>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included in “Interest &amp; other income” for the first quarter of 2026?</w:t>
      </w:r>
    </w:p>
    <w:p>
      <w:pPr>
        <w:spacing w:after="0" w:line="103" w:lineRule="exact"/>
        <w:rPr>
          <w:rFonts w:ascii="Arial" w:cs="Arial" w:eastAsia="Arial" w:hAnsi="Arial"/>
          <w:sz w:val="18"/>
          <w:szCs w:val="18"/>
          <w:b w:val="1"/>
          <w:bCs w:val="1"/>
          <w:color w:val="auto"/>
        </w:rPr>
      </w:pPr>
    </w:p>
    <w:p>
      <w:pPr>
        <w:ind w:left="444"/>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&amp; other income” for the first quarter of 2026 was $43 million. This consisted of interest income of $25 million and earnings of equity method investments of $18 million.</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did interest income and interest expense change during the first quarter of 2026?</w:t>
      </w:r>
    </w:p>
    <w:p>
      <w:pPr>
        <w:spacing w:after="0" w:line="103" w:lineRule="exact"/>
        <w:rPr>
          <w:rFonts w:ascii="Arial" w:cs="Arial" w:eastAsia="Arial" w:hAnsi="Arial"/>
          <w:sz w:val="18"/>
          <w:szCs w:val="18"/>
          <w:b w:val="1"/>
          <w:bCs w:val="1"/>
          <w:color w:val="auto"/>
        </w:rPr>
      </w:pPr>
    </w:p>
    <w:p>
      <w:pPr>
        <w:ind w:left="444" w:right="7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Interest income of $25 million for the first quarter of 2026 decreased $6 million sequentially. Interest expense of $116 million decreased $10 million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effective tax rate (ETR) for the first quarter of 2026?</w:t>
      </w:r>
    </w:p>
    <w:p>
      <w:pPr>
        <w:spacing w:after="0" w:line="103" w:lineRule="exact"/>
        <w:rPr>
          <w:rFonts w:ascii="Arial" w:cs="Arial" w:eastAsia="Arial" w:hAnsi="Arial"/>
          <w:sz w:val="18"/>
          <w:szCs w:val="18"/>
          <w:b w:val="1"/>
          <w:bCs w:val="1"/>
          <w:color w:val="auto"/>
        </w:rPr>
      </w:pPr>
    </w:p>
    <w:p>
      <w:pPr>
        <w:ind w:left="444"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ETR for the first quarter of 2026, calculated in accordance with GAAP, was 20.3% as compared to 15.2% for the fourth quarter of 2025. Excluding charges and credits, the ETR for the first quarter of 2026 was 20.3% as compared to 19.5% for the fourth quarter of 2025.</w:t>
      </w:r>
    </w:p>
    <w:p>
      <w:pPr>
        <w:spacing w:after="0" w:line="74" w:lineRule="exact"/>
        <w:rPr>
          <w:rFonts w:ascii="Arial" w:cs="Arial" w:eastAsia="Arial" w:hAnsi="Arial"/>
          <w:sz w:val="18"/>
          <w:szCs w:val="18"/>
          <w:b w:val="1"/>
          <w:bCs w:val="1"/>
          <w:color w:val="auto"/>
        </w:rPr>
      </w:pPr>
    </w:p>
    <w:p>
      <w:pPr>
        <w:ind w:left="424" w:right="260" w:hanging="424"/>
        <w:spacing w:after="0" w:line="281" w:lineRule="auto"/>
        <w:tabs>
          <w:tab w:leader="none" w:pos="424" w:val="left"/>
        </w:tabs>
        <w:numPr>
          <w:ilvl w:val="0"/>
          <w:numId w:val="23"/>
        </w:numPr>
        <w:rPr>
          <w:rFonts w:ascii="Arial" w:cs="Arial" w:eastAsia="Arial" w:hAnsi="Arial"/>
          <w:sz w:val="18"/>
          <w:szCs w:val="18"/>
          <w:b w:val="1"/>
          <w:bCs w:val="1"/>
          <w:color w:val="auto"/>
        </w:rPr>
      </w:pPr>
      <w:r>
        <w:rPr>
          <w:rFonts w:ascii="Arial" w:cs="Arial" w:eastAsia="Arial" w:hAnsi="Arial"/>
          <w:sz w:val="18"/>
          <w:szCs w:val="18"/>
          <w:b w:val="1"/>
          <w:bCs w:val="1"/>
          <w:color w:val="auto"/>
        </w:rPr>
        <w:t>How many shares of common stock were outstanding as of March 31, 2026, and how did this change from the end of the previous quarter?</w:t>
      </w:r>
    </w:p>
    <w:p>
      <w:pPr>
        <w:spacing w:after="0" w:line="2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There were 1.495 billion shares of common stock outstanding as of both March 31, 2026, and December 31, 2025.</w:t>
      </w:r>
    </w:p>
    <w:p>
      <w:pPr>
        <w:spacing w:after="0" w:line="248" w:lineRule="exact"/>
        <w:rPr>
          <w:sz w:val="20"/>
          <w:szCs w:val="20"/>
          <w:color w:val="auto"/>
        </w:rPr>
      </w:pPr>
    </w:p>
    <w:tbl>
      <w:tblPr>
        <w:tblLayout w:type="fixed"/>
        <w:tblInd w:w="1764" w:type="dxa"/>
        <w:tblCellMar>
          <w:top w:w="0" w:type="dxa"/>
          <w:left w:w="0" w:type="dxa"/>
          <w:bottom w:w="0" w:type="dxa"/>
          <w:right w:w="0" w:type="dxa"/>
        </w:tblCellMar>
      </w:tblPr>
      <w:tr>
        <w:trPr>
          <w:trHeight w:val="171"/>
        </w:trPr>
        <w:tc>
          <w:tcPr>
            <w:tcW w:w="6180" w:type="dxa"/>
            <w:vAlign w:val="bottom"/>
          </w:tcPr>
          <w:p>
            <w:pPr>
              <w:spacing w:after="0"/>
              <w:rPr>
                <w:sz w:val="14"/>
                <w:szCs w:val="14"/>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4"/>
                <w:szCs w:val="14"/>
                <w:color w:val="auto"/>
              </w:rPr>
              <w:t>(Stated in millions)</w:t>
            </w: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Shares outstanding at December 31, 2025</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1,495</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Shares issued under employee stock purchase plan</w:t>
            </w:r>
          </w:p>
        </w:tc>
        <w:tc>
          <w:tcPr>
            <w:tcW w:w="1180" w:type="dxa"/>
            <w:vAlign w:val="bottom"/>
          </w:tcPr>
          <w:p>
            <w:pPr>
              <w:jc w:val="right"/>
              <w:spacing w:after="0"/>
              <w:rPr>
                <w:sz w:val="20"/>
                <w:szCs w:val="20"/>
                <w:color w:val="auto"/>
              </w:rPr>
            </w:pPr>
            <w:r>
              <w:rPr>
                <w:rFonts w:ascii="Arial" w:cs="Arial" w:eastAsia="Arial" w:hAnsi="Arial"/>
                <w:sz w:val="18"/>
                <w:szCs w:val="18"/>
                <w:color w:val="auto"/>
              </w:rPr>
              <w:t>4</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Shares issued to optionees, less shares exchanged</w:t>
            </w:r>
          </w:p>
        </w:tc>
        <w:tc>
          <w:tcPr>
            <w:tcW w:w="118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w:t>
            </w:r>
          </w:p>
        </w:tc>
        <w:tc>
          <w:tcPr>
            <w:tcW w:w="120" w:type="dxa"/>
            <w:vAlign w:val="bottom"/>
            <w:shd w:val="clear" w:color="auto" w:fill="CCEEFF"/>
          </w:tcPr>
          <w:p>
            <w:pPr>
              <w:spacing w:after="0"/>
              <w:rPr>
                <w:sz w:val="18"/>
                <w:szCs w:val="18"/>
                <w:color w:val="auto"/>
              </w:rPr>
            </w:pPr>
          </w:p>
        </w:tc>
      </w:tr>
      <w:tr>
        <w:trPr>
          <w:trHeight w:val="216"/>
        </w:trPr>
        <w:tc>
          <w:tcPr>
            <w:tcW w:w="6180" w:type="dxa"/>
            <w:vAlign w:val="bottom"/>
          </w:tcPr>
          <w:p>
            <w:pPr>
              <w:spacing w:after="0"/>
              <w:rPr>
                <w:sz w:val="20"/>
                <w:szCs w:val="20"/>
                <w:color w:val="auto"/>
              </w:rPr>
            </w:pPr>
            <w:r>
              <w:rPr>
                <w:rFonts w:ascii="Arial" w:cs="Arial" w:eastAsia="Arial" w:hAnsi="Arial"/>
                <w:sz w:val="18"/>
                <w:szCs w:val="18"/>
                <w:color w:val="auto"/>
              </w:rPr>
              <w:t>Vesting of restricted stock</w:t>
            </w:r>
          </w:p>
        </w:tc>
        <w:tc>
          <w:tcPr>
            <w:tcW w:w="1180" w:type="dxa"/>
            <w:vAlign w:val="bottom"/>
          </w:tcPr>
          <w:p>
            <w:pPr>
              <w:jc w:val="right"/>
              <w:spacing w:after="0"/>
              <w:rPr>
                <w:sz w:val="20"/>
                <w:szCs w:val="20"/>
                <w:color w:val="auto"/>
              </w:rPr>
            </w:pPr>
            <w:r>
              <w:rPr>
                <w:rFonts w:ascii="Arial" w:cs="Arial" w:eastAsia="Arial" w:hAnsi="Arial"/>
                <w:sz w:val="18"/>
                <w:szCs w:val="18"/>
                <w:color w:val="auto"/>
              </w:rPr>
              <w:t>3</w:t>
            </w:r>
          </w:p>
        </w:tc>
        <w:tc>
          <w:tcPr>
            <w:tcW w:w="120" w:type="dxa"/>
            <w:vAlign w:val="bottom"/>
          </w:tcPr>
          <w:p>
            <w:pPr>
              <w:spacing w:after="0"/>
              <w:rPr>
                <w:sz w:val="18"/>
                <w:szCs w:val="18"/>
                <w:color w:val="auto"/>
              </w:rPr>
            </w:pPr>
          </w:p>
        </w:tc>
      </w:tr>
      <w:tr>
        <w:trPr>
          <w:trHeight w:val="216"/>
        </w:trPr>
        <w:tc>
          <w:tcPr>
            <w:tcW w:w="6180" w:type="dxa"/>
            <w:vAlign w:val="bottom"/>
            <w:shd w:val="clear" w:color="auto" w:fill="CCEEFF"/>
          </w:tcPr>
          <w:p>
            <w:pPr>
              <w:spacing w:after="0"/>
              <w:rPr>
                <w:sz w:val="20"/>
                <w:szCs w:val="20"/>
                <w:color w:val="auto"/>
              </w:rPr>
            </w:pPr>
            <w:r>
              <w:rPr>
                <w:rFonts w:ascii="Arial" w:cs="Arial" w:eastAsia="Arial" w:hAnsi="Arial"/>
                <w:sz w:val="18"/>
                <w:szCs w:val="18"/>
                <w:color w:val="auto"/>
              </w:rPr>
              <w:t>Stock repurchase program</w:t>
            </w:r>
          </w:p>
        </w:tc>
        <w:tc>
          <w:tcPr>
            <w:tcW w:w="13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(9)</w:t>
            </w:r>
          </w:p>
        </w:tc>
      </w:tr>
      <w:tr>
        <w:trPr>
          <w:trHeight w:val="223"/>
        </w:trPr>
        <w:tc>
          <w:tcPr>
            <w:tcW w:w="6180" w:type="dxa"/>
            <w:vAlign w:val="bottom"/>
          </w:tcPr>
          <w:p>
            <w:pPr>
              <w:spacing w:after="0"/>
              <w:rPr>
                <w:sz w:val="20"/>
                <w:szCs w:val="20"/>
                <w:color w:val="auto"/>
              </w:rPr>
            </w:pPr>
            <w:r>
              <w:rPr>
                <w:rFonts w:ascii="Arial" w:cs="Arial" w:eastAsia="Arial" w:hAnsi="Arial"/>
                <w:sz w:val="18"/>
                <w:szCs w:val="18"/>
                <w:color w:val="auto"/>
              </w:rPr>
              <w:t>Shares outstanding at March 31, 2026</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1,495</w:t>
            </w:r>
          </w:p>
        </w:tc>
        <w:tc>
          <w:tcPr>
            <w:tcW w:w="120" w:type="dxa"/>
            <w:vAlign w:val="bottom"/>
          </w:tcPr>
          <w:p>
            <w:pPr>
              <w:spacing w:after="0"/>
              <w:rPr>
                <w:sz w:val="19"/>
                <w:szCs w:val="19"/>
                <w:color w:val="auto"/>
              </w:rPr>
            </w:pPr>
          </w:p>
        </w:tc>
      </w:tr>
      <w:tr>
        <w:trPr>
          <w:trHeight w:val="20"/>
        </w:trPr>
        <w:tc>
          <w:tcPr>
            <w:tcW w:w="6180" w:type="dxa"/>
            <w:vAlign w:val="bottom"/>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bl>
    <w:p>
      <w:pPr>
        <w:spacing w:after="0" w:line="116" w:lineRule="exact"/>
        <w:rPr>
          <w:sz w:val="20"/>
          <w:szCs w:val="20"/>
          <w:color w:val="auto"/>
        </w:rPr>
      </w:pPr>
    </w:p>
    <w:p>
      <w:pPr>
        <w:ind w:left="424" w:right="40" w:hanging="424"/>
        <w:spacing w:after="0" w:line="257" w:lineRule="auto"/>
        <w:tabs>
          <w:tab w:leader="none" w:pos="424" w:val="left"/>
        </w:tabs>
        <w:numPr>
          <w:ilvl w:val="0"/>
          <w:numId w:val="24"/>
        </w:numPr>
        <w:rPr>
          <w:rFonts w:ascii="Arial" w:cs="Arial" w:eastAsia="Arial" w:hAnsi="Arial"/>
          <w:sz w:val="18"/>
          <w:szCs w:val="18"/>
          <w:b w:val="1"/>
          <w:bCs w:val="1"/>
          <w:color w:val="auto"/>
        </w:rPr>
      </w:pPr>
      <w:r>
        <w:rPr>
          <w:rFonts w:ascii="Arial" w:cs="Arial" w:eastAsia="Arial" w:hAnsi="Arial"/>
          <w:sz w:val="18"/>
          <w:szCs w:val="18"/>
          <w:b w:val="1"/>
          <w:bCs w:val="1"/>
          <w:color w:val="auto"/>
        </w:rPr>
        <w:t>What was the weighted average number of shares outstanding during the first quarter of 2026 and fourth quarter of 2025? How does this reconcile to the average number of shares outstanding, assuming dilution, used in the calculation of diluted earnings per share?</w:t>
      </w:r>
    </w:p>
    <w:p>
      <w:pPr>
        <w:spacing w:after="0" w:line="50" w:lineRule="exact"/>
        <w:rPr>
          <w:rFonts w:ascii="Arial" w:cs="Arial" w:eastAsia="Arial" w:hAnsi="Arial"/>
          <w:sz w:val="18"/>
          <w:szCs w:val="18"/>
          <w:b w:val="1"/>
          <w:bCs w:val="1"/>
          <w:color w:val="auto"/>
        </w:rPr>
      </w:pPr>
    </w:p>
    <w:p>
      <w:pPr>
        <w:ind w:left="444" w:right="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The weighted average number of shares outstanding was 1.499 billion during the first quarter of 2026 and 1.495 billion during the fourth quarter of 2025. The following is a reconciliation of the weighted average shares outstanding to the average number of shares outstanding, assuming dilution, used in the calculation of diluted earnings per share.</w:t>
      </w:r>
    </w:p>
    <w:p>
      <w:pPr>
        <w:spacing w:after="0" w:line="206" w:lineRule="exact"/>
        <w:rPr>
          <w:sz w:val="20"/>
          <w:szCs w:val="20"/>
          <w:color w:val="auto"/>
        </w:rPr>
      </w:pPr>
    </w:p>
    <w:tbl>
      <w:tblPr>
        <w:tblLayout w:type="fixed"/>
        <w:tblInd w:w="1324" w:type="dxa"/>
        <w:tblCellMar>
          <w:top w:w="0" w:type="dxa"/>
          <w:left w:w="0" w:type="dxa"/>
          <w:bottom w:w="0" w:type="dxa"/>
          <w:right w:w="0" w:type="dxa"/>
        </w:tblCellMar>
      </w:tblPr>
      <w:tr>
        <w:trPr>
          <w:trHeight w:val="162"/>
        </w:trPr>
        <w:tc>
          <w:tcPr>
            <w:tcW w:w="55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(Stated in millions)</w:t>
            </w:r>
          </w:p>
        </w:tc>
      </w:tr>
      <w:tr>
        <w:trPr>
          <w:trHeight w:val="162"/>
        </w:trPr>
        <w:tc>
          <w:tcPr>
            <w:tcW w:w="5500" w:type="dxa"/>
            <w:vAlign w:val="bottom"/>
          </w:tcPr>
          <w:p>
            <w:pPr>
              <w:spacing w:after="0"/>
              <w:rPr>
                <w:sz w:val="14"/>
                <w:szCs w:val="14"/>
                <w:color w:val="auto"/>
              </w:rPr>
            </w:pPr>
          </w:p>
        </w:tc>
        <w:tc>
          <w:tcPr>
            <w:tcW w:w="1620" w:type="dxa"/>
            <w:vAlign w:val="bottom"/>
            <w:gridSpan w:val="3"/>
          </w:tcPr>
          <w:p>
            <w:pPr>
              <w:spacing w:after="0"/>
              <w:rPr>
                <w:sz w:val="20"/>
                <w:szCs w:val="20"/>
                <w:color w:val="auto"/>
              </w:rPr>
            </w:pPr>
            <w:r>
              <w:rPr>
                <w:rFonts w:ascii="Arial" w:cs="Arial" w:eastAsia="Arial" w:hAnsi="Arial"/>
                <w:sz w:val="14"/>
                <w:szCs w:val="14"/>
                <w:b w:val="1"/>
                <w:bCs w:val="1"/>
                <w:color w:val="auto"/>
              </w:rPr>
              <w:t>First Quarter</w:t>
            </w:r>
          </w:p>
        </w:tc>
        <w:tc>
          <w:tcPr>
            <w:tcW w:w="1240" w:type="dxa"/>
            <w:vAlign w:val="bottom"/>
            <w:gridSpan w:val="2"/>
          </w:tcPr>
          <w:p>
            <w:pPr>
              <w:jc w:val="center"/>
              <w:ind w:right="40"/>
              <w:spacing w:after="0"/>
              <w:rPr>
                <w:sz w:val="20"/>
                <w:szCs w:val="20"/>
                <w:color w:val="auto"/>
              </w:rPr>
            </w:pPr>
            <w:r>
              <w:rPr>
                <w:rFonts w:ascii="Arial" w:cs="Arial" w:eastAsia="Arial" w:hAnsi="Arial"/>
                <w:sz w:val="14"/>
                <w:szCs w:val="14"/>
                <w:color w:val="auto"/>
              </w:rPr>
              <w:t>Fourth Quarter</w:t>
            </w:r>
          </w:p>
        </w:tc>
      </w:tr>
      <w:tr>
        <w:trPr>
          <w:trHeight w:val="171"/>
        </w:trPr>
        <w:tc>
          <w:tcPr>
            <w:tcW w:w="5500" w:type="dxa"/>
            <w:vAlign w:val="bottom"/>
            <w:tcBorders>
              <w:bottom w:val="single" w:sz="8" w:color="CCEEFF"/>
            </w:tcBorders>
          </w:tcPr>
          <w:p>
            <w:pPr>
              <w:spacing w:after="0"/>
              <w:rPr>
                <w:sz w:val="14"/>
                <w:szCs w:val="14"/>
                <w:color w:val="auto"/>
              </w:rPr>
            </w:pPr>
          </w:p>
        </w:tc>
        <w:tc>
          <w:tcPr>
            <w:tcW w:w="880" w:type="dxa"/>
            <w:vAlign w:val="bottom"/>
            <w:tcBorders>
              <w:bottom w:val="single" w:sz="8" w:color="auto"/>
            </w:tcBorders>
          </w:tcPr>
          <w:p>
            <w:pPr>
              <w:jc w:val="right"/>
              <w:ind w:right="196"/>
              <w:spacing w:after="0"/>
              <w:rPr>
                <w:sz w:val="20"/>
                <w:szCs w:val="20"/>
                <w:color w:val="auto"/>
              </w:rPr>
            </w:pPr>
            <w:r>
              <w:rPr>
                <w:rFonts w:ascii="Arial" w:cs="Arial" w:eastAsia="Arial" w:hAnsi="Arial"/>
                <w:sz w:val="14"/>
                <w:szCs w:val="14"/>
                <w:b w:val="1"/>
                <w:bCs w:val="1"/>
                <w:color w:val="auto"/>
              </w:rPr>
              <w:t>2026</w:t>
            </w:r>
          </w:p>
        </w:tc>
        <w:tc>
          <w:tcPr>
            <w:tcW w:w="20" w:type="dxa"/>
            <w:vAlign w:val="bottom"/>
            <w:tcBorders>
              <w:bottom w:val="single" w:sz="8" w:color="CCEEFF"/>
            </w:tcBorders>
          </w:tcPr>
          <w:p>
            <w:pPr>
              <w:spacing w:after="0"/>
              <w:rPr>
                <w:sz w:val="14"/>
                <w:szCs w:val="14"/>
                <w:color w:val="auto"/>
              </w:rPr>
            </w:pPr>
          </w:p>
        </w:tc>
        <w:tc>
          <w:tcPr>
            <w:tcW w:w="720" w:type="dxa"/>
            <w:vAlign w:val="bottom"/>
            <w:tcBorders>
              <w:bottom w:val="single" w:sz="8" w:color="CCEEFF"/>
            </w:tcBorders>
          </w:tcPr>
          <w:p>
            <w:pPr>
              <w:spacing w:after="0"/>
              <w:rPr>
                <w:sz w:val="14"/>
                <w:szCs w:val="14"/>
                <w:color w:val="auto"/>
              </w:rPr>
            </w:pPr>
          </w:p>
        </w:tc>
        <w:tc>
          <w:tcPr>
            <w:tcW w:w="12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rPr>
              <w:t>2025</w:t>
            </w:r>
          </w:p>
        </w:tc>
        <w:tc>
          <w:tcPr>
            <w:tcW w:w="40" w:type="dxa"/>
            <w:vAlign w:val="bottom"/>
            <w:tcBorders>
              <w:bottom w:val="single" w:sz="8" w:color="CCEEFF"/>
            </w:tcBorders>
          </w:tcPr>
          <w:p>
            <w:pPr>
              <w:spacing w:after="0"/>
              <w:rPr>
                <w:sz w:val="14"/>
                <w:szCs w:val="14"/>
                <w:color w:val="auto"/>
              </w:rPr>
            </w:pPr>
          </w:p>
        </w:tc>
      </w:tr>
      <w:tr>
        <w:trPr>
          <w:trHeight w:val="196"/>
        </w:trPr>
        <w:tc>
          <w:tcPr>
            <w:tcW w:w="55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Weighted average shares outstanding</w:t>
            </w:r>
          </w:p>
        </w:tc>
        <w:tc>
          <w:tcPr>
            <w:tcW w:w="8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1,499</w:t>
            </w:r>
          </w:p>
        </w:tc>
        <w:tc>
          <w:tcPr>
            <w:tcW w:w="20" w:type="dxa"/>
            <w:vAlign w:val="bottom"/>
            <w:shd w:val="clear" w:color="auto" w:fill="CCEEFF"/>
          </w:tcPr>
          <w:p>
            <w:pPr>
              <w:spacing w:after="0"/>
              <w:rPr>
                <w:sz w:val="17"/>
                <w:szCs w:val="17"/>
                <w:color w:val="auto"/>
              </w:rPr>
            </w:pPr>
          </w:p>
        </w:tc>
        <w:tc>
          <w:tcPr>
            <w:tcW w:w="720" w:type="dxa"/>
            <w:vAlign w:val="bottom"/>
            <w:shd w:val="clear" w:color="auto" w:fill="CCEEFF"/>
          </w:tcPr>
          <w:p>
            <w:pPr>
              <w:spacing w:after="0"/>
              <w:rPr>
                <w:sz w:val="17"/>
                <w:szCs w:val="17"/>
                <w:color w:val="auto"/>
              </w:rPr>
            </w:pPr>
          </w:p>
        </w:tc>
        <w:tc>
          <w:tcPr>
            <w:tcW w:w="12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1,495</w:t>
            </w:r>
          </w:p>
        </w:tc>
        <w:tc>
          <w:tcPr>
            <w:tcW w:w="40" w:type="dxa"/>
            <w:vAlign w:val="bottom"/>
            <w:shd w:val="clear" w:color="auto" w:fill="CCEEFF"/>
          </w:tcPr>
          <w:p>
            <w:pPr>
              <w:spacing w:after="0"/>
              <w:rPr>
                <w:sz w:val="17"/>
                <w:szCs w:val="17"/>
                <w:color w:val="auto"/>
              </w:rPr>
            </w:pPr>
          </w:p>
        </w:tc>
      </w:tr>
      <w:tr>
        <w:trPr>
          <w:trHeight w:val="216"/>
        </w:trPr>
        <w:tc>
          <w:tcPr>
            <w:tcW w:w="5500" w:type="dxa"/>
            <w:vAlign w:val="bottom"/>
          </w:tcPr>
          <w:p>
            <w:pPr>
              <w:spacing w:after="0"/>
              <w:rPr>
                <w:sz w:val="20"/>
                <w:szCs w:val="20"/>
                <w:color w:val="auto"/>
              </w:rPr>
            </w:pPr>
            <w:r>
              <w:rPr>
                <w:rFonts w:ascii="Arial" w:cs="Arial" w:eastAsia="Arial" w:hAnsi="Arial"/>
                <w:sz w:val="18"/>
                <w:szCs w:val="18"/>
                <w:color w:val="auto"/>
              </w:rPr>
              <w:t>Unvested restricted stock</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w:t>
            </w:r>
          </w:p>
        </w:tc>
        <w:tc>
          <w:tcPr>
            <w:tcW w:w="720" w:type="dxa"/>
            <w:vAlign w:val="bottom"/>
          </w:tcPr>
          <w:p>
            <w:pPr>
              <w:spacing w:after="0"/>
              <w:rPr>
                <w:sz w:val="18"/>
                <w:szCs w:val="18"/>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16</w:t>
            </w:r>
          </w:p>
        </w:tc>
      </w:tr>
      <w:tr>
        <w:trPr>
          <w:trHeight w:val="216"/>
        </w:trPr>
        <w:tc>
          <w:tcPr>
            <w:tcW w:w="5500" w:type="dxa"/>
            <w:vAlign w:val="bottom"/>
            <w:shd w:val="clear" w:color="auto" w:fill="CCEEFF"/>
          </w:tcPr>
          <w:p>
            <w:pPr>
              <w:spacing w:after="0"/>
              <w:rPr>
                <w:sz w:val="20"/>
                <w:szCs w:val="20"/>
                <w:color w:val="auto"/>
              </w:rPr>
            </w:pPr>
            <w:r>
              <w:rPr>
                <w:rFonts w:ascii="Arial" w:cs="Arial" w:eastAsia="Arial" w:hAnsi="Arial"/>
                <w:sz w:val="18"/>
                <w:szCs w:val="18"/>
                <w:color w:val="auto"/>
              </w:rPr>
              <w:t>Assumed exercise of stock options</w:t>
            </w:r>
          </w:p>
        </w:tc>
        <w:tc>
          <w:tcPr>
            <w:tcW w:w="8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w:t>
            </w:r>
          </w:p>
        </w:tc>
        <w:tc>
          <w:tcPr>
            <w:tcW w:w="20" w:type="dxa"/>
            <w:vAlign w:val="bottom"/>
            <w:shd w:val="clear" w:color="auto" w:fill="CCEEFF"/>
          </w:tcPr>
          <w:p>
            <w:pPr>
              <w:spacing w:after="0"/>
              <w:rPr>
                <w:sz w:val="18"/>
                <w:szCs w:val="18"/>
                <w:color w:val="auto"/>
              </w:rPr>
            </w:pPr>
          </w:p>
        </w:tc>
        <w:tc>
          <w:tcPr>
            <w:tcW w:w="720" w:type="dxa"/>
            <w:vAlign w:val="bottom"/>
            <w:shd w:val="clear" w:color="auto" w:fill="CCEEFF"/>
          </w:tcPr>
          <w:p>
            <w:pPr>
              <w:spacing w:after="0"/>
              <w:rPr>
                <w:sz w:val="18"/>
                <w:szCs w:val="18"/>
                <w:color w:val="auto"/>
              </w:rPr>
            </w:pPr>
          </w:p>
        </w:tc>
        <w:tc>
          <w:tcPr>
            <w:tcW w:w="12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— </w:t>
            </w:r>
          </w:p>
        </w:tc>
        <w:tc>
          <w:tcPr>
            <w:tcW w:w="40" w:type="dxa"/>
            <w:vAlign w:val="bottom"/>
            <w:shd w:val="clear" w:color="auto" w:fill="CCEEFF"/>
          </w:tcPr>
          <w:p>
            <w:pPr>
              <w:spacing w:after="0"/>
              <w:rPr>
                <w:sz w:val="18"/>
                <w:szCs w:val="18"/>
                <w:color w:val="auto"/>
              </w:rPr>
            </w:pPr>
          </w:p>
        </w:tc>
      </w:tr>
      <w:tr>
        <w:trPr>
          <w:trHeight w:val="223"/>
        </w:trPr>
        <w:tc>
          <w:tcPr>
            <w:tcW w:w="5500" w:type="dxa"/>
            <w:vAlign w:val="bottom"/>
          </w:tcPr>
          <w:p>
            <w:pPr>
              <w:spacing w:after="0"/>
              <w:rPr>
                <w:sz w:val="20"/>
                <w:szCs w:val="20"/>
                <w:color w:val="auto"/>
              </w:rPr>
            </w:pPr>
            <w:r>
              <w:rPr>
                <w:rFonts w:ascii="Arial" w:cs="Arial" w:eastAsia="Arial" w:hAnsi="Arial"/>
                <w:sz w:val="18"/>
                <w:szCs w:val="18"/>
                <w:color w:val="auto"/>
              </w:rPr>
              <w:t>Average shares outstanding, assuming dilution</w:t>
            </w:r>
          </w:p>
        </w:tc>
        <w:tc>
          <w:tcPr>
            <w:tcW w:w="900" w:type="dxa"/>
            <w:vAlign w:val="bottom"/>
            <w:gridSpan w:val="2"/>
          </w:tcPr>
          <w:p>
            <w:pPr>
              <w:jc w:val="right"/>
              <w:ind w:right="20"/>
              <w:spacing w:after="0"/>
              <w:rPr>
                <w:sz w:val="20"/>
                <w:szCs w:val="20"/>
                <w:color w:val="auto"/>
              </w:rPr>
            </w:pPr>
            <w:r>
              <w:rPr>
                <w:rFonts w:ascii="Arial" w:cs="Arial" w:eastAsia="Arial" w:hAnsi="Arial"/>
                <w:sz w:val="18"/>
                <w:szCs w:val="18"/>
                <w:b w:val="1"/>
                <w:bCs w:val="1"/>
                <w:color w:val="auto"/>
              </w:rPr>
              <w:t>1,515</w:t>
            </w:r>
          </w:p>
        </w:tc>
        <w:tc>
          <w:tcPr>
            <w:tcW w:w="720" w:type="dxa"/>
            <w:vAlign w:val="bottom"/>
          </w:tcPr>
          <w:p>
            <w:pPr>
              <w:spacing w:after="0"/>
              <w:rPr>
                <w:sz w:val="19"/>
                <w:szCs w:val="19"/>
                <w:color w:val="auto"/>
              </w:rPr>
            </w:pPr>
          </w:p>
        </w:tc>
        <w:tc>
          <w:tcPr>
            <w:tcW w:w="1240" w:type="dxa"/>
            <w:vAlign w:val="bottom"/>
            <w:gridSpan w:val="2"/>
          </w:tcPr>
          <w:p>
            <w:pPr>
              <w:jc w:val="right"/>
              <w:ind w:right="40"/>
              <w:spacing w:after="0"/>
              <w:rPr>
                <w:sz w:val="20"/>
                <w:szCs w:val="20"/>
                <w:color w:val="auto"/>
              </w:rPr>
            </w:pPr>
            <w:r>
              <w:rPr>
                <w:rFonts w:ascii="Arial" w:cs="Arial" w:eastAsia="Arial" w:hAnsi="Arial"/>
                <w:sz w:val="18"/>
                <w:szCs w:val="18"/>
                <w:color w:val="auto"/>
              </w:rPr>
              <w:t>1,511</w:t>
            </w:r>
          </w:p>
        </w:tc>
      </w:tr>
      <w:tr>
        <w:trPr>
          <w:trHeight w:val="20"/>
        </w:trPr>
        <w:tc>
          <w:tcPr>
            <w:tcW w:w="55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tcBorders>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ectPr>
          <w:pgSz w:w="11900" w:h="16838" w:orient="portrait"/>
          <w:cols w:equalWidth="0" w:num="1">
            <w:col w:w="10984"/>
          </w:cols>
          <w:pgMar w:left="436" w:top="269" w:right="479" w:bottom="1440" w:gutter="0" w:footer="0" w:header="0"/>
        </w:sectPr>
      </w:pPr>
    </w:p>
    <w:bookmarkStart w:id="27" w:name="page28"/>
    <w:bookmarkEnd w:id="27"/>
    <w:p>
      <w:pPr>
        <w:ind w:left="424" w:hanging="424"/>
        <w:spacing w:after="0" w:line="281" w:lineRule="auto"/>
        <w:tabs>
          <w:tab w:leader="none" w:pos="424" w:val="left"/>
        </w:tabs>
        <w:numPr>
          <w:ilvl w:val="0"/>
          <w:numId w:val="25"/>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was SLB’s adjusted EBITDA in the first quarter of 2026, the fourth quarter of 2025, and the first quarter of 2025? What was SLB’s adjusted EBITDA margin for those periods?</w:t>
      </w:r>
    </w:p>
    <w:p>
      <w:pPr>
        <w:spacing w:after="0" w:line="28" w:lineRule="exact"/>
        <w:rPr>
          <w:rFonts w:ascii="Arial" w:cs="Arial" w:eastAsia="Arial" w:hAnsi="Arial"/>
          <w:sz w:val="18"/>
          <w:szCs w:val="18"/>
          <w:b w:val="1"/>
          <w:bCs w:val="1"/>
          <w:color w:val="auto"/>
        </w:rPr>
      </w:pPr>
    </w:p>
    <w:p>
      <w:pPr>
        <w:ind w:left="444" w:right="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was $1.773 billion in the first quarter of 2026, $2.331 billion in the fourth quarter of 2025, and $2.020 billion in the first quarter of 2025.</w:t>
      </w:r>
    </w:p>
    <w:p>
      <w:pPr>
        <w:spacing w:after="0" w:line="45" w:lineRule="exact"/>
        <w:rPr>
          <w:rFonts w:ascii="Arial" w:cs="Arial" w:eastAsia="Arial" w:hAnsi="Arial"/>
          <w:sz w:val="18"/>
          <w:szCs w:val="18"/>
          <w:b w:val="1"/>
          <w:bCs w:val="1"/>
          <w:color w:val="auto"/>
        </w:rPr>
      </w:pPr>
    </w:p>
    <w:p>
      <w:pPr>
        <w:ind w:left="444" w:right="2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SLB’s adjusted EBITDA margin was 20.3% in the first quarter of 2026, 23.9% in the fourth quarter of 2025, and 23.8% in the first quarter of 2025, and was calculated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720" w:type="dxa"/>
            <w:vAlign w:val="bottom"/>
            <w:gridSpan w:val="4"/>
          </w:tcPr>
          <w:p>
            <w:pPr>
              <w:jc w:val="center"/>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4100" w:type="dxa"/>
            <w:vAlign w:val="bottom"/>
          </w:tcPr>
          <w:p>
            <w:pPr>
              <w:spacing w:after="0"/>
              <w:rPr>
                <w:sz w:val="14"/>
                <w:szCs w:val="14"/>
                <w:color w:val="auto"/>
              </w:rPr>
            </w:pPr>
          </w:p>
        </w:tc>
        <w:tc>
          <w:tcPr>
            <w:tcW w:w="1720" w:type="dxa"/>
            <w:vAlign w:val="bottom"/>
            <w:gridSpan w:val="4"/>
          </w:tcPr>
          <w:p>
            <w:pPr>
              <w:ind w:left="380"/>
              <w:spacing w:after="0"/>
              <w:rPr>
                <w:sz w:val="20"/>
                <w:szCs w:val="20"/>
                <w:color w:val="auto"/>
              </w:rPr>
            </w:pPr>
            <w:r>
              <w:rPr>
                <w:rFonts w:ascii="Arial" w:cs="Arial" w:eastAsia="Arial" w:hAnsi="Arial"/>
                <w:sz w:val="14"/>
                <w:szCs w:val="14"/>
                <w:b w:val="1"/>
                <w:bCs w:val="1"/>
                <w:color w:val="auto"/>
              </w:rPr>
              <w:t>First Quarter</w:t>
            </w:r>
          </w:p>
        </w:tc>
        <w:tc>
          <w:tcPr>
            <w:tcW w:w="1700" w:type="dxa"/>
            <w:vAlign w:val="bottom"/>
            <w:gridSpan w:val="4"/>
          </w:tcPr>
          <w:p>
            <w:pPr>
              <w:jc w:val="right"/>
              <w:ind w:right="460"/>
              <w:spacing w:after="0"/>
              <w:rPr>
                <w:sz w:val="20"/>
                <w:szCs w:val="20"/>
                <w:color w:val="auto"/>
              </w:rPr>
            </w:pPr>
            <w:r>
              <w:rPr>
                <w:rFonts w:ascii="Arial" w:cs="Arial" w:eastAsia="Arial" w:hAnsi="Arial"/>
                <w:sz w:val="14"/>
                <w:szCs w:val="14"/>
                <w:color w:val="auto"/>
              </w:rPr>
              <w:t>Fourth Quarter</w:t>
            </w:r>
          </w:p>
        </w:tc>
        <w:tc>
          <w:tcPr>
            <w:tcW w:w="3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280" w:type="dxa"/>
            <w:vAlign w:val="bottom"/>
            <w:gridSpan w:val="2"/>
          </w:tcPr>
          <w:p>
            <w:pPr>
              <w:jc w:val="center"/>
              <w:ind w:right="360"/>
              <w:spacing w:after="0"/>
              <w:rPr>
                <w:sz w:val="20"/>
                <w:szCs w:val="20"/>
                <w:color w:val="auto"/>
              </w:rPr>
            </w:pPr>
            <w:r>
              <w:rPr>
                <w:rFonts w:ascii="Arial" w:cs="Arial" w:eastAsia="Arial" w:hAnsi="Arial"/>
                <w:sz w:val="14"/>
                <w:szCs w:val="14"/>
                <w:color w:val="auto"/>
              </w:rPr>
              <w:t>First Quarter</w:t>
            </w: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410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70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2026</w:t>
            </w:r>
          </w:p>
        </w:tc>
        <w:tc>
          <w:tcPr>
            <w:tcW w:w="460" w:type="dxa"/>
            <w:vAlign w:val="bottom"/>
            <w:tcBorders>
              <w:bottom w:val="single" w:sz="8" w:color="CCEEFF"/>
            </w:tcBorders>
          </w:tcPr>
          <w:p>
            <w:pPr>
              <w:spacing w:after="0"/>
              <w:rPr>
                <w:sz w:val="14"/>
                <w:szCs w:val="14"/>
                <w:color w:val="auto"/>
              </w:rPr>
            </w:pPr>
          </w:p>
        </w:tc>
        <w:tc>
          <w:tcPr>
            <w:tcW w:w="30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2"/>
              <w:spacing w:after="0"/>
              <w:rPr>
                <w:sz w:val="20"/>
                <w:szCs w:val="20"/>
                <w:color w:val="auto"/>
              </w:rPr>
            </w:pPr>
            <w:r>
              <w:rPr>
                <w:rFonts w:ascii="Arial" w:cs="Arial" w:eastAsia="Arial" w:hAnsi="Arial"/>
                <w:sz w:val="14"/>
                <w:szCs w:val="14"/>
                <w:color w:val="auto"/>
              </w:rPr>
              <w:t>2025</w:t>
            </w:r>
          </w:p>
        </w:tc>
        <w:tc>
          <w:tcPr>
            <w:tcW w:w="460" w:type="dxa"/>
            <w:vAlign w:val="bottom"/>
            <w:tcBorders>
              <w:bottom w:val="single" w:sz="8" w:color="CCEEFF"/>
            </w:tcBorders>
          </w:tcPr>
          <w:p>
            <w:pPr>
              <w:spacing w:after="0"/>
              <w:rPr>
                <w:sz w:val="14"/>
                <w:szCs w:val="14"/>
                <w:color w:val="auto"/>
              </w:rPr>
            </w:pPr>
          </w:p>
        </w:tc>
        <w:tc>
          <w:tcPr>
            <w:tcW w:w="32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center"/>
              <w:ind w:right="53"/>
              <w:spacing w:after="0"/>
              <w:rPr>
                <w:sz w:val="20"/>
                <w:szCs w:val="20"/>
                <w:color w:val="auto"/>
              </w:rPr>
            </w:pPr>
            <w:r>
              <w:rPr>
                <w:rFonts w:ascii="Arial" w:cs="Arial" w:eastAsia="Arial" w:hAnsi="Arial"/>
                <w:sz w:val="14"/>
                <w:szCs w:val="14"/>
                <w:color w:val="auto"/>
              </w:rPr>
              <w:t>2025</w:t>
            </w:r>
          </w:p>
        </w:tc>
        <w:tc>
          <w:tcPr>
            <w:tcW w:w="220" w:type="dxa"/>
            <w:vAlign w:val="bottom"/>
            <w:tcBorders>
              <w:bottom w:val="single" w:sz="8" w:color="CCEEFF"/>
            </w:tcBorders>
          </w:tcPr>
          <w:p>
            <w:pPr>
              <w:spacing w:after="0"/>
              <w:rPr>
                <w:sz w:val="14"/>
                <w:szCs w:val="14"/>
                <w:color w:val="auto"/>
              </w:rPr>
            </w:pPr>
          </w:p>
        </w:tc>
        <w:tc>
          <w:tcPr>
            <w:tcW w:w="0" w:type="dxa"/>
            <w:vAlign w:val="bottom"/>
          </w:tcPr>
          <w:p>
            <w:pPr>
              <w:spacing w:after="0"/>
              <w:rPr>
                <w:sz w:val="1"/>
                <w:szCs w:val="1"/>
                <w:color w:val="auto"/>
              </w:rPr>
            </w:pPr>
          </w:p>
        </w:tc>
      </w:tr>
      <w:tr>
        <w:trPr>
          <w:trHeight w:val="196"/>
        </w:trPr>
        <w:tc>
          <w:tcPr>
            <w:tcW w:w="20" w:type="dxa"/>
            <w:vAlign w:val="bottom"/>
          </w:tcPr>
          <w:p>
            <w:pPr>
              <w:spacing w:after="0"/>
              <w:rPr>
                <w:sz w:val="17"/>
                <w:szCs w:val="17"/>
                <w:color w:val="auto"/>
              </w:rPr>
            </w:pPr>
          </w:p>
        </w:tc>
        <w:tc>
          <w:tcPr>
            <w:tcW w:w="410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Net income attributable to SLB</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752</w:t>
            </w:r>
          </w:p>
        </w:tc>
        <w:tc>
          <w:tcPr>
            <w:tcW w:w="460" w:type="dxa"/>
            <w:vAlign w:val="bottom"/>
            <w:shd w:val="clear" w:color="auto" w:fill="CCEEFF"/>
          </w:tcPr>
          <w:p>
            <w:pPr>
              <w:spacing w:after="0"/>
              <w:rPr>
                <w:sz w:val="17"/>
                <w:szCs w:val="17"/>
                <w:color w:val="auto"/>
              </w:rPr>
            </w:pPr>
          </w:p>
        </w:tc>
        <w:tc>
          <w:tcPr>
            <w:tcW w:w="30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47"/>
              <w:spacing w:after="0"/>
              <w:rPr>
                <w:sz w:val="20"/>
                <w:szCs w:val="20"/>
                <w:color w:val="auto"/>
              </w:rPr>
            </w:pPr>
            <w:r>
              <w:rPr>
                <w:rFonts w:ascii="Arial" w:cs="Arial" w:eastAsia="Arial" w:hAnsi="Arial"/>
                <w:sz w:val="15"/>
                <w:szCs w:val="15"/>
                <w:color w:val="auto"/>
                <w:w w:val="71"/>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824</w:t>
            </w:r>
          </w:p>
        </w:tc>
        <w:tc>
          <w:tcPr>
            <w:tcW w:w="460" w:type="dxa"/>
            <w:vAlign w:val="bottom"/>
            <w:shd w:val="clear" w:color="auto" w:fill="CCEEFF"/>
          </w:tcPr>
          <w:p>
            <w:pPr>
              <w:spacing w:after="0"/>
              <w:rPr>
                <w:sz w:val="17"/>
                <w:szCs w:val="17"/>
                <w:color w:val="auto"/>
              </w:rPr>
            </w:pPr>
          </w:p>
        </w:tc>
        <w:tc>
          <w:tcPr>
            <w:tcW w:w="320" w:type="dxa"/>
            <w:vAlign w:val="bottom"/>
            <w:shd w:val="clear" w:color="auto" w:fill="CCEEFF"/>
          </w:tcPr>
          <w:p>
            <w:pPr>
              <w:spacing w:after="0"/>
              <w:rPr>
                <w:sz w:val="17"/>
                <w:szCs w:val="17"/>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6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797</w:t>
            </w:r>
          </w:p>
        </w:tc>
        <w:tc>
          <w:tcPr>
            <w:tcW w:w="220" w:type="dxa"/>
            <w:vAlign w:val="bottom"/>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184"/>
        </w:trPr>
        <w:tc>
          <w:tcPr>
            <w:tcW w:w="20" w:type="dxa"/>
            <w:vAlign w:val="bottom"/>
          </w:tcPr>
          <w:p>
            <w:pPr>
              <w:spacing w:after="0"/>
              <w:rPr>
                <w:sz w:val="15"/>
                <w:szCs w:val="15"/>
                <w:color w:val="auto"/>
              </w:rPr>
            </w:pPr>
          </w:p>
        </w:tc>
        <w:tc>
          <w:tcPr>
            <w:tcW w:w="4100" w:type="dxa"/>
            <w:vAlign w:val="bottom"/>
          </w:tcPr>
          <w:p>
            <w:pPr>
              <w:spacing w:after="0" w:line="183" w:lineRule="exact"/>
              <w:rPr>
                <w:sz w:val="20"/>
                <w:szCs w:val="20"/>
                <w:color w:val="auto"/>
              </w:rPr>
            </w:pPr>
            <w:r>
              <w:rPr>
                <w:rFonts w:ascii="Arial" w:cs="Arial" w:eastAsia="Arial" w:hAnsi="Arial"/>
                <w:sz w:val="18"/>
                <w:szCs w:val="18"/>
                <w:color w:val="auto"/>
              </w:rPr>
              <w:t>Net income (loss) attributable to non controlling</w:t>
            </w:r>
          </w:p>
        </w:tc>
        <w:tc>
          <w:tcPr>
            <w:tcW w:w="3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1"/>
        </w:trPr>
        <w:tc>
          <w:tcPr>
            <w:tcW w:w="20" w:type="dxa"/>
            <w:vAlign w:val="bottom"/>
          </w:tcPr>
          <w:p>
            <w:pPr>
              <w:spacing w:after="0"/>
              <w:rPr>
                <w:sz w:val="19"/>
                <w:szCs w:val="19"/>
                <w:color w:val="auto"/>
              </w:rPr>
            </w:pPr>
          </w:p>
        </w:tc>
        <w:tc>
          <w:tcPr>
            <w:tcW w:w="4100" w:type="dxa"/>
            <w:vAlign w:val="bottom"/>
          </w:tcPr>
          <w:p>
            <w:pPr>
              <w:ind w:left="160"/>
              <w:spacing w:after="0"/>
              <w:rPr>
                <w:sz w:val="20"/>
                <w:szCs w:val="20"/>
                <w:color w:val="auto"/>
              </w:rPr>
            </w:pPr>
            <w:r>
              <w:rPr>
                <w:rFonts w:ascii="Arial" w:cs="Arial" w:eastAsia="Arial" w:hAnsi="Arial"/>
                <w:sz w:val="18"/>
                <w:szCs w:val="18"/>
                <w:color w:val="auto"/>
              </w:rPr>
              <w:t>interests</w:t>
            </w:r>
          </w:p>
        </w:tc>
        <w:tc>
          <w:tcPr>
            <w:tcW w:w="3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w:t>
            </w: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(24)</w:t>
            </w:r>
          </w:p>
        </w:tc>
        <w:tc>
          <w:tcPr>
            <w:tcW w:w="3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32</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Tax expense</w:t>
            </w:r>
          </w:p>
        </w:tc>
        <w:tc>
          <w:tcPr>
            <w:tcW w:w="380" w:type="dxa"/>
            <w:vAlign w:val="bottom"/>
            <w:shd w:val="clear" w:color="auto" w:fill="CCEEFF"/>
          </w:tcPr>
          <w:p>
            <w:pPr>
              <w:spacing w:after="0"/>
              <w:rPr>
                <w:sz w:val="18"/>
                <w:szCs w:val="18"/>
                <w:color w:val="auto"/>
              </w:rPr>
            </w:pPr>
          </w:p>
        </w:tc>
        <w:tc>
          <w:tcPr>
            <w:tcW w:w="180" w:type="dxa"/>
            <w:vAlign w:val="bottom"/>
            <w:tcBorders>
              <w:bottom w:val="single" w:sz="8" w:color="auto"/>
            </w:tcBorders>
            <w:shd w:val="clear" w:color="auto" w:fill="CCEEFF"/>
          </w:tcPr>
          <w:p>
            <w:pPr>
              <w:spacing w:after="0"/>
              <w:rPr>
                <w:sz w:val="18"/>
                <w:szCs w:val="18"/>
                <w:color w:val="auto"/>
              </w:rPr>
            </w:pPr>
          </w:p>
        </w:tc>
        <w:tc>
          <w:tcPr>
            <w:tcW w:w="7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b w:val="1"/>
                <w:bCs w:val="1"/>
                <w:color w:val="auto"/>
              </w:rPr>
              <w:t>195</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tcBorders>
              <w:bottom w:val="single" w:sz="8" w:color="auto"/>
            </w:tcBorders>
            <w:shd w:val="clear" w:color="auto" w:fill="CCEEFF"/>
          </w:tcPr>
          <w:p>
            <w:pPr>
              <w:spacing w:after="0"/>
              <w:rPr>
                <w:sz w:val="18"/>
                <w:szCs w:val="18"/>
                <w:color w:val="auto"/>
              </w:rPr>
            </w:pPr>
          </w:p>
        </w:tc>
        <w:tc>
          <w:tcPr>
            <w:tcW w:w="7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143</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tcBorders>
              <w:bottom w:val="single" w:sz="8" w:color="auto"/>
            </w:tcBorders>
            <w:shd w:val="clear" w:color="auto" w:fill="CCEEFF"/>
          </w:tcPr>
          <w:p>
            <w:pPr>
              <w:spacing w:after="0"/>
              <w:rPr>
                <w:sz w:val="18"/>
                <w:szCs w:val="18"/>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8"/>
                <w:szCs w:val="18"/>
                <w:color w:val="auto"/>
              </w:rPr>
              <w:t>234</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23"/>
        </w:trPr>
        <w:tc>
          <w:tcPr>
            <w:tcW w:w="4120" w:type="dxa"/>
            <w:vAlign w:val="bottom"/>
            <w:gridSpan w:val="2"/>
          </w:tcPr>
          <w:p>
            <w:pPr>
              <w:spacing w:after="0"/>
              <w:rPr>
                <w:sz w:val="20"/>
                <w:szCs w:val="20"/>
                <w:color w:val="auto"/>
              </w:rPr>
            </w:pPr>
            <w:r>
              <w:rPr>
                <w:rFonts w:ascii="Arial" w:cs="Arial" w:eastAsia="Arial" w:hAnsi="Arial"/>
                <w:sz w:val="18"/>
                <w:szCs w:val="18"/>
                <w:color w:val="auto"/>
              </w:rPr>
              <w:t>Income before taxes</w:t>
            </w:r>
          </w:p>
        </w:tc>
        <w:tc>
          <w:tcPr>
            <w:tcW w:w="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956</w:t>
            </w:r>
          </w:p>
        </w:tc>
        <w:tc>
          <w:tcPr>
            <w:tcW w:w="460" w:type="dxa"/>
            <w:vAlign w:val="bottom"/>
          </w:tcPr>
          <w:p>
            <w:pPr>
              <w:spacing w:after="0"/>
              <w:rPr>
                <w:sz w:val="19"/>
                <w:szCs w:val="19"/>
                <w:color w:val="auto"/>
              </w:rPr>
            </w:pPr>
          </w:p>
        </w:tc>
        <w:tc>
          <w:tcPr>
            <w:tcW w:w="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943</w:t>
            </w:r>
          </w:p>
        </w:tc>
        <w:tc>
          <w:tcPr>
            <w:tcW w:w="460" w:type="dxa"/>
            <w:vAlign w:val="bottom"/>
          </w:tcPr>
          <w:p>
            <w:pPr>
              <w:spacing w:after="0"/>
              <w:rPr>
                <w:sz w:val="19"/>
                <w:szCs w:val="19"/>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1,063</w:t>
            </w:r>
          </w:p>
        </w:tc>
        <w:tc>
          <w:tcPr>
            <w:tcW w:w="2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Charges &amp; credits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41</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561</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206</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Depreciation and amortization</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685</w:t>
            </w:r>
          </w:p>
        </w:tc>
        <w:tc>
          <w:tcPr>
            <w:tcW w:w="4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732</w:t>
            </w:r>
          </w:p>
        </w:tc>
        <w:tc>
          <w:tcPr>
            <w:tcW w:w="46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640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Interest expense</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116</w:t>
            </w:r>
          </w:p>
        </w:tc>
        <w:tc>
          <w:tcPr>
            <w:tcW w:w="46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126</w:t>
            </w:r>
          </w:p>
        </w:tc>
        <w:tc>
          <w:tcPr>
            <w:tcW w:w="460" w:type="dxa"/>
            <w:vAlign w:val="bottom"/>
            <w:shd w:val="clear" w:color="auto" w:fill="CCEEFF"/>
          </w:tcPr>
          <w:p>
            <w:pPr>
              <w:spacing w:after="0"/>
              <w:rPr>
                <w:sz w:val="18"/>
                <w:szCs w:val="18"/>
                <w:color w:val="auto"/>
              </w:rPr>
            </w:pP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147</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20" w:type="dxa"/>
            <w:vAlign w:val="bottom"/>
          </w:tcPr>
          <w:p>
            <w:pPr>
              <w:spacing w:after="0"/>
              <w:rPr>
                <w:sz w:val="18"/>
                <w:szCs w:val="18"/>
                <w:color w:val="auto"/>
              </w:rPr>
            </w:pPr>
          </w:p>
        </w:tc>
        <w:tc>
          <w:tcPr>
            <w:tcW w:w="4100" w:type="dxa"/>
            <w:vAlign w:val="bottom"/>
          </w:tcPr>
          <w:p>
            <w:pPr>
              <w:spacing w:after="0"/>
              <w:rPr>
                <w:sz w:val="20"/>
                <w:szCs w:val="20"/>
                <w:color w:val="auto"/>
              </w:rPr>
            </w:pPr>
            <w:r>
              <w:rPr>
                <w:rFonts w:ascii="Arial" w:cs="Arial" w:eastAsia="Arial" w:hAnsi="Arial"/>
                <w:sz w:val="18"/>
                <w:szCs w:val="18"/>
                <w:color w:val="auto"/>
              </w:rPr>
              <w:t>Interest income</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116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(25)</w:t>
            </w:r>
          </w:p>
        </w:tc>
        <w:tc>
          <w:tcPr>
            <w:tcW w:w="30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1200" w:type="dxa"/>
            <w:vAlign w:val="bottom"/>
            <w:gridSpan w:val="2"/>
          </w:tcPr>
          <w:p>
            <w:pPr>
              <w:jc w:val="right"/>
              <w:ind w:right="400"/>
              <w:spacing w:after="0"/>
              <w:rPr>
                <w:sz w:val="20"/>
                <w:szCs w:val="20"/>
                <w:color w:val="auto"/>
              </w:rPr>
            </w:pPr>
            <w:r>
              <w:rPr>
                <w:rFonts w:ascii="Arial" w:cs="Arial" w:eastAsia="Arial" w:hAnsi="Arial"/>
                <w:sz w:val="18"/>
                <w:szCs w:val="18"/>
                <w:color w:val="auto"/>
              </w:rPr>
              <w:t>(31)</w:t>
            </w:r>
          </w:p>
        </w:tc>
        <w:tc>
          <w:tcPr>
            <w:tcW w:w="3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280" w:type="dxa"/>
            <w:vAlign w:val="bottom"/>
            <w:gridSpan w:val="2"/>
          </w:tcPr>
          <w:p>
            <w:pPr>
              <w:jc w:val="right"/>
              <w:ind w:right="160"/>
              <w:spacing w:after="0"/>
              <w:rPr>
                <w:sz w:val="20"/>
                <w:szCs w:val="20"/>
                <w:color w:val="auto"/>
              </w:rPr>
            </w:pPr>
            <w:r>
              <w:rPr>
                <w:rFonts w:ascii="Arial" w:cs="Arial" w:eastAsia="Arial" w:hAnsi="Arial"/>
                <w:sz w:val="18"/>
                <w:szCs w:val="18"/>
                <w:color w:val="auto"/>
              </w:rPr>
              <w:t>(36)</w:t>
            </w: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w:t>
            </w:r>
          </w:p>
        </w:tc>
        <w:tc>
          <w:tcPr>
            <w:tcW w:w="560" w:type="dxa"/>
            <w:vAlign w:val="bottom"/>
            <w:gridSpan w:val="2"/>
            <w:shd w:val="clear" w:color="auto" w:fill="CCEEFF"/>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1,773</w:t>
            </w:r>
          </w:p>
        </w:tc>
        <w:tc>
          <w:tcPr>
            <w:tcW w:w="460" w:type="dxa"/>
            <w:vAlign w:val="bottom"/>
            <w:shd w:val="clear" w:color="auto" w:fill="CCEEFF"/>
          </w:tcPr>
          <w:p>
            <w:pPr>
              <w:spacing w:after="0"/>
              <w:rPr>
                <w:sz w:val="18"/>
                <w:szCs w:val="18"/>
                <w:color w:val="auto"/>
              </w:rPr>
            </w:pPr>
          </w:p>
        </w:tc>
        <w:tc>
          <w:tcPr>
            <w:tcW w:w="500" w:type="dxa"/>
            <w:vAlign w:val="bottom"/>
            <w:gridSpan w:val="2"/>
            <w:shd w:val="clear" w:color="auto" w:fill="CCEEFF"/>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2,331</w:t>
            </w:r>
          </w:p>
        </w:tc>
        <w:tc>
          <w:tcPr>
            <w:tcW w:w="460" w:type="dxa"/>
            <w:vAlign w:val="bottom"/>
            <w:shd w:val="clear" w:color="auto" w:fill="CCEEFF"/>
          </w:tcPr>
          <w:p>
            <w:pPr>
              <w:spacing w:after="0"/>
              <w:rPr>
                <w:sz w:val="18"/>
                <w:szCs w:val="18"/>
                <w:color w:val="auto"/>
              </w:rPr>
            </w:pPr>
          </w:p>
        </w:tc>
        <w:tc>
          <w:tcPr>
            <w:tcW w:w="44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8"/>
                <w:szCs w:val="18"/>
                <w:color w:val="auto"/>
              </w:rPr>
              <w:t>2,020</w:t>
            </w: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4120" w:type="dxa"/>
            <w:vAlign w:val="bottom"/>
            <w:gridSpan w:val="2"/>
            <w:vMerge w:val="restart"/>
          </w:tcPr>
          <w:p>
            <w:pPr>
              <w:spacing w:after="0"/>
              <w:rPr>
                <w:sz w:val="20"/>
                <w:szCs w:val="20"/>
                <w:color w:val="auto"/>
              </w:rPr>
            </w:pPr>
            <w:r>
              <w:rPr>
                <w:rFonts w:ascii="Arial" w:cs="Arial" w:eastAsia="Arial" w:hAnsi="Arial"/>
                <w:sz w:val="18"/>
                <w:szCs w:val="18"/>
                <w:color w:val="auto"/>
              </w:rPr>
              <w:t>Revenue</w:t>
            </w: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4120" w:type="dxa"/>
            <w:vAlign w:val="bottom"/>
            <w:gridSpan w:val="2"/>
            <w:vMerge w:val="continue"/>
          </w:tcPr>
          <w:p>
            <w:pPr>
              <w:spacing w:after="0"/>
              <w:rPr>
                <w:sz w:val="18"/>
                <w:szCs w:val="18"/>
                <w:color w:val="auto"/>
              </w:rPr>
            </w:pPr>
          </w:p>
        </w:tc>
        <w:tc>
          <w:tcPr>
            <w:tcW w:w="560" w:type="dxa"/>
            <w:vAlign w:val="bottom"/>
            <w:gridSpan w:val="2"/>
          </w:tcPr>
          <w:p>
            <w:pPr>
              <w:ind w:left="380"/>
              <w:spacing w:after="0"/>
              <w:rPr>
                <w:sz w:val="20"/>
                <w:szCs w:val="20"/>
                <w:color w:val="auto"/>
              </w:rPr>
            </w:pPr>
            <w:r>
              <w:rPr>
                <w:rFonts w:ascii="Arial" w:cs="Arial" w:eastAsia="Arial" w:hAnsi="Arial"/>
                <w:sz w:val="18"/>
                <w:szCs w:val="18"/>
                <w:b w:val="1"/>
                <w:bCs w:val="1"/>
                <w:color w:val="auto"/>
              </w:rPr>
              <w:t>$</w:t>
            </w:r>
          </w:p>
        </w:tc>
        <w:tc>
          <w:tcPr>
            <w:tcW w:w="700" w:type="dxa"/>
            <w:vAlign w:val="bottom"/>
          </w:tcPr>
          <w:p>
            <w:pPr>
              <w:jc w:val="right"/>
              <w:spacing w:after="0"/>
              <w:rPr>
                <w:sz w:val="20"/>
                <w:szCs w:val="20"/>
                <w:color w:val="auto"/>
              </w:rPr>
            </w:pPr>
            <w:r>
              <w:rPr>
                <w:rFonts w:ascii="Arial" w:cs="Arial" w:eastAsia="Arial" w:hAnsi="Arial"/>
                <w:sz w:val="18"/>
                <w:szCs w:val="18"/>
                <w:b w:val="1"/>
                <w:bCs w:val="1"/>
                <w:color w:val="auto"/>
              </w:rPr>
              <w:t>8,721</w:t>
            </w:r>
          </w:p>
        </w:tc>
        <w:tc>
          <w:tcPr>
            <w:tcW w:w="460" w:type="dxa"/>
            <w:vAlign w:val="bottom"/>
          </w:tcPr>
          <w:p>
            <w:pPr>
              <w:spacing w:after="0"/>
              <w:rPr>
                <w:sz w:val="18"/>
                <w:szCs w:val="18"/>
                <w:color w:val="auto"/>
              </w:rPr>
            </w:pPr>
          </w:p>
        </w:tc>
        <w:tc>
          <w:tcPr>
            <w:tcW w:w="500" w:type="dxa"/>
            <w:vAlign w:val="bottom"/>
            <w:gridSpan w:val="2"/>
          </w:tcPr>
          <w:p>
            <w:pPr>
              <w:jc w:val="right"/>
              <w:ind w:right="47"/>
              <w:spacing w:after="0"/>
              <w:rPr>
                <w:sz w:val="20"/>
                <w:szCs w:val="20"/>
                <w:color w:val="auto"/>
              </w:rPr>
            </w:pPr>
            <w:r>
              <w:rPr>
                <w:rFonts w:ascii="Arial" w:cs="Arial" w:eastAsia="Arial" w:hAnsi="Arial"/>
                <w:sz w:val="18"/>
                <w:szCs w:val="18"/>
                <w:color w:val="auto"/>
              </w:rPr>
              <w:t>$</w:t>
            </w:r>
          </w:p>
        </w:tc>
        <w:tc>
          <w:tcPr>
            <w:tcW w:w="740" w:type="dxa"/>
            <w:vAlign w:val="bottom"/>
          </w:tcPr>
          <w:p>
            <w:pPr>
              <w:jc w:val="right"/>
              <w:spacing w:after="0"/>
              <w:rPr>
                <w:sz w:val="20"/>
                <w:szCs w:val="20"/>
                <w:color w:val="auto"/>
              </w:rPr>
            </w:pPr>
            <w:r>
              <w:rPr>
                <w:rFonts w:ascii="Arial" w:cs="Arial" w:eastAsia="Arial" w:hAnsi="Arial"/>
                <w:sz w:val="18"/>
                <w:szCs w:val="18"/>
                <w:color w:val="auto"/>
              </w:rPr>
              <w:t>9,745</w:t>
            </w:r>
          </w:p>
        </w:tc>
        <w:tc>
          <w:tcPr>
            <w:tcW w:w="460" w:type="dxa"/>
            <w:vAlign w:val="bottom"/>
          </w:tcPr>
          <w:p>
            <w:pPr>
              <w:spacing w:after="0"/>
              <w:rPr>
                <w:sz w:val="18"/>
                <w:szCs w:val="18"/>
                <w:color w:val="auto"/>
              </w:rPr>
            </w:pPr>
          </w:p>
        </w:tc>
        <w:tc>
          <w:tcPr>
            <w:tcW w:w="44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8,490</w:t>
            </w: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20" w:type="dxa"/>
            <w:vAlign w:val="bottom"/>
            <w:vMerge w:val="restart"/>
          </w:tcPr>
          <w:p>
            <w:pPr>
              <w:spacing w:after="0"/>
              <w:rPr>
                <w:sz w:val="2"/>
                <w:szCs w:val="2"/>
                <w:color w:val="auto"/>
              </w:rPr>
            </w:pPr>
          </w:p>
        </w:tc>
        <w:tc>
          <w:tcPr>
            <w:tcW w:w="4100" w:type="dxa"/>
            <w:vAlign w:val="bottom"/>
          </w:tcPr>
          <w:p>
            <w:pPr>
              <w:spacing w:after="0"/>
              <w:rPr>
                <w:sz w:val="2"/>
                <w:szCs w:val="2"/>
                <w:color w:val="auto"/>
              </w:rPr>
            </w:pPr>
          </w:p>
        </w:tc>
        <w:tc>
          <w:tcPr>
            <w:tcW w:w="380" w:type="dxa"/>
            <w:vAlign w:val="bottom"/>
          </w:tcPr>
          <w:p>
            <w:pPr>
              <w:spacing w:after="0"/>
              <w:rPr>
                <w:sz w:val="2"/>
                <w:szCs w:val="2"/>
                <w:color w:val="auto"/>
              </w:rPr>
            </w:pPr>
          </w:p>
        </w:tc>
        <w:tc>
          <w:tcPr>
            <w:tcW w:w="180" w:type="dxa"/>
            <w:vAlign w:val="bottom"/>
            <w:shd w:val="clear" w:color="auto" w:fill="000000"/>
          </w:tcPr>
          <w:p>
            <w:pPr>
              <w:spacing w:after="0"/>
              <w:rPr>
                <w:sz w:val="2"/>
                <w:szCs w:val="2"/>
                <w:color w:val="auto"/>
              </w:rPr>
            </w:pPr>
          </w:p>
        </w:tc>
        <w:tc>
          <w:tcPr>
            <w:tcW w:w="70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00" w:type="dxa"/>
            <w:vAlign w:val="bottom"/>
          </w:tcPr>
          <w:p>
            <w:pPr>
              <w:spacing w:after="0"/>
              <w:rPr>
                <w:sz w:val="2"/>
                <w:szCs w:val="2"/>
                <w:color w:val="auto"/>
              </w:rPr>
            </w:pPr>
          </w:p>
        </w:tc>
        <w:tc>
          <w:tcPr>
            <w:tcW w:w="200" w:type="dxa"/>
            <w:vAlign w:val="bottom"/>
            <w:shd w:val="clear" w:color="auto" w:fill="000000"/>
          </w:tcPr>
          <w:p>
            <w:pPr>
              <w:spacing w:after="0"/>
              <w:rPr>
                <w:sz w:val="2"/>
                <w:szCs w:val="2"/>
                <w:color w:val="auto"/>
              </w:rPr>
            </w:pPr>
          </w:p>
        </w:tc>
        <w:tc>
          <w:tcPr>
            <w:tcW w:w="740" w:type="dxa"/>
            <w:vAlign w:val="bottom"/>
            <w:shd w:val="clear" w:color="auto" w:fill="000000"/>
          </w:tcPr>
          <w:p>
            <w:pPr>
              <w:spacing w:after="0"/>
              <w:rPr>
                <w:sz w:val="2"/>
                <w:szCs w:val="2"/>
                <w:color w:val="auto"/>
              </w:rPr>
            </w:pPr>
          </w:p>
        </w:tc>
        <w:tc>
          <w:tcPr>
            <w:tcW w:w="460" w:type="dxa"/>
            <w:vAlign w:val="bottom"/>
          </w:tcPr>
          <w:p>
            <w:pPr>
              <w:spacing w:after="0"/>
              <w:rPr>
                <w:sz w:val="2"/>
                <w:szCs w:val="2"/>
                <w:color w:val="auto"/>
              </w:rPr>
            </w:pPr>
          </w:p>
        </w:tc>
        <w:tc>
          <w:tcPr>
            <w:tcW w:w="3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106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20" w:type="dxa"/>
            <w:vAlign w:val="bottom"/>
            <w:vMerge w:val="continue"/>
          </w:tcPr>
          <w:p>
            <w:pPr>
              <w:spacing w:after="0"/>
              <w:rPr>
                <w:sz w:val="18"/>
                <w:szCs w:val="18"/>
                <w:color w:val="auto"/>
              </w:rPr>
            </w:pPr>
          </w:p>
        </w:tc>
        <w:tc>
          <w:tcPr>
            <w:tcW w:w="4100" w:type="dxa"/>
            <w:vAlign w:val="bottom"/>
            <w:shd w:val="clear" w:color="auto" w:fill="CCEEFF"/>
          </w:tcPr>
          <w:p>
            <w:pPr>
              <w:spacing w:after="0"/>
              <w:rPr>
                <w:sz w:val="20"/>
                <w:szCs w:val="20"/>
                <w:color w:val="auto"/>
              </w:rPr>
            </w:pPr>
            <w:r>
              <w:rPr>
                <w:rFonts w:ascii="Arial" w:cs="Arial" w:eastAsia="Arial" w:hAnsi="Arial"/>
                <w:sz w:val="18"/>
                <w:szCs w:val="18"/>
                <w:color w:val="auto"/>
              </w:rPr>
              <w:t>Adjusted EBITDA margin</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116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b w:val="1"/>
                <w:bCs w:val="1"/>
                <w:color w:val="auto"/>
              </w:rPr>
              <w:t>20.3%</w:t>
            </w:r>
          </w:p>
        </w:tc>
        <w:tc>
          <w:tcPr>
            <w:tcW w:w="30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1200" w:type="dxa"/>
            <w:vAlign w:val="bottom"/>
            <w:gridSpan w:val="2"/>
            <w:shd w:val="clear" w:color="auto" w:fill="CCEEFF"/>
          </w:tcPr>
          <w:p>
            <w:pPr>
              <w:jc w:val="right"/>
              <w:ind w:right="300"/>
              <w:spacing w:after="0"/>
              <w:rPr>
                <w:sz w:val="20"/>
                <w:szCs w:val="20"/>
                <w:color w:val="auto"/>
              </w:rPr>
            </w:pPr>
            <w:r>
              <w:rPr>
                <w:rFonts w:ascii="Arial" w:cs="Arial" w:eastAsia="Arial" w:hAnsi="Arial"/>
                <w:sz w:val="18"/>
                <w:szCs w:val="18"/>
                <w:color w:val="auto"/>
              </w:rPr>
              <w:t>23.9%</w:t>
            </w:r>
          </w:p>
        </w:tc>
        <w:tc>
          <w:tcPr>
            <w:tcW w:w="3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128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23.8%</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10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8" w:lineRule="exact"/>
        <w:rPr>
          <w:sz w:val="20"/>
          <w:szCs w:val="20"/>
          <w:color w:val="auto"/>
        </w:rPr>
      </w:pPr>
    </w:p>
    <w:p>
      <w:pPr>
        <w:ind w:left="424" w:right="280" w:hanging="424"/>
        <w:spacing w:after="0" w:line="281" w:lineRule="auto"/>
        <w:tabs>
          <w:tab w:leader="none" w:pos="424" w:val="left"/>
        </w:tabs>
        <w:numPr>
          <w:ilvl w:val="0"/>
          <w:numId w:val="26"/>
        </w:numPr>
        <w:rPr>
          <w:rFonts w:ascii="Arial" w:cs="Arial" w:eastAsia="Arial" w:hAnsi="Arial"/>
          <w:sz w:val="18"/>
          <w:szCs w:val="18"/>
          <w:b w:val="1"/>
          <w:bCs w:val="1"/>
          <w:color w:val="auto"/>
        </w:rPr>
      </w:pPr>
      <w:r>
        <w:rPr>
          <w:rFonts w:ascii="Arial" w:cs="Arial" w:eastAsia="Arial" w:hAnsi="Arial"/>
          <w:sz w:val="18"/>
          <w:szCs w:val="18"/>
          <w:b w:val="1"/>
          <w:bCs w:val="1"/>
          <w:color w:val="auto"/>
        </w:rPr>
        <w:t>What were the components of depreciation and amortization expenses for the first quarter of 2026, the fourth quarter of 2025, and the first quarter of 2025?</w:t>
      </w:r>
    </w:p>
    <w:p>
      <w:pPr>
        <w:spacing w:after="0" w:line="28" w:lineRule="exact"/>
        <w:rPr>
          <w:rFonts w:ascii="Arial" w:cs="Arial" w:eastAsia="Arial" w:hAnsi="Arial"/>
          <w:sz w:val="18"/>
          <w:szCs w:val="18"/>
          <w:b w:val="1"/>
          <w:bCs w:val="1"/>
          <w:color w:val="auto"/>
        </w:rPr>
      </w:pPr>
    </w:p>
    <w:p>
      <w:pPr>
        <w:ind w:left="444" w:right="3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The components of depreciation and amortization expenses for the first quarter of 2026, the fourth quarter of 2025, and the first quarter of 2025 were as follows:</w:t>
      </w:r>
    </w:p>
    <w:p>
      <w:pPr>
        <w:spacing w:after="0" w:line="190" w:lineRule="exact"/>
        <w:rPr>
          <w:sz w:val="20"/>
          <w:szCs w:val="20"/>
          <w:color w:val="auto"/>
        </w:rPr>
      </w:pPr>
    </w:p>
    <w:tbl>
      <w:tblPr>
        <w:tblLayout w:type="fixed"/>
        <w:tblInd w:w="884" w:type="dxa"/>
        <w:tblCellMar>
          <w:top w:w="0" w:type="dxa"/>
          <w:left w:w="0" w:type="dxa"/>
          <w:bottom w:w="0" w:type="dxa"/>
          <w:right w:w="0" w:type="dxa"/>
        </w:tblCellMar>
      </w:tblPr>
      <w:tr>
        <w:trPr>
          <w:trHeight w:val="162"/>
        </w:trPr>
        <w:tc>
          <w:tcPr>
            <w:tcW w:w="428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2020" w:type="dxa"/>
            <w:vAlign w:val="bottom"/>
            <w:gridSpan w:val="4"/>
          </w:tcPr>
          <w:p>
            <w:pPr>
              <w:jc w:val="center"/>
              <w:ind w:left="639"/>
              <w:spacing w:after="0"/>
              <w:rPr>
                <w:sz w:val="20"/>
                <w:szCs w:val="20"/>
                <w:color w:val="auto"/>
              </w:rPr>
            </w:pPr>
            <w:r>
              <w:rPr>
                <w:rFonts w:ascii="Arial" w:cs="Arial" w:eastAsia="Arial" w:hAnsi="Arial"/>
                <w:sz w:val="14"/>
                <w:szCs w:val="14"/>
                <w:color w:val="auto"/>
              </w:rPr>
              <w:t>(Stated in millions)</w:t>
            </w:r>
          </w:p>
        </w:tc>
      </w:tr>
      <w:tr>
        <w:trPr>
          <w:trHeight w:val="162"/>
        </w:trPr>
        <w:tc>
          <w:tcPr>
            <w:tcW w:w="4280" w:type="dxa"/>
            <w:vAlign w:val="bottom"/>
          </w:tcPr>
          <w:p>
            <w:pPr>
              <w:spacing w:after="0"/>
              <w:rPr>
                <w:sz w:val="14"/>
                <w:szCs w:val="14"/>
                <w:color w:val="auto"/>
              </w:rPr>
            </w:pPr>
          </w:p>
        </w:tc>
        <w:tc>
          <w:tcPr>
            <w:tcW w:w="1240" w:type="dxa"/>
            <w:vAlign w:val="bottom"/>
            <w:gridSpan w:val="3"/>
          </w:tcPr>
          <w:p>
            <w:pPr>
              <w:jc w:val="right"/>
              <w:spacing w:after="0"/>
              <w:rPr>
                <w:sz w:val="20"/>
                <w:szCs w:val="20"/>
                <w:color w:val="auto"/>
              </w:rPr>
            </w:pPr>
            <w:r>
              <w:rPr>
                <w:rFonts w:ascii="Arial" w:cs="Arial" w:eastAsia="Arial" w:hAnsi="Arial"/>
                <w:sz w:val="14"/>
                <w:szCs w:val="14"/>
                <w:b w:val="1"/>
                <w:bCs w:val="1"/>
                <w:color w:val="auto"/>
              </w:rPr>
              <w:t>First Quarter</w:t>
            </w:r>
          </w:p>
        </w:tc>
        <w:tc>
          <w:tcPr>
            <w:tcW w:w="1720" w:type="dxa"/>
            <w:vAlign w:val="bottom"/>
            <w:gridSpan w:val="3"/>
          </w:tcPr>
          <w:p>
            <w:pPr>
              <w:jc w:val="right"/>
              <w:spacing w:after="0"/>
              <w:rPr>
                <w:sz w:val="20"/>
                <w:szCs w:val="20"/>
                <w:color w:val="auto"/>
              </w:rPr>
            </w:pPr>
            <w:r>
              <w:rPr>
                <w:rFonts w:ascii="Arial" w:cs="Arial" w:eastAsia="Arial" w:hAnsi="Arial"/>
                <w:sz w:val="14"/>
                <w:szCs w:val="14"/>
                <w:color w:val="auto"/>
              </w:rPr>
              <w:t>Fourth Quarter</w:t>
            </w:r>
          </w:p>
        </w:tc>
        <w:tc>
          <w:tcPr>
            <w:tcW w:w="7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1100" w:type="dxa"/>
            <w:vAlign w:val="bottom"/>
            <w:gridSpan w:val="2"/>
          </w:tcPr>
          <w:p>
            <w:pPr>
              <w:jc w:val="center"/>
              <w:ind w:right="220"/>
              <w:spacing w:after="0"/>
              <w:rPr>
                <w:sz w:val="20"/>
                <w:szCs w:val="20"/>
                <w:color w:val="auto"/>
              </w:rPr>
            </w:pPr>
            <w:r>
              <w:rPr>
                <w:rFonts w:ascii="Arial" w:cs="Arial" w:eastAsia="Arial" w:hAnsi="Arial"/>
                <w:sz w:val="14"/>
                <w:szCs w:val="14"/>
                <w:color w:val="auto"/>
              </w:rPr>
              <w:t>First Quarter</w:t>
            </w:r>
          </w:p>
        </w:tc>
      </w:tr>
      <w:tr>
        <w:trPr>
          <w:trHeight w:val="171"/>
        </w:trPr>
        <w:tc>
          <w:tcPr>
            <w:tcW w:w="4280" w:type="dxa"/>
            <w:vAlign w:val="bottom"/>
            <w:tcBorders>
              <w:bottom w:val="single" w:sz="8" w:color="CCEEFF"/>
            </w:tcBorders>
          </w:tcPr>
          <w:p>
            <w:pPr>
              <w:spacing w:after="0"/>
              <w:rPr>
                <w:sz w:val="14"/>
                <w:szCs w:val="14"/>
                <w:color w:val="auto"/>
              </w:rPr>
            </w:pPr>
          </w:p>
        </w:tc>
        <w:tc>
          <w:tcPr>
            <w:tcW w:w="380" w:type="dxa"/>
            <w:vAlign w:val="bottom"/>
            <w:tcBorders>
              <w:bottom w:val="single" w:sz="8" w:color="CCEEFF"/>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680" w:type="dxa"/>
            <w:vAlign w:val="bottom"/>
            <w:tcBorders>
              <w:bottom w:val="single" w:sz="8" w:color="auto"/>
            </w:tcBorders>
          </w:tcPr>
          <w:p>
            <w:pPr>
              <w:jc w:val="right"/>
              <w:ind w:right="193"/>
              <w:spacing w:after="0"/>
              <w:rPr>
                <w:sz w:val="20"/>
                <w:szCs w:val="20"/>
                <w:color w:val="auto"/>
              </w:rPr>
            </w:pPr>
            <w:r>
              <w:rPr>
                <w:rFonts w:ascii="Arial" w:cs="Arial" w:eastAsia="Arial" w:hAnsi="Arial"/>
                <w:sz w:val="14"/>
                <w:szCs w:val="14"/>
                <w:b w:val="1"/>
                <w:bCs w:val="1"/>
                <w:color w:val="auto"/>
              </w:rPr>
              <w:t>2026</w:t>
            </w:r>
          </w:p>
        </w:tc>
        <w:tc>
          <w:tcPr>
            <w:tcW w:w="780" w:type="dxa"/>
            <w:vAlign w:val="bottom"/>
            <w:tcBorders>
              <w:bottom w:val="single" w:sz="8" w:color="CCEEFF"/>
            </w:tcBorders>
          </w:tcPr>
          <w:p>
            <w:pPr>
              <w:spacing w:after="0"/>
              <w:rPr>
                <w:sz w:val="14"/>
                <w:szCs w:val="14"/>
                <w:color w:val="auto"/>
              </w:rPr>
            </w:pPr>
          </w:p>
        </w:tc>
        <w:tc>
          <w:tcPr>
            <w:tcW w:w="200" w:type="dxa"/>
            <w:vAlign w:val="bottom"/>
            <w:tcBorders>
              <w:bottom w:val="single" w:sz="8" w:color="auto"/>
            </w:tcBorders>
          </w:tcPr>
          <w:p>
            <w:pPr>
              <w:spacing w:after="0"/>
              <w:rPr>
                <w:sz w:val="14"/>
                <w:szCs w:val="14"/>
                <w:color w:val="auto"/>
              </w:rPr>
            </w:pPr>
          </w:p>
        </w:tc>
        <w:tc>
          <w:tcPr>
            <w:tcW w:w="740" w:type="dxa"/>
            <w:vAlign w:val="bottom"/>
            <w:tcBorders>
              <w:bottom w:val="single" w:sz="8" w:color="auto"/>
            </w:tcBorders>
          </w:tcPr>
          <w:p>
            <w:pPr>
              <w:jc w:val="right"/>
              <w:ind w:right="233"/>
              <w:spacing w:after="0"/>
              <w:rPr>
                <w:sz w:val="20"/>
                <w:szCs w:val="20"/>
                <w:color w:val="auto"/>
              </w:rPr>
            </w:pPr>
            <w:r>
              <w:rPr>
                <w:rFonts w:ascii="Arial" w:cs="Arial" w:eastAsia="Arial" w:hAnsi="Arial"/>
                <w:sz w:val="14"/>
                <w:szCs w:val="14"/>
                <w:color w:val="auto"/>
              </w:rPr>
              <w:t>2025</w:t>
            </w:r>
          </w:p>
        </w:tc>
        <w:tc>
          <w:tcPr>
            <w:tcW w:w="780" w:type="dxa"/>
            <w:vAlign w:val="bottom"/>
            <w:tcBorders>
              <w:bottom w:val="single" w:sz="8" w:color="CCEEFF"/>
            </w:tcBorders>
          </w:tcPr>
          <w:p>
            <w:pPr>
              <w:spacing w:after="0"/>
              <w:rPr>
                <w:sz w:val="14"/>
                <w:szCs w:val="14"/>
                <w:color w:val="auto"/>
              </w:rPr>
            </w:pPr>
          </w:p>
        </w:tc>
        <w:tc>
          <w:tcPr>
            <w:tcW w:w="14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center"/>
              <w:ind w:right="75"/>
              <w:spacing w:after="0"/>
              <w:rPr>
                <w:sz w:val="20"/>
                <w:szCs w:val="20"/>
                <w:color w:val="auto"/>
              </w:rPr>
            </w:pPr>
            <w:r>
              <w:rPr>
                <w:rFonts w:ascii="Arial" w:cs="Arial" w:eastAsia="Arial" w:hAnsi="Arial"/>
                <w:sz w:val="14"/>
                <w:szCs w:val="14"/>
                <w:color w:val="auto"/>
              </w:rPr>
              <w:t>2025</w:t>
            </w:r>
          </w:p>
        </w:tc>
        <w:tc>
          <w:tcPr>
            <w:tcW w:w="60" w:type="dxa"/>
            <w:vAlign w:val="bottom"/>
            <w:tcBorders>
              <w:bottom w:val="single" w:sz="8" w:color="CCEEFF"/>
            </w:tcBorders>
          </w:tcPr>
          <w:p>
            <w:pPr>
              <w:spacing w:after="0"/>
              <w:rPr>
                <w:sz w:val="14"/>
                <w:szCs w:val="14"/>
                <w:color w:val="auto"/>
              </w:rPr>
            </w:pPr>
          </w:p>
        </w:tc>
      </w:tr>
      <w:tr>
        <w:trPr>
          <w:trHeight w:val="196"/>
        </w:trPr>
        <w:tc>
          <w:tcPr>
            <w:tcW w:w="4280" w:type="dxa"/>
            <w:vAlign w:val="bottom"/>
            <w:shd w:val="clear" w:color="auto" w:fill="CCEEFF"/>
          </w:tcPr>
          <w:p>
            <w:pPr>
              <w:spacing w:after="0" w:line="196" w:lineRule="exact"/>
              <w:rPr>
                <w:sz w:val="20"/>
                <w:szCs w:val="20"/>
                <w:color w:val="auto"/>
              </w:rPr>
            </w:pPr>
            <w:r>
              <w:rPr>
                <w:rFonts w:ascii="Arial" w:cs="Arial" w:eastAsia="Arial" w:hAnsi="Arial"/>
                <w:sz w:val="18"/>
                <w:szCs w:val="18"/>
                <w:color w:val="auto"/>
              </w:rPr>
              <w:t>Depreciation offixed assets</w:t>
            </w:r>
          </w:p>
        </w:tc>
        <w:tc>
          <w:tcPr>
            <w:tcW w:w="380" w:type="dxa"/>
            <w:vAlign w:val="bottom"/>
            <w:shd w:val="clear" w:color="auto" w:fill="CCEEFF"/>
          </w:tcPr>
          <w:p>
            <w:pPr>
              <w:spacing w:after="0"/>
              <w:rPr>
                <w:sz w:val="17"/>
                <w:szCs w:val="17"/>
                <w:color w:val="auto"/>
              </w:rPr>
            </w:pPr>
          </w:p>
        </w:tc>
        <w:tc>
          <w:tcPr>
            <w:tcW w:w="180" w:type="dxa"/>
            <w:vAlign w:val="bottom"/>
            <w:shd w:val="clear" w:color="auto" w:fill="CCEEFF"/>
          </w:tcPr>
          <w:p>
            <w:pPr>
              <w:jc w:val="right"/>
              <w:ind w:right="27"/>
              <w:spacing w:after="0"/>
              <w:rPr>
                <w:sz w:val="20"/>
                <w:szCs w:val="20"/>
                <w:color w:val="auto"/>
              </w:rPr>
            </w:pPr>
            <w:r>
              <w:rPr>
                <w:rFonts w:ascii="Arial" w:cs="Arial" w:eastAsia="Arial" w:hAnsi="Arial"/>
                <w:sz w:val="15"/>
                <w:szCs w:val="15"/>
                <w:b w:val="1"/>
                <w:bCs w:val="1"/>
                <w:color w:val="auto"/>
                <w:w w:val="71"/>
              </w:rPr>
              <w:t>$</w:t>
            </w:r>
          </w:p>
        </w:tc>
        <w:tc>
          <w:tcPr>
            <w:tcW w:w="68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b w:val="1"/>
                <w:bCs w:val="1"/>
                <w:color w:val="auto"/>
              </w:rPr>
              <w:t>464</w:t>
            </w:r>
          </w:p>
        </w:tc>
        <w:tc>
          <w:tcPr>
            <w:tcW w:w="780" w:type="dxa"/>
            <w:vAlign w:val="bottom"/>
            <w:shd w:val="clear" w:color="auto" w:fill="CCEEFF"/>
          </w:tcPr>
          <w:p>
            <w:pPr>
              <w:spacing w:after="0"/>
              <w:rPr>
                <w:sz w:val="17"/>
                <w:szCs w:val="17"/>
                <w:color w:val="auto"/>
              </w:rPr>
            </w:pPr>
          </w:p>
        </w:tc>
        <w:tc>
          <w:tcPr>
            <w:tcW w:w="200" w:type="dxa"/>
            <w:vAlign w:val="bottom"/>
            <w:shd w:val="clear" w:color="auto" w:fill="CCEEFF"/>
          </w:tcPr>
          <w:p>
            <w:pPr>
              <w:jc w:val="right"/>
              <w:ind w:right="10"/>
              <w:spacing w:after="0" w:line="196" w:lineRule="exact"/>
              <w:rPr>
                <w:sz w:val="20"/>
                <w:szCs w:val="20"/>
                <w:color w:val="auto"/>
              </w:rPr>
            </w:pPr>
            <w:r>
              <w:rPr>
                <w:rFonts w:ascii="Arial" w:cs="Arial" w:eastAsia="Arial" w:hAnsi="Arial"/>
                <w:sz w:val="18"/>
                <w:szCs w:val="18"/>
                <w:color w:val="auto"/>
                <w:w w:val="79"/>
              </w:rPr>
              <w:t>$</w:t>
            </w:r>
          </w:p>
        </w:tc>
        <w:tc>
          <w:tcPr>
            <w:tcW w:w="7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475</w:t>
            </w:r>
          </w:p>
        </w:tc>
        <w:tc>
          <w:tcPr>
            <w:tcW w:w="780" w:type="dxa"/>
            <w:vAlign w:val="bottom"/>
            <w:shd w:val="clear" w:color="auto" w:fill="CCEEFF"/>
          </w:tcPr>
          <w:p>
            <w:pPr>
              <w:spacing w:after="0"/>
              <w:rPr>
                <w:sz w:val="17"/>
                <w:szCs w:val="17"/>
                <w:color w:val="auto"/>
              </w:rPr>
            </w:pPr>
          </w:p>
        </w:tc>
        <w:tc>
          <w:tcPr>
            <w:tcW w:w="140" w:type="dxa"/>
            <w:vAlign w:val="bottom"/>
            <w:shd w:val="clear" w:color="auto" w:fill="CCEEFF"/>
          </w:tcPr>
          <w:p>
            <w:pPr>
              <w:jc w:val="right"/>
              <w:spacing w:after="0"/>
              <w:rPr>
                <w:sz w:val="20"/>
                <w:szCs w:val="20"/>
                <w:color w:val="auto"/>
              </w:rPr>
            </w:pPr>
            <w:r>
              <w:rPr>
                <w:rFonts w:ascii="Arial" w:cs="Arial" w:eastAsia="Arial" w:hAnsi="Arial"/>
                <w:sz w:val="15"/>
                <w:szCs w:val="15"/>
                <w:color w:val="auto"/>
                <w:w w:val="71"/>
              </w:rPr>
              <w:t>$</w:t>
            </w:r>
          </w:p>
        </w:tc>
        <w:tc>
          <w:tcPr>
            <w:tcW w:w="1040" w:type="dxa"/>
            <w:vAlign w:val="bottom"/>
            <w:shd w:val="clear" w:color="auto" w:fill="CCEEFF"/>
          </w:tcPr>
          <w:p>
            <w:pPr>
              <w:jc w:val="right"/>
              <w:spacing w:after="0" w:line="196" w:lineRule="exact"/>
              <w:rPr>
                <w:sz w:val="20"/>
                <w:szCs w:val="20"/>
                <w:color w:val="auto"/>
              </w:rPr>
            </w:pPr>
            <w:r>
              <w:rPr>
                <w:rFonts w:ascii="Arial" w:cs="Arial" w:eastAsia="Arial" w:hAnsi="Arial"/>
                <w:sz w:val="18"/>
                <w:szCs w:val="18"/>
                <w:color w:val="auto"/>
              </w:rPr>
              <w:t>397</w:t>
            </w:r>
          </w:p>
        </w:tc>
        <w:tc>
          <w:tcPr>
            <w:tcW w:w="60" w:type="dxa"/>
            <w:vAlign w:val="bottom"/>
            <w:shd w:val="clear" w:color="auto" w:fill="CCEEFF"/>
          </w:tcPr>
          <w:p>
            <w:pPr>
              <w:spacing w:after="0"/>
              <w:rPr>
                <w:sz w:val="17"/>
                <w:szCs w:val="17"/>
                <w:color w:val="auto"/>
              </w:rPr>
            </w:pPr>
          </w:p>
        </w:tc>
      </w:tr>
      <w:tr>
        <w:trPr>
          <w:trHeight w:val="216"/>
        </w:trPr>
        <w:tc>
          <w:tcPr>
            <w:tcW w:w="4280" w:type="dxa"/>
            <w:vAlign w:val="bottom"/>
          </w:tcPr>
          <w:p>
            <w:pPr>
              <w:spacing w:after="0"/>
              <w:rPr>
                <w:sz w:val="20"/>
                <w:szCs w:val="20"/>
                <w:color w:val="auto"/>
              </w:rPr>
            </w:pPr>
            <w:r>
              <w:rPr>
                <w:rFonts w:ascii="Arial" w:cs="Arial" w:eastAsia="Arial" w:hAnsi="Arial"/>
                <w:sz w:val="18"/>
                <w:szCs w:val="18"/>
                <w:color w:val="auto"/>
              </w:rPr>
              <w:t>Amortization of intangible assets</w:t>
            </w:r>
          </w:p>
        </w:tc>
        <w:tc>
          <w:tcPr>
            <w:tcW w:w="3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80" w:type="dxa"/>
            <w:vAlign w:val="bottom"/>
          </w:tcPr>
          <w:p>
            <w:pPr>
              <w:jc w:val="right"/>
              <w:spacing w:after="0"/>
              <w:rPr>
                <w:sz w:val="20"/>
                <w:szCs w:val="20"/>
                <w:color w:val="auto"/>
              </w:rPr>
            </w:pPr>
            <w:r>
              <w:rPr>
                <w:rFonts w:ascii="Arial" w:cs="Arial" w:eastAsia="Arial" w:hAnsi="Arial"/>
                <w:sz w:val="18"/>
                <w:szCs w:val="18"/>
                <w:b w:val="1"/>
                <w:bCs w:val="1"/>
                <w:color w:val="auto"/>
              </w:rPr>
              <w:t>110</w:t>
            </w:r>
          </w:p>
        </w:tc>
        <w:tc>
          <w:tcPr>
            <w:tcW w:w="780" w:type="dxa"/>
            <w:vAlign w:val="bottom"/>
          </w:tcPr>
          <w:p>
            <w:pPr>
              <w:spacing w:after="0"/>
              <w:rPr>
                <w:sz w:val="18"/>
                <w:szCs w:val="18"/>
                <w:color w:val="auto"/>
              </w:rPr>
            </w:pPr>
          </w:p>
        </w:tc>
        <w:tc>
          <w:tcPr>
            <w:tcW w:w="200" w:type="dxa"/>
            <w:vAlign w:val="bottom"/>
          </w:tcPr>
          <w:p>
            <w:pPr>
              <w:spacing w:after="0"/>
              <w:rPr>
                <w:sz w:val="18"/>
                <w:szCs w:val="18"/>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111</w:t>
            </w:r>
          </w:p>
        </w:tc>
        <w:tc>
          <w:tcPr>
            <w:tcW w:w="78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82</w:t>
            </w:r>
          </w:p>
        </w:tc>
        <w:tc>
          <w:tcPr>
            <w:tcW w:w="60" w:type="dxa"/>
            <w:vAlign w:val="bottom"/>
          </w:tcPr>
          <w:p>
            <w:pPr>
              <w:spacing w:after="0"/>
              <w:rPr>
                <w:sz w:val="18"/>
                <w:szCs w:val="18"/>
                <w:color w:val="auto"/>
              </w:rPr>
            </w:pPr>
          </w:p>
        </w:tc>
      </w:tr>
      <w:tr>
        <w:trPr>
          <w:trHeight w:val="216"/>
        </w:trPr>
        <w:tc>
          <w:tcPr>
            <w:tcW w:w="4280" w:type="dxa"/>
            <w:vAlign w:val="bottom"/>
            <w:shd w:val="clear" w:color="auto" w:fill="CCEEFF"/>
          </w:tcPr>
          <w:p>
            <w:pPr>
              <w:spacing w:after="0"/>
              <w:rPr>
                <w:sz w:val="20"/>
                <w:szCs w:val="20"/>
                <w:color w:val="auto"/>
              </w:rPr>
            </w:pPr>
            <w:r>
              <w:rPr>
                <w:rFonts w:ascii="Arial" w:cs="Arial" w:eastAsia="Arial" w:hAnsi="Arial"/>
                <w:sz w:val="18"/>
                <w:szCs w:val="18"/>
                <w:color w:val="auto"/>
              </w:rPr>
              <w:t>Amortization of APS investments</w:t>
            </w:r>
          </w:p>
        </w:tc>
        <w:tc>
          <w:tcPr>
            <w:tcW w:w="380" w:type="dxa"/>
            <w:vAlign w:val="bottom"/>
            <w:shd w:val="clear" w:color="auto" w:fill="CCEEFF"/>
          </w:tcPr>
          <w:p>
            <w:pPr>
              <w:spacing w:after="0"/>
              <w:rPr>
                <w:sz w:val="18"/>
                <w:szCs w:val="18"/>
                <w:color w:val="auto"/>
              </w:rPr>
            </w:pPr>
          </w:p>
        </w:tc>
        <w:tc>
          <w:tcPr>
            <w:tcW w:w="180" w:type="dxa"/>
            <w:vAlign w:val="bottom"/>
            <w:shd w:val="clear" w:color="auto" w:fill="CCEEFF"/>
          </w:tcPr>
          <w:p>
            <w:pPr>
              <w:spacing w:after="0"/>
              <w:rPr>
                <w:sz w:val="18"/>
                <w:szCs w:val="18"/>
                <w:color w:val="auto"/>
              </w:rPr>
            </w:pP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82</w:t>
            </w:r>
          </w:p>
        </w:tc>
        <w:tc>
          <w:tcPr>
            <w:tcW w:w="780" w:type="dxa"/>
            <w:vAlign w:val="bottom"/>
            <w:shd w:val="clear" w:color="auto" w:fill="CCEEFF"/>
          </w:tcPr>
          <w:p>
            <w:pPr>
              <w:spacing w:after="0"/>
              <w:rPr>
                <w:sz w:val="18"/>
                <w:szCs w:val="18"/>
                <w:color w:val="auto"/>
              </w:rPr>
            </w:pPr>
          </w:p>
        </w:tc>
        <w:tc>
          <w:tcPr>
            <w:tcW w:w="200" w:type="dxa"/>
            <w:vAlign w:val="bottom"/>
            <w:shd w:val="clear" w:color="auto" w:fill="CCEEFF"/>
          </w:tcPr>
          <w:p>
            <w:pPr>
              <w:spacing w:after="0"/>
              <w:rPr>
                <w:sz w:val="18"/>
                <w:szCs w:val="18"/>
                <w:color w:val="auto"/>
              </w:rPr>
            </w:pP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84</w:t>
            </w:r>
          </w:p>
        </w:tc>
        <w:tc>
          <w:tcPr>
            <w:tcW w:w="780" w:type="dxa"/>
            <w:vAlign w:val="bottom"/>
            <w:shd w:val="clear" w:color="auto" w:fill="CCEEFF"/>
          </w:tcPr>
          <w:p>
            <w:pPr>
              <w:spacing w:after="0"/>
              <w:rPr>
                <w:sz w:val="18"/>
                <w:szCs w:val="18"/>
                <w:color w:val="auto"/>
              </w:rPr>
            </w:pPr>
          </w:p>
        </w:tc>
        <w:tc>
          <w:tcPr>
            <w:tcW w:w="140" w:type="dxa"/>
            <w:vAlign w:val="bottom"/>
            <w:shd w:val="clear" w:color="auto" w:fill="CCEEFF"/>
          </w:tcPr>
          <w:p>
            <w:pPr>
              <w:spacing w:after="0"/>
              <w:rPr>
                <w:sz w:val="18"/>
                <w:szCs w:val="18"/>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110</w:t>
            </w:r>
          </w:p>
        </w:tc>
        <w:tc>
          <w:tcPr>
            <w:tcW w:w="60" w:type="dxa"/>
            <w:vAlign w:val="bottom"/>
            <w:shd w:val="clear" w:color="auto" w:fill="CCEEFF"/>
          </w:tcPr>
          <w:p>
            <w:pPr>
              <w:spacing w:after="0"/>
              <w:rPr>
                <w:sz w:val="18"/>
                <w:szCs w:val="18"/>
                <w:color w:val="auto"/>
              </w:rPr>
            </w:pPr>
          </w:p>
        </w:tc>
      </w:tr>
      <w:tr>
        <w:trPr>
          <w:trHeight w:val="223"/>
        </w:trPr>
        <w:tc>
          <w:tcPr>
            <w:tcW w:w="4280" w:type="dxa"/>
            <w:vAlign w:val="bottom"/>
          </w:tcPr>
          <w:p>
            <w:pPr>
              <w:spacing w:after="0"/>
              <w:rPr>
                <w:sz w:val="20"/>
                <w:szCs w:val="20"/>
                <w:color w:val="auto"/>
              </w:rPr>
            </w:pPr>
            <w:r>
              <w:rPr>
                <w:rFonts w:ascii="Arial" w:cs="Arial" w:eastAsia="Arial" w:hAnsi="Arial"/>
                <w:sz w:val="18"/>
                <w:szCs w:val="18"/>
                <w:color w:val="auto"/>
              </w:rPr>
              <w:t>Amortization of exploration data costs capitalized</w:t>
            </w:r>
          </w:p>
        </w:tc>
        <w:tc>
          <w:tcPr>
            <w:tcW w:w="380" w:type="dxa"/>
            <w:vAlign w:val="bottom"/>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680" w:type="dxa"/>
            <w:vAlign w:val="bottom"/>
            <w:tcBorders>
              <w:bottom w:val="single" w:sz="8" w:color="auto"/>
            </w:tcBorders>
          </w:tcPr>
          <w:p>
            <w:pPr>
              <w:jc w:val="right"/>
              <w:spacing w:after="0"/>
              <w:rPr>
                <w:sz w:val="20"/>
                <w:szCs w:val="20"/>
                <w:color w:val="auto"/>
              </w:rPr>
            </w:pPr>
            <w:r>
              <w:rPr>
                <w:rFonts w:ascii="Arial" w:cs="Arial" w:eastAsia="Arial" w:hAnsi="Arial"/>
                <w:sz w:val="18"/>
                <w:szCs w:val="18"/>
                <w:b w:val="1"/>
                <w:bCs w:val="1"/>
                <w:color w:val="auto"/>
              </w:rPr>
              <w:t>29</w:t>
            </w:r>
          </w:p>
        </w:tc>
        <w:tc>
          <w:tcPr>
            <w:tcW w:w="780" w:type="dxa"/>
            <w:vAlign w:val="bottom"/>
          </w:tcPr>
          <w:p>
            <w:pPr>
              <w:spacing w:after="0"/>
              <w:rPr>
                <w:sz w:val="19"/>
                <w:szCs w:val="19"/>
                <w:color w:val="auto"/>
              </w:rPr>
            </w:pPr>
          </w:p>
        </w:tc>
        <w:tc>
          <w:tcPr>
            <w:tcW w:w="200" w:type="dxa"/>
            <w:vAlign w:val="bottom"/>
            <w:tcBorders>
              <w:bottom w:val="single" w:sz="8" w:color="auto"/>
            </w:tcBorders>
          </w:tcPr>
          <w:p>
            <w:pPr>
              <w:spacing w:after="0"/>
              <w:rPr>
                <w:sz w:val="19"/>
                <w:szCs w:val="19"/>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62</w:t>
            </w:r>
          </w:p>
        </w:tc>
        <w:tc>
          <w:tcPr>
            <w:tcW w:w="780" w:type="dxa"/>
            <w:vAlign w:val="bottom"/>
          </w:tcPr>
          <w:p>
            <w:pPr>
              <w:spacing w:after="0"/>
              <w:rPr>
                <w:sz w:val="19"/>
                <w:szCs w:val="19"/>
                <w:color w:val="auto"/>
              </w:rPr>
            </w:pPr>
          </w:p>
        </w:tc>
        <w:tc>
          <w:tcPr>
            <w:tcW w:w="140" w:type="dxa"/>
            <w:vAlign w:val="bottom"/>
            <w:tcBorders>
              <w:bottom w:val="single" w:sz="8" w:color="auto"/>
            </w:tcBorders>
          </w:tcPr>
          <w:p>
            <w:pPr>
              <w:spacing w:after="0"/>
              <w:rPr>
                <w:sz w:val="19"/>
                <w:szCs w:val="19"/>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51</w:t>
            </w:r>
          </w:p>
        </w:tc>
        <w:tc>
          <w:tcPr>
            <w:tcW w:w="60" w:type="dxa"/>
            <w:vAlign w:val="bottom"/>
          </w:tcPr>
          <w:p>
            <w:pPr>
              <w:spacing w:after="0"/>
              <w:rPr>
                <w:sz w:val="19"/>
                <w:szCs w:val="19"/>
                <w:color w:val="auto"/>
              </w:rPr>
            </w:pPr>
          </w:p>
        </w:tc>
      </w:tr>
      <w:tr>
        <w:trPr>
          <w:trHeight w:val="216"/>
        </w:trPr>
        <w:tc>
          <w:tcPr>
            <w:tcW w:w="4280" w:type="dxa"/>
            <w:vAlign w:val="bottom"/>
            <w:shd w:val="clear" w:color="auto" w:fill="CCEEFF"/>
          </w:tcPr>
          <w:p>
            <w:pPr>
              <w:spacing w:after="0"/>
              <w:rPr>
                <w:sz w:val="18"/>
                <w:szCs w:val="18"/>
                <w:color w:val="auto"/>
              </w:rPr>
            </w:pPr>
          </w:p>
        </w:tc>
        <w:tc>
          <w:tcPr>
            <w:tcW w:w="560" w:type="dxa"/>
            <w:vAlign w:val="bottom"/>
            <w:gridSpan w:val="2"/>
            <w:shd w:val="clear" w:color="auto" w:fill="CCEEFF"/>
          </w:tcPr>
          <w:p>
            <w:pPr>
              <w:jc w:val="right"/>
              <w:ind w:right="27"/>
              <w:spacing w:after="0"/>
              <w:rPr>
                <w:sz w:val="20"/>
                <w:szCs w:val="20"/>
                <w:color w:val="auto"/>
              </w:rPr>
            </w:pPr>
            <w:r>
              <w:rPr>
                <w:rFonts w:ascii="Arial" w:cs="Arial" w:eastAsia="Arial" w:hAnsi="Arial"/>
                <w:sz w:val="18"/>
                <w:szCs w:val="18"/>
                <w:b w:val="1"/>
                <w:bCs w:val="1"/>
                <w:color w:val="auto"/>
              </w:rPr>
              <w:t>$</w:t>
            </w:r>
          </w:p>
        </w:tc>
        <w:tc>
          <w:tcPr>
            <w:tcW w:w="68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rPr>
              <w:t>685</w:t>
            </w:r>
          </w:p>
        </w:tc>
        <w:tc>
          <w:tcPr>
            <w:tcW w:w="980" w:type="dxa"/>
            <w:vAlign w:val="bottom"/>
            <w:gridSpan w:val="2"/>
            <w:shd w:val="clear" w:color="auto" w:fill="CCEEFF"/>
          </w:tcPr>
          <w:p>
            <w:pPr>
              <w:jc w:val="right"/>
              <w:ind w:right="10"/>
              <w:spacing w:after="0"/>
              <w:rPr>
                <w:sz w:val="20"/>
                <w:szCs w:val="20"/>
                <w:color w:val="auto"/>
              </w:rPr>
            </w:pPr>
            <w:r>
              <w:rPr>
                <w:rFonts w:ascii="Arial" w:cs="Arial" w:eastAsia="Arial" w:hAnsi="Arial"/>
                <w:sz w:val="18"/>
                <w:szCs w:val="18"/>
                <w:color w:val="auto"/>
              </w:rPr>
              <w:t>$</w:t>
            </w:r>
          </w:p>
        </w:tc>
        <w:tc>
          <w:tcPr>
            <w:tcW w:w="7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732</w:t>
            </w:r>
          </w:p>
        </w:tc>
        <w:tc>
          <w:tcPr>
            <w:tcW w:w="920" w:type="dxa"/>
            <w:vAlign w:val="bottom"/>
            <w:gridSpan w:val="2"/>
            <w:shd w:val="clear" w:color="auto" w:fill="CCEEFF"/>
          </w:tcPr>
          <w:p>
            <w:pPr>
              <w:jc w:val="right"/>
              <w:spacing w:after="0"/>
              <w:rPr>
                <w:sz w:val="20"/>
                <w:szCs w:val="20"/>
                <w:color w:val="auto"/>
              </w:rPr>
            </w:pPr>
            <w:r>
              <w:rPr>
                <w:rFonts w:ascii="Arial" w:cs="Arial" w:eastAsia="Arial" w:hAnsi="Arial"/>
                <w:sz w:val="18"/>
                <w:szCs w:val="18"/>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8"/>
                <w:szCs w:val="18"/>
                <w:color w:val="auto"/>
              </w:rPr>
              <w:t>640</w:t>
            </w:r>
          </w:p>
        </w:tc>
        <w:tc>
          <w:tcPr>
            <w:tcW w:w="60" w:type="dxa"/>
            <w:vAlign w:val="bottom"/>
            <w:shd w:val="clear" w:color="auto" w:fill="CCEEFF"/>
          </w:tcPr>
          <w:p>
            <w:pPr>
              <w:spacing w:after="0"/>
              <w:rPr>
                <w:sz w:val="18"/>
                <w:szCs w:val="18"/>
                <w:color w:val="auto"/>
              </w:rPr>
            </w:pPr>
          </w:p>
        </w:tc>
      </w:tr>
      <w:tr>
        <w:trPr>
          <w:trHeight w:val="20"/>
        </w:trPr>
        <w:tc>
          <w:tcPr>
            <w:tcW w:w="428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68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r>
    </w:tbl>
    <w:p>
      <w:pPr>
        <w:sectPr>
          <w:pgSz w:w="11900" w:h="16838" w:orient="portrait"/>
          <w:cols w:equalWidth="0" w:num="1">
            <w:col w:w="10924"/>
          </w:cols>
          <w:pgMar w:left="436" w:top="269" w:right="539" w:bottom="1440" w:gutter="0" w:footer="0" w:header="0"/>
        </w:sectPr>
      </w:pPr>
    </w:p>
    <w:bookmarkStart w:id="28" w:name="page29"/>
    <w:bookmarkEnd w:id="28"/>
    <w:p>
      <w:pPr>
        <w:ind w:left="424" w:hanging="424"/>
        <w:spacing w:after="0"/>
        <w:tabs>
          <w:tab w:leader="none" w:pos="424" w:val="left"/>
        </w:tabs>
        <w:numPr>
          <w:ilvl w:val="0"/>
          <w:numId w:val="27"/>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are the revenue categories in the Digital Division that offer solutions to SLB’s customers?</w:t>
      </w:r>
    </w:p>
    <w:p>
      <w:pPr>
        <w:spacing w:after="0" w:line="103" w:lineRule="exact"/>
        <w:rPr>
          <w:rFonts w:ascii="Arial" w:cs="Arial" w:eastAsia="Arial" w:hAnsi="Arial"/>
          <w:sz w:val="18"/>
          <w:szCs w:val="18"/>
          <w:b w:val="1"/>
          <w:bCs w:val="1"/>
          <w:color w:val="auto"/>
        </w:rPr>
      </w:pPr>
    </w:p>
    <w:p>
      <w:pPr>
        <w:ind w:left="444" w:right="20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Within Digital, revenue is generated from four key solutions — Platforms &amp; Applications, Digital Operations, Digital Exploration and Professional Services.</w:t>
      </w:r>
    </w:p>
    <w:p>
      <w:pPr>
        <w:spacing w:after="0" w:line="45" w:lineRule="exact"/>
        <w:rPr>
          <w:rFonts w:ascii="Arial" w:cs="Arial" w:eastAsia="Arial" w:hAnsi="Arial"/>
          <w:sz w:val="18"/>
          <w:szCs w:val="18"/>
          <w:b w:val="1"/>
          <w:bCs w:val="1"/>
          <w:color w:val="auto"/>
        </w:rPr>
      </w:pPr>
    </w:p>
    <w:p>
      <w:pPr>
        <w:ind w:left="444"/>
        <w:spacing w:after="0" w:line="225"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Platforms &amp; Applications </w:t>
      </w:r>
      <w:r>
        <w:rPr>
          <w:rFonts w:ascii="Arial" w:cs="Arial" w:eastAsia="Arial" w:hAnsi="Arial"/>
          <w:sz w:val="18"/>
          <w:szCs w:val="18"/>
          <w:color w:val="auto"/>
        </w:rPr>
        <w:t>includes SLB’s cloud technologies such as the Delfi and Lumi platforms, along with a suite of specialized,</w:t>
      </w:r>
      <w:r>
        <w:rPr>
          <w:rFonts w:ascii="Arial" w:cs="Arial" w:eastAsia="Arial" w:hAnsi="Arial"/>
          <w:sz w:val="18"/>
          <w:szCs w:val="18"/>
          <w:b w:val="1"/>
          <w:bCs w:val="1"/>
          <w:color w:val="auto"/>
        </w:rPr>
        <w:t xml:space="preserve"> </w:t>
      </w:r>
      <w:r>
        <w:rPr>
          <w:rFonts w:ascii="Arial" w:cs="Arial" w:eastAsia="Arial" w:hAnsi="Arial"/>
          <w:sz w:val="18"/>
          <w:szCs w:val="18"/>
          <w:color w:val="auto"/>
        </w:rPr>
        <w:t>domain-focused applications such as Petrel</w:t>
      </w:r>
      <w:r>
        <w:rPr>
          <w:rFonts w:ascii="Arial" w:cs="Arial" w:eastAsia="Arial" w:hAnsi="Arial"/>
          <w:sz w:val="26"/>
          <w:szCs w:val="26"/>
          <w:color w:val="auto"/>
          <w:vertAlign w:val="superscript"/>
        </w:rPr>
        <w:t>™</w:t>
      </w:r>
      <w:r>
        <w:rPr>
          <w:rFonts w:ascii="Arial" w:cs="Arial" w:eastAsia="Arial" w:hAnsi="Arial"/>
          <w:sz w:val="18"/>
          <w:szCs w:val="18"/>
          <w:color w:val="auto"/>
        </w:rPr>
        <w:t xml:space="preserve"> and Techlog</w:t>
      </w:r>
      <w:r>
        <w:rPr>
          <w:rFonts w:ascii="Arial" w:cs="Arial" w:eastAsia="Arial" w:hAnsi="Arial"/>
          <w:sz w:val="26"/>
          <w:szCs w:val="26"/>
          <w:color w:val="auto"/>
          <w:vertAlign w:val="superscript"/>
        </w:rPr>
        <w:t>™</w:t>
      </w:r>
      <w:r>
        <w:rPr>
          <w:rFonts w:ascii="Arial" w:cs="Arial" w:eastAsia="Arial" w:hAnsi="Arial"/>
          <w:sz w:val="18"/>
          <w:szCs w:val="18"/>
          <w:color w:val="auto"/>
        </w:rPr>
        <w:t xml:space="preserve"> offered as SaaS subscription or perpetual licenses. These platforms and applications automate complex models to simulate the impact of reservoir development plans and aid in the planning of key operations such as drilling, completion and production designs. Additionally, they unlock data and utilize AI and machine learning to reduce cycle time and improve efficiency of workflows to allow customers to make better, faster decisions to improve their project economics and reservoir performance.</w:t>
      </w:r>
    </w:p>
    <w:p>
      <w:pPr>
        <w:spacing w:after="0" w:line="72" w:lineRule="exact"/>
        <w:rPr>
          <w:rFonts w:ascii="Arial" w:cs="Arial" w:eastAsia="Arial" w:hAnsi="Arial"/>
          <w:sz w:val="18"/>
          <w:szCs w:val="18"/>
          <w:b w:val="1"/>
          <w:bCs w:val="1"/>
          <w:color w:val="auto"/>
        </w:rPr>
      </w:pPr>
    </w:p>
    <w:p>
      <w:pPr>
        <w:ind w:left="444" w:right="36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Revenue is recurring (with exception of one-off license sales) underpinned by a substantial base of ARR from a globally installed base, complemented by customer adoption of new cloud-based capabilities and IoT-enabled solutions.</w:t>
      </w:r>
    </w:p>
    <w:p>
      <w:pPr>
        <w:spacing w:after="0" w:line="45"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This category has best-in-class retention rates and limited churn.</w:t>
      </w:r>
    </w:p>
    <w:p>
      <w:pPr>
        <w:spacing w:after="0" w:line="103" w:lineRule="exact"/>
        <w:rPr>
          <w:rFonts w:ascii="Arial" w:cs="Arial" w:eastAsia="Arial" w:hAnsi="Arial"/>
          <w:sz w:val="18"/>
          <w:szCs w:val="18"/>
          <w:b w:val="1"/>
          <w:bCs w:val="1"/>
          <w:color w:val="auto"/>
        </w:rPr>
      </w:pPr>
    </w:p>
    <w:p>
      <w:pPr>
        <w:ind w:left="444"/>
        <w:spacing w:after="0" w:line="220"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Digital Operations </w:t>
      </w:r>
      <w:r>
        <w:rPr>
          <w:rFonts w:ascii="Arial" w:cs="Arial" w:eastAsia="Arial" w:hAnsi="Arial"/>
          <w:sz w:val="18"/>
          <w:szCs w:val="18"/>
          <w:color w:val="auto"/>
        </w:rPr>
        <w:t>combines the unique strengths of SLB’s oilfield services with advanced digital technologies to deliver more</w:t>
      </w:r>
      <w:r>
        <w:rPr>
          <w:rFonts w:ascii="Arial" w:cs="Arial" w:eastAsia="Arial" w:hAnsi="Arial"/>
          <w:sz w:val="18"/>
          <w:szCs w:val="18"/>
          <w:b w:val="1"/>
          <w:bCs w:val="1"/>
          <w:color w:val="auto"/>
        </w:rPr>
        <w:t xml:space="preserve"> </w:t>
      </w:r>
      <w:r>
        <w:rPr>
          <w:rFonts w:ascii="Arial" w:cs="Arial" w:eastAsia="Arial" w:hAnsi="Arial"/>
          <w:sz w:val="18"/>
          <w:szCs w:val="18"/>
          <w:color w:val="auto"/>
        </w:rPr>
        <w:t>reliable, efficient and autonomous field operations. By integrating connected solutions with Performance Live</w:t>
      </w:r>
      <w:r>
        <w:rPr>
          <w:rFonts w:ascii="Arial" w:cs="Arial" w:eastAsia="Arial" w:hAnsi="Arial"/>
          <w:sz w:val="26"/>
          <w:szCs w:val="26"/>
          <w:color w:val="auto"/>
          <w:vertAlign w:val="superscript"/>
        </w:rPr>
        <w:t>™</w:t>
      </w:r>
      <w:r>
        <w:rPr>
          <w:rFonts w:ascii="Arial" w:cs="Arial" w:eastAsia="Arial" w:hAnsi="Arial"/>
          <w:sz w:val="18"/>
          <w:szCs w:val="18"/>
          <w:color w:val="auto"/>
        </w:rPr>
        <w:t xml:space="preserve"> digital service delivery centers, customers gain real-time monitoring, remote decision making and automated execution across their workflows from autonomous drilling to automated well intervention, all while reducing costs and improving project economics.</w:t>
      </w:r>
    </w:p>
    <w:p>
      <w:pPr>
        <w:spacing w:after="0" w:line="74" w:lineRule="exact"/>
        <w:rPr>
          <w:rFonts w:ascii="Arial" w:cs="Arial" w:eastAsia="Arial" w:hAnsi="Arial"/>
          <w:sz w:val="18"/>
          <w:szCs w:val="18"/>
          <w:b w:val="1"/>
          <w:bCs w:val="1"/>
          <w:color w:val="auto"/>
        </w:rPr>
      </w:pPr>
    </w:p>
    <w:p>
      <w:pPr>
        <w:ind w:left="444" w:right="4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Revenue is generated from the same customer base as the Core divisions and is, therefore, repeatable. Additionally, a portion of the revenue is recurring in nature.</w:t>
      </w:r>
    </w:p>
    <w:p>
      <w:pPr>
        <w:spacing w:after="0" w:line="45"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To incentivize the Core divisions — Well Construction, Reservoir Performance and Production Systems — and Digital to develop and promote this category, the resulting revenue is recognized in both the respective Core division as well as in the Digital Division. This effect is eliminated in consolidation.</w:t>
      </w:r>
    </w:p>
    <w:p>
      <w:pPr>
        <w:spacing w:after="0" w:line="60" w:lineRule="exact"/>
        <w:rPr>
          <w:rFonts w:ascii="Arial" w:cs="Arial" w:eastAsia="Arial" w:hAnsi="Arial"/>
          <w:sz w:val="18"/>
          <w:szCs w:val="18"/>
          <w:b w:val="1"/>
          <w:bCs w:val="1"/>
          <w:color w:val="auto"/>
        </w:rPr>
      </w:pPr>
    </w:p>
    <w:p>
      <w:pPr>
        <w:ind w:left="444" w:right="40"/>
        <w:spacing w:after="0" w:line="244"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Digital Exploration </w:t>
      </w:r>
      <w:r>
        <w:rPr>
          <w:rFonts w:ascii="Arial" w:cs="Arial" w:eastAsia="Arial" w:hAnsi="Arial"/>
          <w:sz w:val="18"/>
          <w:szCs w:val="18"/>
          <w:color w:val="auto"/>
        </w:rPr>
        <w:t>represents SLB’s exploration data business. The exploration data library is a differentiated asset library of</w:t>
      </w:r>
      <w:r>
        <w:rPr>
          <w:rFonts w:ascii="Arial" w:cs="Arial" w:eastAsia="Arial" w:hAnsi="Arial"/>
          <w:sz w:val="18"/>
          <w:szCs w:val="18"/>
          <w:b w:val="1"/>
          <w:bCs w:val="1"/>
          <w:color w:val="auto"/>
        </w:rPr>
        <w:t xml:space="preserve"> </w:t>
      </w:r>
      <w:r>
        <w:rPr>
          <w:rFonts w:ascii="Arial" w:cs="Arial" w:eastAsia="Arial" w:hAnsi="Arial"/>
          <w:sz w:val="18"/>
          <w:szCs w:val="18"/>
          <w:color w:val="auto"/>
        </w:rPr>
        <w:t>seismic surveys and other subsurface data that customers rely on for better exploration and development decisions. These licensed datasets also support carbon storage design and monitoring. The library covers key exploration and producing basins worldwide and datasets are refreshed and reprocessed to benefit from the latest imaging algorithms and AI technologies, enabled by high performance cloud computing.</w:t>
      </w:r>
    </w:p>
    <w:p>
      <w:pPr>
        <w:spacing w:after="0" w:line="68" w:lineRule="exact"/>
        <w:rPr>
          <w:rFonts w:ascii="Arial" w:cs="Arial" w:eastAsia="Arial" w:hAnsi="Arial"/>
          <w:sz w:val="18"/>
          <w:szCs w:val="18"/>
          <w:b w:val="1"/>
          <w:bCs w:val="1"/>
          <w:color w:val="auto"/>
        </w:rPr>
      </w:pPr>
    </w:p>
    <w:p>
      <w:pPr>
        <w:ind w:left="444"/>
        <w:spacing w:after="0"/>
        <w:rPr>
          <w:rFonts w:ascii="Arial" w:cs="Arial" w:eastAsia="Arial" w:hAnsi="Arial"/>
          <w:sz w:val="18"/>
          <w:szCs w:val="18"/>
          <w:b w:val="1"/>
          <w:bCs w:val="1"/>
          <w:color w:val="auto"/>
        </w:rPr>
      </w:pPr>
      <w:r>
        <w:rPr>
          <w:rFonts w:ascii="Arial" w:cs="Arial" w:eastAsia="Arial" w:hAnsi="Arial"/>
          <w:sz w:val="18"/>
          <w:szCs w:val="18"/>
          <w:color w:val="auto"/>
        </w:rPr>
        <w:t>Revenue is generated from one-time, non-transferable license sales and is therefore non-recurring in nature.</w:t>
      </w:r>
    </w:p>
    <w:p>
      <w:pPr>
        <w:spacing w:after="0" w:line="103" w:lineRule="exact"/>
        <w:rPr>
          <w:rFonts w:ascii="Arial" w:cs="Arial" w:eastAsia="Arial" w:hAnsi="Arial"/>
          <w:sz w:val="18"/>
          <w:szCs w:val="18"/>
          <w:b w:val="1"/>
          <w:bCs w:val="1"/>
          <w:color w:val="auto"/>
        </w:rPr>
      </w:pPr>
    </w:p>
    <w:p>
      <w:pPr>
        <w:ind w:left="444"/>
        <w:spacing w:after="0" w:line="247" w:lineRule="auto"/>
        <w:rPr>
          <w:rFonts w:ascii="Arial" w:cs="Arial" w:eastAsia="Arial" w:hAnsi="Arial"/>
          <w:sz w:val="18"/>
          <w:szCs w:val="18"/>
          <w:b w:val="1"/>
          <w:bCs w:val="1"/>
          <w:color w:val="auto"/>
        </w:rPr>
      </w:pPr>
      <w:r>
        <w:rPr>
          <w:rFonts w:ascii="Arial" w:cs="Arial" w:eastAsia="Arial" w:hAnsi="Arial"/>
          <w:sz w:val="18"/>
          <w:szCs w:val="18"/>
          <w:b w:val="1"/>
          <w:bCs w:val="1"/>
          <w:color w:val="auto"/>
        </w:rPr>
        <w:t xml:space="preserve">Professional Services </w:t>
      </w:r>
      <w:r>
        <w:rPr>
          <w:rFonts w:ascii="Arial" w:cs="Arial" w:eastAsia="Arial" w:hAnsi="Arial"/>
          <w:sz w:val="18"/>
          <w:szCs w:val="18"/>
          <w:color w:val="auto"/>
        </w:rPr>
        <w:t>includes consulting and other services required to support customers’ digital transformations. These services</w:t>
      </w:r>
      <w:r>
        <w:rPr>
          <w:rFonts w:ascii="Arial" w:cs="Arial" w:eastAsia="Arial" w:hAnsi="Arial"/>
          <w:sz w:val="18"/>
          <w:szCs w:val="18"/>
          <w:b w:val="1"/>
          <w:bCs w:val="1"/>
          <w:color w:val="auto"/>
        </w:rPr>
        <w:t xml:space="preserve"> </w:t>
      </w:r>
      <w:r>
        <w:rPr>
          <w:rFonts w:ascii="Arial" w:cs="Arial" w:eastAsia="Arial" w:hAnsi="Arial"/>
          <w:sz w:val="18"/>
          <w:szCs w:val="18"/>
          <w:color w:val="auto"/>
        </w:rPr>
        <w:t>include transition support from on-prem to cloud-based digital solutions, data clean-up and migration, workflow automation — including deployment of workflow solutions built within SLB’s global network of Innovation Factori workspaces — and training to further enable customers’ digital transformations.</w:t>
      </w:r>
    </w:p>
    <w:p>
      <w:pPr>
        <w:spacing w:after="0" w:line="65" w:lineRule="exact"/>
        <w:rPr>
          <w:rFonts w:ascii="Arial" w:cs="Arial" w:eastAsia="Arial" w:hAnsi="Arial"/>
          <w:sz w:val="18"/>
          <w:szCs w:val="18"/>
          <w:b w:val="1"/>
          <w:bCs w:val="1"/>
          <w:color w:val="auto"/>
        </w:rPr>
      </w:pPr>
    </w:p>
    <w:p>
      <w:pPr>
        <w:ind w:left="444" w:right="6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Revenue in this category is largely project-based, and repetitive engagements with the same customers are common. These services generate pull-through opportunities across other digital revenue streams.</w:t>
      </w:r>
    </w:p>
    <w:p>
      <w:pPr>
        <w:sectPr>
          <w:pgSz w:w="11900" w:h="16838" w:orient="portrait"/>
          <w:cols w:equalWidth="0" w:num="1">
            <w:col w:w="11004"/>
          </w:cols>
          <w:pgMar w:left="436" w:top="269" w:right="459" w:bottom="1440" w:gutter="0" w:footer="0" w:header="0"/>
        </w:sectPr>
      </w:pPr>
    </w:p>
    <w:bookmarkStart w:id="29" w:name="page30"/>
    <w:bookmarkEnd w:id="29"/>
    <w:p>
      <w:pPr>
        <w:ind w:left="424" w:right="440" w:hanging="424"/>
        <w:spacing w:after="0" w:line="281" w:lineRule="auto"/>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74865" cy="38100"/>
                    </a:xfrm>
                    <a:prstGeom prst="rect">
                      <a:avLst/>
                    </a:prstGeom>
                    <a:noFill/>
                  </pic:spPr>
                </pic:pic>
              </a:graphicData>
            </a:graphic>
          </wp:anchor>
        </w:drawing>
        <w:t>In Digital, what is the definition of ARR and what was the ARR as of March 31, 2026, December 31, 2025, and March 31, 2025?</w:t>
      </w:r>
    </w:p>
    <w:p>
      <w:pPr>
        <w:spacing w:after="0" w:line="28" w:lineRule="exact"/>
        <w:rPr>
          <w:rFonts w:ascii="Arial" w:cs="Arial" w:eastAsia="Arial" w:hAnsi="Arial"/>
          <w:sz w:val="18"/>
          <w:szCs w:val="18"/>
          <w:b w:val="1"/>
          <w:bCs w:val="1"/>
          <w:color w:val="auto"/>
        </w:rPr>
      </w:pPr>
    </w:p>
    <w:p>
      <w:pPr>
        <w:ind w:left="444"/>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ARR represents the annual value of recurring subscription and maintenance revenues from Platforms &amp; Applications, along with the recurring portion of Digital Operations, providing a measure of predictable revenue over the next 12 months. This is calculated based on the trailing twelve months revenue and excludes one-time license sales and variable usage fees.</w:t>
      </w:r>
    </w:p>
    <w:p>
      <w:pPr>
        <w:spacing w:after="0" w:line="60" w:lineRule="exact"/>
        <w:rPr>
          <w:rFonts w:ascii="Arial" w:cs="Arial" w:eastAsia="Arial" w:hAnsi="Arial"/>
          <w:sz w:val="18"/>
          <w:szCs w:val="18"/>
          <w:b w:val="1"/>
          <w:bCs w:val="1"/>
          <w:color w:val="auto"/>
        </w:rPr>
      </w:pPr>
    </w:p>
    <w:p>
      <w:pPr>
        <w:ind w:left="444" w:right="12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ARR as of March 31, 2026, was $1.02 billion, compared to $1.00 billion as of December 31, 2025, and $890 million as of March 31, 2025, resulting in a 15% increase year over year and 2% increase sequentially.</w:t>
      </w:r>
    </w:p>
    <w:p>
      <w:pPr>
        <w:spacing w:after="0" w:line="59" w:lineRule="exact"/>
        <w:rPr>
          <w:rFonts w:ascii="Arial" w:cs="Arial" w:eastAsia="Arial" w:hAnsi="Arial"/>
          <w:sz w:val="18"/>
          <w:szCs w:val="18"/>
          <w:b w:val="1"/>
          <w:bCs w:val="1"/>
          <w:color w:val="auto"/>
        </w:rPr>
      </w:pPr>
    </w:p>
    <w:p>
      <w:pPr>
        <w:ind w:left="424" w:hanging="424"/>
        <w:spacing w:after="0"/>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What is the Data Center Solutions business and where is it reported?</w:t>
      </w:r>
    </w:p>
    <w:p>
      <w:pPr>
        <w:spacing w:after="0" w:line="103" w:lineRule="exact"/>
        <w:rPr>
          <w:rFonts w:ascii="Arial" w:cs="Arial" w:eastAsia="Arial" w:hAnsi="Arial"/>
          <w:sz w:val="18"/>
          <w:szCs w:val="18"/>
          <w:b w:val="1"/>
          <w:bCs w:val="1"/>
          <w:color w:val="auto"/>
        </w:rPr>
      </w:pPr>
    </w:p>
    <w:p>
      <w:pPr>
        <w:ind w:left="444" w:right="260"/>
        <w:spacing w:after="0" w:line="247" w:lineRule="auto"/>
        <w:rPr>
          <w:rFonts w:ascii="Arial" w:cs="Arial" w:eastAsia="Arial" w:hAnsi="Arial"/>
          <w:sz w:val="18"/>
          <w:szCs w:val="18"/>
          <w:b w:val="1"/>
          <w:bCs w:val="1"/>
          <w:color w:val="auto"/>
        </w:rPr>
      </w:pPr>
      <w:r>
        <w:rPr>
          <w:rFonts w:ascii="Arial" w:cs="Arial" w:eastAsia="Arial" w:hAnsi="Arial"/>
          <w:sz w:val="18"/>
          <w:szCs w:val="18"/>
          <w:color w:val="auto"/>
        </w:rPr>
        <w:t>The Data Center Solutions business designs and manufactures critical infrastructure components — such as modular data center enclosures, cooling systems and other hardware — for hyperscalers and enterprises. By leveraging scalable, standardized production with rapid lead times, and rigorous quality assurance, SLB provides configurable solutions that balance cost efficiency, reliability and customization to meet accelerating data center demand.</w:t>
      </w:r>
    </w:p>
    <w:p>
      <w:pPr>
        <w:spacing w:after="0" w:line="65" w:lineRule="exact"/>
        <w:rPr>
          <w:rFonts w:ascii="Arial" w:cs="Arial" w:eastAsia="Arial" w:hAnsi="Arial"/>
          <w:sz w:val="18"/>
          <w:szCs w:val="18"/>
          <w:b w:val="1"/>
          <w:bCs w:val="1"/>
          <w:color w:val="auto"/>
        </w:rPr>
      </w:pPr>
    </w:p>
    <w:p>
      <w:pPr>
        <w:ind w:left="444" w:right="5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AI-driven data demand is fueling rapid growth, and this business is going to be a material and meaningful contributor to SLB’s portfolio in the future. This business is reported in the All Other category.</w:t>
      </w:r>
    </w:p>
    <w:p>
      <w:pPr>
        <w:spacing w:after="0" w:line="59" w:lineRule="exact"/>
        <w:rPr>
          <w:rFonts w:ascii="Arial" w:cs="Arial" w:eastAsia="Arial" w:hAnsi="Arial"/>
          <w:sz w:val="18"/>
          <w:szCs w:val="18"/>
          <w:b w:val="1"/>
          <w:bCs w:val="1"/>
          <w:color w:val="auto"/>
        </w:rPr>
      </w:pPr>
    </w:p>
    <w:p>
      <w:pPr>
        <w:ind w:left="424" w:right="120" w:hanging="424"/>
        <w:spacing w:after="0" w:line="281" w:lineRule="auto"/>
        <w:tabs>
          <w:tab w:leader="none" w:pos="424" w:val="left"/>
        </w:tabs>
        <w:numPr>
          <w:ilvl w:val="0"/>
          <w:numId w:val="28"/>
        </w:numPr>
        <w:rPr>
          <w:rFonts w:ascii="Arial" w:cs="Arial" w:eastAsia="Arial" w:hAnsi="Arial"/>
          <w:sz w:val="18"/>
          <w:szCs w:val="18"/>
          <w:b w:val="1"/>
          <w:bCs w:val="1"/>
          <w:color w:val="auto"/>
        </w:rPr>
      </w:pPr>
      <w:r>
        <w:rPr>
          <w:rFonts w:ascii="Arial" w:cs="Arial" w:eastAsia="Arial" w:hAnsi="Arial"/>
          <w:sz w:val="18"/>
          <w:szCs w:val="18"/>
          <w:b w:val="1"/>
          <w:bCs w:val="1"/>
          <w:color w:val="auto"/>
        </w:rPr>
        <w:t>How much revenue was generated from the Data Center Solutions business for the first quarter of 2026, the fourth quarter of 2025, and the first quarter of 2025?</w:t>
      </w:r>
    </w:p>
    <w:p>
      <w:pPr>
        <w:spacing w:after="0" w:line="28" w:lineRule="exact"/>
        <w:rPr>
          <w:rFonts w:ascii="Arial" w:cs="Arial" w:eastAsia="Arial" w:hAnsi="Arial"/>
          <w:sz w:val="18"/>
          <w:szCs w:val="18"/>
          <w:b w:val="1"/>
          <w:bCs w:val="1"/>
          <w:color w:val="auto"/>
        </w:rPr>
      </w:pPr>
    </w:p>
    <w:p>
      <w:pPr>
        <w:ind w:left="444" w:right="880"/>
        <w:spacing w:after="0" w:line="271" w:lineRule="auto"/>
        <w:rPr>
          <w:rFonts w:ascii="Arial" w:cs="Arial" w:eastAsia="Arial" w:hAnsi="Arial"/>
          <w:sz w:val="18"/>
          <w:szCs w:val="18"/>
          <w:b w:val="1"/>
          <w:bCs w:val="1"/>
          <w:color w:val="auto"/>
        </w:rPr>
      </w:pPr>
      <w:r>
        <w:rPr>
          <w:rFonts w:ascii="Arial" w:cs="Arial" w:eastAsia="Arial" w:hAnsi="Arial"/>
          <w:sz w:val="18"/>
          <w:szCs w:val="18"/>
          <w:color w:val="auto"/>
        </w:rPr>
        <w:t>Data Center Solutions revenue was $141 million in the first quarter of 2026, $128 million in the fourth quarter of 2025, and $97 million in the first quarter of 2025, resulting in a 45% increase year on year and 10% increase sequentially.</w:t>
      </w:r>
    </w:p>
    <w:p>
      <w:pPr>
        <w:sectPr>
          <w:pgSz w:w="11900" w:h="16838" w:orient="portrait"/>
          <w:cols w:equalWidth="0" w:num="1">
            <w:col w:w="10984"/>
          </w:cols>
          <w:pgMar w:left="436" w:top="269" w:right="479" w:bottom="1440" w:gutter="0" w:footer="0" w:header="0"/>
        </w:sectPr>
      </w:pPr>
    </w:p>
    <w:bookmarkStart w:id="30" w:name="page31"/>
    <w:bookmarkEnd w:id="30"/>
    <w:p>
      <w:pPr>
        <w:ind w:left="424" w:right="640" w:hanging="424"/>
        <w:spacing w:after="0" w:line="281" w:lineRule="auto"/>
        <w:tabs>
          <w:tab w:leader="none" w:pos="424" w:val="left"/>
        </w:tabs>
        <w:numPr>
          <w:ilvl w:val="0"/>
          <w:numId w:val="29"/>
        </w:numPr>
        <w:rPr>
          <w:rFonts w:ascii="Arial" w:cs="Arial" w:eastAsia="Arial" w:hAnsi="Arial"/>
          <w:sz w:val="18"/>
          <w:szCs w:val="18"/>
          <w:b w:val="1"/>
          <w:bCs w:val="1"/>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195580</wp:posOffset>
            </wp:positionH>
            <wp:positionV relativeFrom="page">
              <wp:posOffset>88900</wp:posOffset>
            </wp:positionV>
            <wp:extent cx="7174865" cy="3810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174865" cy="38100"/>
                    </a:xfrm>
                    <a:prstGeom prst="rect">
                      <a:avLst/>
                    </a:prstGeom>
                    <a:noFill/>
                  </pic:spPr>
                </pic:pic>
              </a:graphicData>
            </a:graphic>
          </wp:anchor>
        </w:drawing>
        <w:t>What Divisions comprise SLB’s Core business and what were their revenue and pretax operating income for the first quarter of 2026, the fourth quarter of 2025, and the first quarter of 2025?</w:t>
      </w:r>
    </w:p>
    <w:p>
      <w:pPr>
        <w:spacing w:after="0" w:line="28" w:lineRule="exact"/>
        <w:rPr>
          <w:rFonts w:ascii="Arial" w:cs="Arial" w:eastAsia="Arial" w:hAnsi="Arial"/>
          <w:sz w:val="18"/>
          <w:szCs w:val="18"/>
          <w:b w:val="1"/>
          <w:bCs w:val="1"/>
          <w:color w:val="auto"/>
        </w:rPr>
      </w:pPr>
    </w:p>
    <w:p>
      <w:pPr>
        <w:ind w:left="444" w:right="240"/>
        <w:spacing w:after="0" w:line="253" w:lineRule="auto"/>
        <w:rPr>
          <w:rFonts w:ascii="Arial" w:cs="Arial" w:eastAsia="Arial" w:hAnsi="Arial"/>
          <w:sz w:val="18"/>
          <w:szCs w:val="18"/>
          <w:b w:val="1"/>
          <w:bCs w:val="1"/>
          <w:color w:val="auto"/>
        </w:rPr>
      </w:pPr>
      <w:r>
        <w:rPr>
          <w:rFonts w:ascii="Arial" w:cs="Arial" w:eastAsia="Arial" w:hAnsi="Arial"/>
          <w:sz w:val="18"/>
          <w:szCs w:val="18"/>
          <w:color w:val="auto"/>
        </w:rPr>
        <w:t>SLB’s Core business comprises the Reservoir Performance, Well Construction, and Production Systems Divisions. SLB’s Core business revenue and pretax operating income for the first quarter of 2026, the fourth quarter of 2025, and the first quarter of 2025 are calculated as follows:</w:t>
      </w:r>
    </w:p>
    <w:p>
      <w:pPr>
        <w:spacing w:after="0" w:line="206" w:lineRule="exact"/>
        <w:rPr>
          <w:sz w:val="20"/>
          <w:szCs w:val="20"/>
          <w:color w:val="auto"/>
        </w:rPr>
      </w:pPr>
    </w:p>
    <w:tbl>
      <w:tblPr>
        <w:tblLayout w:type="fixed"/>
        <w:tblInd w:w="4" w:type="dxa"/>
        <w:tblCellMar>
          <w:top w:w="0" w:type="dxa"/>
          <w:left w:w="0" w:type="dxa"/>
          <w:bottom w:w="0" w:type="dxa"/>
          <w:right w:w="0" w:type="dxa"/>
        </w:tblCellMar>
      </w:tblPr>
      <w:tr>
        <w:trPr>
          <w:trHeight w:val="162"/>
        </w:trPr>
        <w:tc>
          <w:tcPr>
            <w:tcW w:w="3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500" w:type="dxa"/>
            <w:vAlign w:val="bottom"/>
            <w:gridSpan w:val="3"/>
          </w:tcPr>
          <w:p>
            <w:pPr>
              <w:jc w:val="right"/>
              <w:ind w:right="220"/>
              <w:spacing w:after="0"/>
              <w:rPr>
                <w:sz w:val="20"/>
                <w:szCs w:val="20"/>
                <w:color w:val="auto"/>
              </w:rPr>
            </w:pPr>
            <w:r>
              <w:rPr>
                <w:rFonts w:ascii="Arial" w:cs="Arial" w:eastAsia="Arial" w:hAnsi="Arial"/>
                <w:sz w:val="14"/>
                <w:szCs w:val="14"/>
                <w:color w:val="auto"/>
              </w:rPr>
              <w:t>(Stated in millions)</w:t>
            </w: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1980" w:type="dxa"/>
            <w:vAlign w:val="bottom"/>
            <w:gridSpan w:val="6"/>
          </w:tcPr>
          <w:p>
            <w:pPr>
              <w:ind w:left="440"/>
              <w:spacing w:after="0"/>
              <w:rPr>
                <w:sz w:val="20"/>
                <w:szCs w:val="20"/>
                <w:color w:val="auto"/>
              </w:rPr>
            </w:pPr>
            <w:r>
              <w:rPr>
                <w:rFonts w:ascii="Arial" w:cs="Arial" w:eastAsia="Arial" w:hAnsi="Arial"/>
                <w:sz w:val="14"/>
                <w:szCs w:val="14"/>
                <w:b w:val="1"/>
                <w:bCs w:val="1"/>
                <w:color w:val="auto"/>
              </w:rPr>
              <w:t>Three Months Ended</w:t>
            </w:r>
          </w:p>
        </w:tc>
        <w:tc>
          <w:tcPr>
            <w:tcW w:w="46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300" w:type="dxa"/>
            <w:vAlign w:val="bottom"/>
            <w:gridSpan w:val="4"/>
          </w:tcPr>
          <w:p>
            <w:pPr>
              <w:jc w:val="right"/>
              <w:ind w:right="1000"/>
              <w:spacing w:after="0"/>
              <w:rPr>
                <w:sz w:val="20"/>
                <w:szCs w:val="20"/>
                <w:color w:val="auto"/>
              </w:rPr>
            </w:pPr>
            <w:r>
              <w:rPr>
                <w:rFonts w:ascii="Arial" w:cs="Arial" w:eastAsia="Arial" w:hAnsi="Arial"/>
                <w:sz w:val="14"/>
                <w:szCs w:val="14"/>
                <w:b w:val="1"/>
                <w:bCs w:val="1"/>
                <w:color w:val="auto"/>
              </w:rPr>
              <w:t>Change</w:t>
            </w:r>
          </w:p>
        </w:tc>
        <w:tc>
          <w:tcPr>
            <w:tcW w:w="0" w:type="dxa"/>
            <w:vAlign w:val="bottom"/>
          </w:tcPr>
          <w:p>
            <w:pPr>
              <w:spacing w:after="0"/>
              <w:rPr>
                <w:sz w:val="1"/>
                <w:szCs w:val="1"/>
                <w:color w:val="auto"/>
              </w:rPr>
            </w:pPr>
          </w:p>
        </w:tc>
      </w:tr>
      <w:tr>
        <w:trPr>
          <w:trHeight w:val="146"/>
        </w:trPr>
        <w:tc>
          <w:tcPr>
            <w:tcW w:w="3940" w:type="dxa"/>
            <w:vAlign w:val="bottom"/>
          </w:tcPr>
          <w:p>
            <w:pPr>
              <w:spacing w:after="0"/>
              <w:rPr>
                <w:sz w:val="12"/>
                <w:szCs w:val="12"/>
                <w:color w:val="auto"/>
              </w:rPr>
            </w:pPr>
          </w:p>
        </w:tc>
        <w:tc>
          <w:tcPr>
            <w:tcW w:w="1820" w:type="dxa"/>
            <w:vAlign w:val="bottom"/>
          </w:tcPr>
          <w:p>
            <w:pPr>
              <w:spacing w:after="0"/>
              <w:rPr>
                <w:sz w:val="12"/>
                <w:szCs w:val="12"/>
                <w:color w:val="auto"/>
              </w:rPr>
            </w:pPr>
          </w:p>
        </w:tc>
        <w:tc>
          <w:tcPr>
            <w:tcW w:w="1020" w:type="dxa"/>
            <w:vAlign w:val="bottom"/>
            <w:tcBorders>
              <w:top w:val="single" w:sz="8" w:color="auto"/>
            </w:tcBorders>
            <w:gridSpan w:val="3"/>
          </w:tcPr>
          <w:p>
            <w:pPr>
              <w:jc w:val="center"/>
              <w:ind w:right="400"/>
              <w:spacing w:after="0" w:line="147" w:lineRule="exact"/>
              <w:rPr>
                <w:sz w:val="20"/>
                <w:szCs w:val="20"/>
                <w:color w:val="auto"/>
              </w:rPr>
            </w:pPr>
            <w:r>
              <w:rPr>
                <w:rFonts w:ascii="Arial" w:cs="Arial" w:eastAsia="Arial" w:hAnsi="Arial"/>
                <w:sz w:val="14"/>
                <w:szCs w:val="14"/>
                <w:b w:val="1"/>
                <w:bCs w:val="1"/>
                <w:color w:val="auto"/>
              </w:rPr>
              <w:t>Mar. 31,</w:t>
            </w:r>
          </w:p>
        </w:tc>
        <w:tc>
          <w:tcPr>
            <w:tcW w:w="960" w:type="dxa"/>
            <w:vAlign w:val="bottom"/>
            <w:tcBorders>
              <w:top w:val="single" w:sz="8" w:color="auto"/>
            </w:tcBorders>
            <w:gridSpan w:val="3"/>
          </w:tcPr>
          <w:p>
            <w:pPr>
              <w:spacing w:after="0" w:line="147" w:lineRule="exact"/>
              <w:rPr>
                <w:sz w:val="20"/>
                <w:szCs w:val="20"/>
                <w:color w:val="auto"/>
              </w:rPr>
            </w:pPr>
            <w:r>
              <w:rPr>
                <w:rFonts w:ascii="Arial" w:cs="Arial" w:eastAsia="Arial" w:hAnsi="Arial"/>
                <w:sz w:val="14"/>
                <w:szCs w:val="14"/>
                <w:color w:val="auto"/>
              </w:rPr>
              <w:t>Dec. 31,</w:t>
            </w:r>
          </w:p>
        </w:tc>
        <w:tc>
          <w:tcPr>
            <w:tcW w:w="580" w:type="dxa"/>
            <w:vAlign w:val="bottom"/>
            <w:tcBorders>
              <w:top w:val="single" w:sz="8" w:color="auto"/>
            </w:tcBorders>
            <w:gridSpan w:val="2"/>
          </w:tcPr>
          <w:p>
            <w:pPr>
              <w:ind w:left="20"/>
              <w:spacing w:after="0" w:line="147" w:lineRule="exact"/>
              <w:rPr>
                <w:sz w:val="20"/>
                <w:szCs w:val="20"/>
                <w:color w:val="auto"/>
              </w:rPr>
            </w:pPr>
            <w:r>
              <w:rPr>
                <w:rFonts w:ascii="Arial" w:cs="Arial" w:eastAsia="Arial" w:hAnsi="Arial"/>
                <w:sz w:val="14"/>
                <w:szCs w:val="14"/>
                <w:color w:val="auto"/>
              </w:rPr>
              <w:t>Mar. 31,</w:t>
            </w:r>
          </w:p>
        </w:tc>
        <w:tc>
          <w:tcPr>
            <w:tcW w:w="400" w:type="dxa"/>
            <w:vAlign w:val="bottom"/>
          </w:tcPr>
          <w:p>
            <w:pPr>
              <w:spacing w:after="0"/>
              <w:rPr>
                <w:sz w:val="12"/>
                <w:szCs w:val="12"/>
                <w:color w:val="auto"/>
              </w:rPr>
            </w:pPr>
          </w:p>
        </w:tc>
        <w:tc>
          <w:tcPr>
            <w:tcW w:w="800" w:type="dxa"/>
            <w:vAlign w:val="bottom"/>
            <w:tcBorders>
              <w:top w:val="single" w:sz="8" w:color="auto"/>
            </w:tcBorders>
          </w:tcPr>
          <w:p>
            <w:pPr>
              <w:spacing w:after="0"/>
              <w:rPr>
                <w:sz w:val="12"/>
                <w:szCs w:val="12"/>
                <w:color w:val="auto"/>
              </w:rPr>
            </w:pPr>
          </w:p>
        </w:tc>
        <w:tc>
          <w:tcPr>
            <w:tcW w:w="400" w:type="dxa"/>
            <w:vAlign w:val="bottom"/>
            <w:tcBorders>
              <w:top w:val="single" w:sz="8" w:color="auto"/>
            </w:tcBorders>
          </w:tcPr>
          <w:p>
            <w:pPr>
              <w:spacing w:after="0"/>
              <w:rPr>
                <w:sz w:val="12"/>
                <w:szCs w:val="12"/>
                <w:color w:val="auto"/>
              </w:rPr>
            </w:pPr>
          </w:p>
        </w:tc>
        <w:tc>
          <w:tcPr>
            <w:tcW w:w="880" w:type="dxa"/>
            <w:vAlign w:val="bottom"/>
            <w:tcBorders>
              <w:top w:val="single" w:sz="8" w:color="auto"/>
            </w:tcBorders>
          </w:tcPr>
          <w:p>
            <w:pPr>
              <w:spacing w:after="0"/>
              <w:rPr>
                <w:sz w:val="12"/>
                <w:szCs w:val="12"/>
                <w:color w:val="auto"/>
              </w:rPr>
            </w:pPr>
          </w:p>
        </w:tc>
        <w:tc>
          <w:tcPr>
            <w:tcW w:w="2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71"/>
        </w:trPr>
        <w:tc>
          <w:tcPr>
            <w:tcW w:w="3940" w:type="dxa"/>
            <w:vAlign w:val="bottom"/>
          </w:tcPr>
          <w:p>
            <w:pPr>
              <w:spacing w:after="0"/>
              <w:rPr>
                <w:sz w:val="14"/>
                <w:szCs w:val="14"/>
                <w:color w:val="auto"/>
              </w:rPr>
            </w:pPr>
          </w:p>
        </w:tc>
        <w:tc>
          <w:tcPr>
            <w:tcW w:w="18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500" w:type="dxa"/>
            <w:vAlign w:val="bottom"/>
          </w:tcPr>
          <w:p>
            <w:pPr>
              <w:jc w:val="right"/>
              <w:ind w:right="53"/>
              <w:spacing w:after="0"/>
              <w:rPr>
                <w:sz w:val="20"/>
                <w:szCs w:val="20"/>
                <w:color w:val="auto"/>
              </w:rPr>
            </w:pPr>
            <w:r>
              <w:rPr>
                <w:rFonts w:ascii="Arial" w:cs="Arial" w:eastAsia="Arial" w:hAnsi="Arial"/>
                <w:sz w:val="14"/>
                <w:szCs w:val="14"/>
                <w:b w:val="1"/>
                <w:bCs w:val="1"/>
                <w:color w:val="auto"/>
              </w:rPr>
              <w:t>2026</w:t>
            </w:r>
          </w:p>
        </w:tc>
        <w:tc>
          <w:tcPr>
            <w:tcW w:w="4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jc w:val="right"/>
              <w:ind w:right="31"/>
              <w:spacing w:after="0"/>
              <w:rPr>
                <w:sz w:val="20"/>
                <w:szCs w:val="20"/>
                <w:color w:val="auto"/>
              </w:rPr>
            </w:pPr>
            <w:r>
              <w:rPr>
                <w:rFonts w:ascii="Arial" w:cs="Arial" w:eastAsia="Arial" w:hAnsi="Arial"/>
                <w:sz w:val="14"/>
                <w:szCs w:val="14"/>
                <w:color w:val="auto"/>
              </w:rPr>
              <w:t>2025</w:t>
            </w:r>
          </w:p>
        </w:tc>
        <w:tc>
          <w:tcPr>
            <w:tcW w:w="4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460" w:type="dxa"/>
            <w:vAlign w:val="bottom"/>
          </w:tcPr>
          <w:p>
            <w:pPr>
              <w:jc w:val="right"/>
              <w:ind w:right="51"/>
              <w:spacing w:after="0"/>
              <w:rPr>
                <w:sz w:val="20"/>
                <w:szCs w:val="20"/>
                <w:color w:val="auto"/>
              </w:rPr>
            </w:pPr>
            <w:r>
              <w:rPr>
                <w:rFonts w:ascii="Arial" w:cs="Arial" w:eastAsia="Arial" w:hAnsi="Arial"/>
                <w:sz w:val="14"/>
                <w:szCs w:val="14"/>
                <w:color w:val="auto"/>
                <w:w w:val="96"/>
              </w:rPr>
              <w:t>2025</w:t>
            </w:r>
          </w:p>
        </w:tc>
        <w:tc>
          <w:tcPr>
            <w:tcW w:w="400" w:type="dxa"/>
            <w:vAlign w:val="bottom"/>
          </w:tcPr>
          <w:p>
            <w:pPr>
              <w:spacing w:after="0"/>
              <w:rPr>
                <w:sz w:val="14"/>
                <w:szCs w:val="14"/>
                <w:color w:val="auto"/>
              </w:rPr>
            </w:pPr>
          </w:p>
        </w:tc>
        <w:tc>
          <w:tcPr>
            <w:tcW w:w="1200" w:type="dxa"/>
            <w:vAlign w:val="bottom"/>
            <w:gridSpan w:val="2"/>
          </w:tcPr>
          <w:p>
            <w:pPr>
              <w:jc w:val="right"/>
              <w:ind w:right="368"/>
              <w:spacing w:after="0"/>
              <w:rPr>
                <w:sz w:val="20"/>
                <w:szCs w:val="20"/>
                <w:color w:val="auto"/>
              </w:rPr>
            </w:pPr>
            <w:r>
              <w:rPr>
                <w:rFonts w:ascii="Arial" w:cs="Arial" w:eastAsia="Arial" w:hAnsi="Arial"/>
                <w:sz w:val="14"/>
                <w:szCs w:val="14"/>
                <w:b w:val="1"/>
                <w:bCs w:val="1"/>
                <w:color w:val="auto"/>
              </w:rPr>
              <w:t>Sequential</w:t>
            </w:r>
          </w:p>
        </w:tc>
        <w:tc>
          <w:tcPr>
            <w:tcW w:w="1100" w:type="dxa"/>
            <w:vAlign w:val="bottom"/>
            <w:gridSpan w:val="2"/>
          </w:tcPr>
          <w:p>
            <w:pPr>
              <w:jc w:val="right"/>
              <w:ind w:right="220"/>
              <w:spacing w:after="0"/>
              <w:rPr>
                <w:sz w:val="20"/>
                <w:szCs w:val="20"/>
                <w:color w:val="auto"/>
              </w:rPr>
            </w:pPr>
            <w:r>
              <w:rPr>
                <w:rFonts w:ascii="Arial" w:cs="Arial" w:eastAsia="Arial" w:hAnsi="Arial"/>
                <w:sz w:val="14"/>
                <w:szCs w:val="14"/>
                <w:b w:val="1"/>
                <w:bCs w:val="1"/>
                <w:color w:val="auto"/>
              </w:rPr>
              <w:t>Year-on-year</w:t>
            </w:r>
          </w:p>
        </w:tc>
        <w:tc>
          <w:tcPr>
            <w:tcW w:w="0" w:type="dxa"/>
            <w:vAlign w:val="bottom"/>
          </w:tcPr>
          <w:p>
            <w:pPr>
              <w:spacing w:after="0"/>
              <w:rPr>
                <w:sz w:val="1"/>
                <w:szCs w:val="1"/>
                <w:color w:val="auto"/>
              </w:rPr>
            </w:pPr>
          </w:p>
        </w:tc>
      </w:tr>
      <w:tr>
        <w:trPr>
          <w:trHeight w:val="196"/>
        </w:trPr>
        <w:tc>
          <w:tcPr>
            <w:tcW w:w="3940" w:type="dxa"/>
            <w:vAlign w:val="bottom"/>
            <w:tcBorders>
              <w:top w:val="single" w:sz="8" w:color="CCEEFF"/>
            </w:tcBorders>
            <w:shd w:val="clear" w:color="auto" w:fill="CCEEFF"/>
          </w:tcPr>
          <w:p>
            <w:pPr>
              <w:spacing w:after="0" w:line="196" w:lineRule="exact"/>
              <w:rPr>
                <w:sz w:val="20"/>
                <w:szCs w:val="20"/>
                <w:color w:val="auto"/>
              </w:rPr>
            </w:pPr>
            <w:r>
              <w:rPr>
                <w:rFonts w:ascii="Arial" w:cs="Arial" w:eastAsia="Arial" w:hAnsi="Arial"/>
                <w:sz w:val="18"/>
                <w:szCs w:val="18"/>
                <w:b w:val="1"/>
                <w:bCs w:val="1"/>
                <w:color w:val="auto"/>
              </w:rPr>
              <w:t>Revenue</w:t>
            </w:r>
          </w:p>
        </w:tc>
        <w:tc>
          <w:tcPr>
            <w:tcW w:w="182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5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0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120" w:type="dxa"/>
            <w:vAlign w:val="bottom"/>
            <w:tcBorders>
              <w:top w:val="single" w:sz="8" w:color="auto"/>
            </w:tcBorders>
            <w:shd w:val="clear" w:color="auto" w:fill="CCEEFF"/>
          </w:tcPr>
          <w:p>
            <w:pPr>
              <w:spacing w:after="0"/>
              <w:rPr>
                <w:sz w:val="17"/>
                <w:szCs w:val="17"/>
                <w:color w:val="auto"/>
              </w:rPr>
            </w:pPr>
          </w:p>
        </w:tc>
        <w:tc>
          <w:tcPr>
            <w:tcW w:w="46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00" w:type="dxa"/>
            <w:vAlign w:val="bottom"/>
            <w:tcBorders>
              <w:top w:val="single" w:sz="8" w:color="auto"/>
            </w:tcBorders>
            <w:shd w:val="clear" w:color="auto" w:fill="CCEEFF"/>
          </w:tcPr>
          <w:p>
            <w:pPr>
              <w:spacing w:after="0"/>
              <w:rPr>
                <w:sz w:val="17"/>
                <w:szCs w:val="17"/>
                <w:color w:val="auto"/>
              </w:rPr>
            </w:pPr>
          </w:p>
        </w:tc>
        <w:tc>
          <w:tcPr>
            <w:tcW w:w="400" w:type="dxa"/>
            <w:vAlign w:val="bottom"/>
            <w:tcBorders>
              <w:top w:val="single" w:sz="8" w:color="CCEEFF"/>
            </w:tcBorders>
            <w:shd w:val="clear" w:color="auto" w:fill="CCEEFF"/>
          </w:tcPr>
          <w:p>
            <w:pPr>
              <w:spacing w:after="0"/>
              <w:rPr>
                <w:sz w:val="17"/>
                <w:szCs w:val="17"/>
                <w:color w:val="auto"/>
              </w:rPr>
            </w:pPr>
          </w:p>
        </w:tc>
        <w:tc>
          <w:tcPr>
            <w:tcW w:w="880" w:type="dxa"/>
            <w:vAlign w:val="bottom"/>
            <w:tcBorders>
              <w:top w:val="single" w:sz="8" w:color="auto"/>
            </w:tcBorders>
            <w:shd w:val="clear" w:color="auto" w:fill="CCEEFF"/>
          </w:tcPr>
          <w:p>
            <w:pPr>
              <w:spacing w:after="0"/>
              <w:rPr>
                <w:sz w:val="17"/>
                <w:szCs w:val="17"/>
                <w:color w:val="auto"/>
              </w:rPr>
            </w:pPr>
          </w:p>
        </w:tc>
        <w:tc>
          <w:tcPr>
            <w:tcW w:w="220" w:type="dxa"/>
            <w:vAlign w:val="bottom"/>
            <w:tcBorders>
              <w:top w:val="single" w:sz="8" w:color="CCEEFF"/>
            </w:tcBorders>
            <w:shd w:val="clear" w:color="auto" w:fill="CCEEFF"/>
          </w:tcPr>
          <w:p>
            <w:pPr>
              <w:spacing w:after="0"/>
              <w:rPr>
                <w:sz w:val="17"/>
                <w:szCs w:val="17"/>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Reservoir Performance</w:t>
            </w:r>
          </w:p>
        </w:tc>
        <w:tc>
          <w:tcPr>
            <w:tcW w:w="1940" w:type="dxa"/>
            <w:vAlign w:val="bottom"/>
            <w:gridSpan w:val="2"/>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1,594</w:t>
            </w:r>
          </w:p>
        </w:tc>
        <w:tc>
          <w:tcPr>
            <w:tcW w:w="100" w:type="dxa"/>
            <w:vAlign w:val="bottom"/>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1,748</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1,700</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2,797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2,949</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2,977</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Production Systems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3,508</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4,078</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2,841</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7,899</w:t>
            </w:r>
          </w:p>
        </w:tc>
        <w:tc>
          <w:tcPr>
            <w:tcW w:w="10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8,775</w:t>
            </w:r>
          </w:p>
        </w:tc>
        <w:tc>
          <w:tcPr>
            <w:tcW w:w="120" w:type="dxa"/>
            <w:vAlign w:val="bottom"/>
            <w:shd w:val="clear" w:color="auto" w:fill="CCEEFF"/>
          </w:tcPr>
          <w:p>
            <w:pPr>
              <w:spacing w:after="0"/>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w w:val="97"/>
              </w:rPr>
              <w:t>7,518</w:t>
            </w:r>
          </w:p>
        </w:tc>
        <w:tc>
          <w:tcPr>
            <w:tcW w:w="1200" w:type="dxa"/>
            <w:vAlign w:val="bottom"/>
            <w:gridSpan w:val="2"/>
            <w:shd w:val="clear" w:color="auto" w:fill="CCEEFF"/>
          </w:tcPr>
          <w:p>
            <w:pPr>
              <w:jc w:val="right"/>
              <w:ind w:right="168"/>
              <w:spacing w:after="0"/>
              <w:rPr>
                <w:sz w:val="20"/>
                <w:szCs w:val="20"/>
                <w:color w:val="auto"/>
              </w:rPr>
            </w:pPr>
            <w:r>
              <w:rPr>
                <w:rFonts w:ascii="Arial" w:cs="Arial" w:eastAsia="Arial" w:hAnsi="Arial"/>
                <w:sz w:val="18"/>
                <w:szCs w:val="18"/>
                <w:b w:val="1"/>
                <w:bCs w:val="1"/>
                <w:color w:val="auto"/>
              </w:rPr>
              <w:t>-10%</w:t>
            </w:r>
          </w:p>
        </w:tc>
        <w:tc>
          <w:tcPr>
            <w:tcW w:w="1100" w:type="dxa"/>
            <w:vAlign w:val="bottom"/>
            <w:gridSpan w:val="2"/>
            <w:shd w:val="clear" w:color="auto" w:fill="CCEEFF"/>
          </w:tcPr>
          <w:p>
            <w:pPr>
              <w:jc w:val="right"/>
              <w:ind w:right="60"/>
              <w:spacing w:after="0"/>
              <w:rPr>
                <w:sz w:val="20"/>
                <w:szCs w:val="20"/>
                <w:color w:val="auto"/>
              </w:rPr>
            </w:pPr>
            <w:r>
              <w:rPr>
                <w:rFonts w:ascii="Arial" w:cs="Arial" w:eastAsia="Arial" w:hAnsi="Arial"/>
                <w:sz w:val="18"/>
                <w:szCs w:val="18"/>
                <w:color w:val="auto"/>
              </w:rPr>
              <w:t>5%</w:t>
            </w:r>
          </w:p>
        </w:tc>
        <w:tc>
          <w:tcPr>
            <w:tcW w:w="0" w:type="dxa"/>
            <w:vAlign w:val="bottom"/>
          </w:tcPr>
          <w:p>
            <w:pPr>
              <w:spacing w:after="0"/>
              <w:rPr>
                <w:sz w:val="1"/>
                <w:szCs w:val="1"/>
                <w:color w:val="auto"/>
              </w:rPr>
            </w:pPr>
          </w:p>
        </w:tc>
      </w:tr>
      <w:tr>
        <w:trPr>
          <w:trHeight w:val="20"/>
        </w:trPr>
        <w:tc>
          <w:tcPr>
            <w:tcW w:w="3940" w:type="dxa"/>
            <w:vAlign w:val="bottom"/>
            <w:vMerge w:val="restart"/>
          </w:tcPr>
          <w:p>
            <w:pPr>
              <w:spacing w:after="0"/>
              <w:rPr>
                <w:sz w:val="20"/>
                <w:szCs w:val="20"/>
                <w:color w:val="auto"/>
              </w:rPr>
            </w:pPr>
            <w:r>
              <w:rPr>
                <w:rFonts w:ascii="Arial" w:cs="Arial" w:eastAsia="Arial" w:hAnsi="Arial"/>
                <w:sz w:val="18"/>
                <w:szCs w:val="18"/>
                <w:b w:val="1"/>
                <w:bCs w:val="1"/>
                <w:color w:val="auto"/>
              </w:rPr>
              <w:t>Pretax Operating Income</w:t>
            </w: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vMerge w:val="continue"/>
          </w:tcPr>
          <w:p>
            <w:pPr>
              <w:spacing w:after="0"/>
              <w:rPr>
                <w:sz w:val="18"/>
                <w:szCs w:val="18"/>
                <w:color w:val="auto"/>
              </w:rPr>
            </w:pP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5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Reservoir Performance</w:t>
            </w:r>
          </w:p>
        </w:tc>
        <w:tc>
          <w:tcPr>
            <w:tcW w:w="1940" w:type="dxa"/>
            <w:vAlign w:val="bottom"/>
            <w:gridSpan w:val="2"/>
            <w:shd w:val="clear" w:color="auto" w:fill="CCEEFF"/>
          </w:tcPr>
          <w:p>
            <w:pPr>
              <w:jc w:val="right"/>
              <w:spacing w:after="0"/>
              <w:rPr>
                <w:sz w:val="20"/>
                <w:szCs w:val="20"/>
                <w:color w:val="auto"/>
              </w:rPr>
            </w:pPr>
            <w:r>
              <w:rPr>
                <w:rFonts w:ascii="Arial" w:cs="Arial" w:eastAsia="Arial" w:hAnsi="Arial"/>
                <w:sz w:val="18"/>
                <w:szCs w:val="18"/>
                <w:b w:val="1"/>
                <w:bCs w:val="1"/>
                <w:color w:val="auto"/>
              </w:rPr>
              <w:t>$</w:t>
            </w: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257</w:t>
            </w:r>
          </w:p>
        </w:tc>
        <w:tc>
          <w:tcPr>
            <w:tcW w:w="100" w:type="dxa"/>
            <w:vAlign w:val="bottom"/>
            <w:shd w:val="clear" w:color="auto" w:fill="CCEEFF"/>
          </w:tcPr>
          <w:p>
            <w:pPr>
              <w:spacing w:after="0"/>
              <w:rPr>
                <w:sz w:val="20"/>
                <w:szCs w:val="20"/>
                <w:color w:val="auto"/>
              </w:rPr>
            </w:pPr>
            <w:r>
              <w:rPr>
                <w:rFonts w:ascii="Arial" w:cs="Arial" w:eastAsia="Arial" w:hAnsi="Arial"/>
                <w:sz w:val="18"/>
                <w:szCs w:val="18"/>
                <w:color w:val="auto"/>
                <w:w w:val="7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342</w:t>
            </w:r>
          </w:p>
        </w:tc>
        <w:tc>
          <w:tcPr>
            <w:tcW w:w="120" w:type="dxa"/>
            <w:vAlign w:val="bottom"/>
            <w:shd w:val="clear" w:color="auto" w:fill="CCEEFF"/>
          </w:tcPr>
          <w:p>
            <w:pPr>
              <w:spacing w:after="0"/>
              <w:rPr>
                <w:sz w:val="20"/>
                <w:szCs w:val="20"/>
                <w:color w:val="auto"/>
              </w:rPr>
            </w:pPr>
            <w:r>
              <w:rPr>
                <w:rFonts w:ascii="Arial" w:cs="Arial" w:eastAsia="Arial" w:hAnsi="Arial"/>
                <w:sz w:val="18"/>
                <w:szCs w:val="18"/>
                <w:color w:val="auto"/>
                <w:w w:val="99"/>
              </w:rPr>
              <w:t>$</w:t>
            </w: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282</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Well Construction</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424</w:t>
            </w:r>
          </w:p>
        </w:tc>
        <w:tc>
          <w:tcPr>
            <w:tcW w:w="10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550</w:t>
            </w:r>
          </w:p>
        </w:tc>
        <w:tc>
          <w:tcPr>
            <w:tcW w:w="120" w:type="dxa"/>
            <w:vAlign w:val="bottom"/>
          </w:tcPr>
          <w:p>
            <w:pPr>
              <w:spacing w:after="0"/>
              <w:rPr>
                <w:sz w:val="18"/>
                <w:szCs w:val="18"/>
                <w:color w:val="auto"/>
              </w:rPr>
            </w:pP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rPr>
              <w:t>589</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Production Systems</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b w:val="1"/>
                <w:bCs w:val="1"/>
                <w:color w:val="auto"/>
              </w:rPr>
              <w:t>497</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664</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400"/>
              <w:spacing w:after="0"/>
              <w:rPr>
                <w:sz w:val="20"/>
                <w:szCs w:val="20"/>
                <w:color w:val="auto"/>
              </w:rPr>
            </w:pPr>
            <w:r>
              <w:rPr>
                <w:rFonts w:ascii="Arial" w:cs="Arial" w:eastAsia="Arial" w:hAnsi="Arial"/>
                <w:sz w:val="18"/>
                <w:szCs w:val="18"/>
                <w:color w:val="auto"/>
              </w:rPr>
              <w:t>471</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shd w:val="clear" w:color="auto" w:fill="000000"/>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3"/>
        </w:trPr>
        <w:tc>
          <w:tcPr>
            <w:tcW w:w="3940" w:type="dxa"/>
            <w:vAlign w:val="bottom"/>
          </w:tcPr>
          <w:p>
            <w:pPr>
              <w:spacing w:after="0"/>
              <w:rPr>
                <w:sz w:val="19"/>
                <w:szCs w:val="19"/>
                <w:color w:val="auto"/>
              </w:rPr>
            </w:pPr>
          </w:p>
        </w:tc>
        <w:tc>
          <w:tcPr>
            <w:tcW w:w="182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8"/>
                <w:szCs w:val="18"/>
                <w:b w:val="1"/>
                <w:bCs w:val="1"/>
                <w:color w:val="auto"/>
                <w:w w:val="79"/>
              </w:rPr>
              <w:t>$</w:t>
            </w:r>
          </w:p>
        </w:tc>
        <w:tc>
          <w:tcPr>
            <w:tcW w:w="900" w:type="dxa"/>
            <w:vAlign w:val="bottom"/>
            <w:gridSpan w:val="2"/>
          </w:tcPr>
          <w:p>
            <w:pPr>
              <w:jc w:val="right"/>
              <w:ind w:right="400"/>
              <w:spacing w:after="0"/>
              <w:rPr>
                <w:sz w:val="20"/>
                <w:szCs w:val="20"/>
                <w:color w:val="auto"/>
              </w:rPr>
            </w:pPr>
            <w:r>
              <w:rPr>
                <w:rFonts w:ascii="Arial" w:cs="Arial" w:eastAsia="Arial" w:hAnsi="Arial"/>
                <w:sz w:val="18"/>
                <w:szCs w:val="18"/>
                <w:b w:val="1"/>
                <w:bCs w:val="1"/>
                <w:color w:val="auto"/>
              </w:rPr>
              <w:t>1,178</w:t>
            </w:r>
          </w:p>
        </w:tc>
        <w:tc>
          <w:tcPr>
            <w:tcW w:w="100" w:type="dxa"/>
            <w:vAlign w:val="bottom"/>
          </w:tcPr>
          <w:p>
            <w:pPr>
              <w:spacing w:after="0"/>
              <w:rPr>
                <w:sz w:val="20"/>
                <w:szCs w:val="20"/>
                <w:color w:val="auto"/>
              </w:rPr>
            </w:pPr>
            <w:r>
              <w:rPr>
                <w:rFonts w:ascii="Arial" w:cs="Arial" w:eastAsia="Arial" w:hAnsi="Arial"/>
                <w:sz w:val="18"/>
                <w:szCs w:val="18"/>
                <w:u w:val="single" w:color="auto"/>
                <w:color w:val="auto"/>
                <w:w w:val="7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1,556</w:t>
            </w:r>
          </w:p>
        </w:tc>
        <w:tc>
          <w:tcPr>
            <w:tcW w:w="120" w:type="dxa"/>
            <w:vAlign w:val="bottom"/>
          </w:tcPr>
          <w:p>
            <w:pPr>
              <w:spacing w:after="0"/>
              <w:rPr>
                <w:sz w:val="20"/>
                <w:szCs w:val="20"/>
                <w:color w:val="auto"/>
              </w:rPr>
            </w:pPr>
            <w:r>
              <w:rPr>
                <w:rFonts w:ascii="Arial" w:cs="Arial" w:eastAsia="Arial" w:hAnsi="Arial"/>
                <w:sz w:val="18"/>
                <w:szCs w:val="18"/>
                <w:u w:val="single" w:color="auto"/>
                <w:color w:val="auto"/>
                <w:w w:val="99"/>
              </w:rPr>
              <w:t>$</w:t>
            </w:r>
          </w:p>
        </w:tc>
        <w:tc>
          <w:tcPr>
            <w:tcW w:w="860" w:type="dxa"/>
            <w:vAlign w:val="bottom"/>
            <w:gridSpan w:val="2"/>
          </w:tcPr>
          <w:p>
            <w:pPr>
              <w:jc w:val="right"/>
              <w:ind w:right="400"/>
              <w:spacing w:after="0"/>
              <w:rPr>
                <w:sz w:val="20"/>
                <w:szCs w:val="20"/>
                <w:color w:val="auto"/>
              </w:rPr>
            </w:pPr>
            <w:r>
              <w:rPr>
                <w:rFonts w:ascii="Arial" w:cs="Arial" w:eastAsia="Arial" w:hAnsi="Arial"/>
                <w:sz w:val="18"/>
                <w:szCs w:val="18"/>
                <w:color w:val="auto"/>
                <w:w w:val="97"/>
              </w:rPr>
              <w:t>1,342</w:t>
            </w:r>
          </w:p>
        </w:tc>
        <w:tc>
          <w:tcPr>
            <w:tcW w:w="1200" w:type="dxa"/>
            <w:vAlign w:val="bottom"/>
            <w:gridSpan w:val="2"/>
          </w:tcPr>
          <w:p>
            <w:pPr>
              <w:jc w:val="right"/>
              <w:ind w:right="168"/>
              <w:spacing w:after="0"/>
              <w:rPr>
                <w:sz w:val="20"/>
                <w:szCs w:val="20"/>
                <w:color w:val="auto"/>
              </w:rPr>
            </w:pPr>
            <w:r>
              <w:rPr>
                <w:rFonts w:ascii="Arial" w:cs="Arial" w:eastAsia="Arial" w:hAnsi="Arial"/>
                <w:sz w:val="18"/>
                <w:szCs w:val="18"/>
                <w:b w:val="1"/>
                <w:bCs w:val="1"/>
                <w:color w:val="auto"/>
              </w:rPr>
              <w:t>-24%</w:t>
            </w:r>
          </w:p>
        </w:tc>
        <w:tc>
          <w:tcPr>
            <w:tcW w:w="1100" w:type="dxa"/>
            <w:vAlign w:val="bottom"/>
            <w:gridSpan w:val="2"/>
          </w:tcPr>
          <w:p>
            <w:pPr>
              <w:jc w:val="right"/>
              <w:ind w:right="60"/>
              <w:spacing w:after="0"/>
              <w:rPr>
                <w:sz w:val="20"/>
                <w:szCs w:val="20"/>
                <w:color w:val="auto"/>
              </w:rPr>
            </w:pPr>
            <w:r>
              <w:rPr>
                <w:rFonts w:ascii="Arial" w:cs="Arial" w:eastAsia="Arial" w:hAnsi="Arial"/>
                <w:sz w:val="18"/>
                <w:szCs w:val="18"/>
                <w:color w:val="auto"/>
              </w:rPr>
              <w:t>-12%</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0"/>
        </w:trPr>
        <w:tc>
          <w:tcPr>
            <w:tcW w:w="3940" w:type="dxa"/>
            <w:vAlign w:val="bottom"/>
            <w:shd w:val="clear" w:color="auto" w:fill="CCEEFF"/>
          </w:tcPr>
          <w:p>
            <w:pPr>
              <w:spacing w:after="0"/>
              <w:rPr>
                <w:sz w:val="20"/>
                <w:szCs w:val="20"/>
                <w:color w:val="auto"/>
              </w:rPr>
            </w:pPr>
            <w:r>
              <w:rPr>
                <w:rFonts w:ascii="Arial" w:cs="Arial" w:eastAsia="Arial" w:hAnsi="Arial"/>
                <w:sz w:val="18"/>
                <w:szCs w:val="18"/>
                <w:b w:val="1"/>
                <w:bCs w:val="1"/>
                <w:color w:val="auto"/>
              </w:rPr>
              <w:t>Pretax Operating Margin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5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46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Reservoir Performance</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16 .1%</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19.6%</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shd w:val="clear" w:color="auto" w:fill="CCEEFF"/>
          </w:tcPr>
          <w:p>
            <w:pPr>
              <w:spacing w:after="0"/>
              <w:rPr>
                <w:sz w:val="20"/>
                <w:szCs w:val="20"/>
                <w:color w:val="auto"/>
              </w:rPr>
            </w:pPr>
            <w:r>
              <w:rPr>
                <w:rFonts w:ascii="Arial" w:cs="Arial" w:eastAsia="Arial" w:hAnsi="Arial"/>
                <w:sz w:val="18"/>
                <w:szCs w:val="18"/>
                <w:color w:val="auto"/>
              </w:rPr>
              <w:t>Well Construction</w:t>
            </w: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15 .2%</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18.7%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19.8%</w:t>
            </w:r>
          </w:p>
        </w:tc>
        <w:tc>
          <w:tcPr>
            <w:tcW w:w="800" w:type="dxa"/>
            <w:vAlign w:val="bottom"/>
            <w:shd w:val="clear" w:color="auto" w:fill="CCEEFF"/>
          </w:tcPr>
          <w:p>
            <w:pPr>
              <w:spacing w:after="0"/>
              <w:rPr>
                <w:sz w:val="18"/>
                <w:szCs w:val="18"/>
                <w:color w:val="auto"/>
              </w:rPr>
            </w:pPr>
          </w:p>
        </w:tc>
        <w:tc>
          <w:tcPr>
            <w:tcW w:w="400" w:type="dxa"/>
            <w:vAlign w:val="bottom"/>
            <w:shd w:val="clear" w:color="auto" w:fill="CCEEFF"/>
          </w:tcPr>
          <w:p>
            <w:pPr>
              <w:spacing w:after="0"/>
              <w:rPr>
                <w:sz w:val="18"/>
                <w:szCs w:val="18"/>
                <w:color w:val="auto"/>
              </w:rPr>
            </w:pPr>
          </w:p>
        </w:tc>
        <w:tc>
          <w:tcPr>
            <w:tcW w:w="880" w:type="dxa"/>
            <w:vAlign w:val="bottom"/>
            <w:shd w:val="clear" w:color="auto" w:fill="CCEEFF"/>
          </w:tcPr>
          <w:p>
            <w:pPr>
              <w:spacing w:after="0"/>
              <w:rPr>
                <w:sz w:val="18"/>
                <w:szCs w:val="18"/>
                <w:color w:val="auto"/>
              </w:rPr>
            </w:pPr>
          </w:p>
        </w:tc>
        <w:tc>
          <w:tcPr>
            <w:tcW w:w="2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3940" w:type="dxa"/>
            <w:vAlign w:val="bottom"/>
          </w:tcPr>
          <w:p>
            <w:pPr>
              <w:spacing w:after="0"/>
              <w:rPr>
                <w:sz w:val="20"/>
                <w:szCs w:val="20"/>
                <w:color w:val="auto"/>
              </w:rPr>
            </w:pPr>
            <w:r>
              <w:rPr>
                <w:rFonts w:ascii="Arial" w:cs="Arial" w:eastAsia="Arial" w:hAnsi="Arial"/>
                <w:sz w:val="18"/>
                <w:szCs w:val="18"/>
                <w:color w:val="auto"/>
              </w:rPr>
              <w:t>Production Systems</w:t>
            </w:r>
          </w:p>
        </w:tc>
        <w:tc>
          <w:tcPr>
            <w:tcW w:w="182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8"/>
                <w:szCs w:val="18"/>
                <w:b w:val="1"/>
                <w:bCs w:val="1"/>
                <w:color w:val="auto"/>
              </w:rPr>
              <w:t>14 .2%</w:t>
            </w:r>
          </w:p>
        </w:tc>
        <w:tc>
          <w:tcPr>
            <w:tcW w:w="10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16.3%</w:t>
            </w:r>
          </w:p>
        </w:tc>
        <w:tc>
          <w:tcPr>
            <w:tcW w:w="120" w:type="dxa"/>
            <w:vAlign w:val="bottom"/>
          </w:tcPr>
          <w:p>
            <w:pPr>
              <w:spacing w:after="0"/>
              <w:rPr>
                <w:sz w:val="18"/>
                <w:szCs w:val="18"/>
                <w:color w:val="auto"/>
              </w:rPr>
            </w:pPr>
          </w:p>
        </w:tc>
        <w:tc>
          <w:tcPr>
            <w:tcW w:w="860" w:type="dxa"/>
            <w:vAlign w:val="bottom"/>
            <w:gridSpan w:val="2"/>
          </w:tcPr>
          <w:p>
            <w:pPr>
              <w:jc w:val="right"/>
              <w:ind w:right="240"/>
              <w:spacing w:after="0"/>
              <w:rPr>
                <w:sz w:val="20"/>
                <w:szCs w:val="20"/>
                <w:color w:val="auto"/>
              </w:rPr>
            </w:pPr>
            <w:r>
              <w:rPr>
                <w:rFonts w:ascii="Arial" w:cs="Arial" w:eastAsia="Arial" w:hAnsi="Arial"/>
                <w:sz w:val="18"/>
                <w:szCs w:val="18"/>
                <w:color w:val="auto"/>
              </w:rPr>
              <w:t>16.6%</w:t>
            </w:r>
          </w:p>
        </w:tc>
        <w:tc>
          <w:tcPr>
            <w:tcW w:w="80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8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7"/>
        </w:trPr>
        <w:tc>
          <w:tcPr>
            <w:tcW w:w="3940" w:type="dxa"/>
            <w:vAlign w:val="bottom"/>
          </w:tcPr>
          <w:p>
            <w:pPr>
              <w:spacing w:after="0"/>
              <w:rPr>
                <w:sz w:val="2"/>
                <w:szCs w:val="2"/>
                <w:color w:val="auto"/>
              </w:rPr>
            </w:pPr>
          </w:p>
        </w:tc>
        <w:tc>
          <w:tcPr>
            <w:tcW w:w="18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00" w:type="dxa"/>
            <w:vAlign w:val="bottom"/>
            <w:shd w:val="clear" w:color="auto" w:fill="000000"/>
          </w:tcPr>
          <w:p>
            <w:pPr>
              <w:spacing w:after="0"/>
              <w:rPr>
                <w:sz w:val="2"/>
                <w:szCs w:val="2"/>
                <w:color w:val="auto"/>
              </w:rPr>
            </w:pPr>
          </w:p>
        </w:tc>
        <w:tc>
          <w:tcPr>
            <w:tcW w:w="400" w:type="dxa"/>
            <w:vAlign w:val="bottom"/>
          </w:tcPr>
          <w:p>
            <w:pPr>
              <w:spacing w:after="0"/>
              <w:rPr>
                <w:sz w:val="2"/>
                <w:szCs w:val="2"/>
                <w:color w:val="auto"/>
              </w:rPr>
            </w:pPr>
          </w:p>
        </w:tc>
        <w:tc>
          <w:tcPr>
            <w:tcW w:w="8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16"/>
        </w:trPr>
        <w:tc>
          <w:tcPr>
            <w:tcW w:w="3940" w:type="dxa"/>
            <w:vAlign w:val="bottom"/>
            <w:shd w:val="clear" w:color="auto" w:fill="CCEEFF"/>
          </w:tcPr>
          <w:p>
            <w:pPr>
              <w:spacing w:after="0"/>
              <w:rPr>
                <w:sz w:val="18"/>
                <w:szCs w:val="18"/>
                <w:color w:val="auto"/>
              </w:rPr>
            </w:pPr>
          </w:p>
        </w:tc>
        <w:tc>
          <w:tcPr>
            <w:tcW w:w="1820" w:type="dxa"/>
            <w:vAlign w:val="bottom"/>
            <w:shd w:val="clear" w:color="auto" w:fill="CCEEFF"/>
          </w:tcPr>
          <w:p>
            <w:pPr>
              <w:spacing w:after="0"/>
              <w:rPr>
                <w:sz w:val="18"/>
                <w:szCs w:val="18"/>
                <w:color w:val="auto"/>
              </w:rPr>
            </w:pPr>
          </w:p>
        </w:tc>
        <w:tc>
          <w:tcPr>
            <w:tcW w:w="120" w:type="dxa"/>
            <w:vAlign w:val="bottom"/>
            <w:shd w:val="clear" w:color="auto" w:fill="CCEEFF"/>
          </w:tcPr>
          <w:p>
            <w:pPr>
              <w:spacing w:after="0"/>
              <w:rPr>
                <w:sz w:val="18"/>
                <w:szCs w:val="18"/>
                <w:color w:val="auto"/>
              </w:rPr>
            </w:pPr>
          </w:p>
        </w:tc>
        <w:tc>
          <w:tcPr>
            <w:tcW w:w="90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b w:val="1"/>
                <w:bCs w:val="1"/>
                <w:color w:val="auto"/>
              </w:rPr>
              <w:t>14 .9%</w:t>
            </w:r>
          </w:p>
        </w:tc>
        <w:tc>
          <w:tcPr>
            <w:tcW w:w="10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17.7%</w:t>
            </w:r>
          </w:p>
        </w:tc>
        <w:tc>
          <w:tcPr>
            <w:tcW w:w="120" w:type="dxa"/>
            <w:vAlign w:val="bottom"/>
            <w:shd w:val="clear" w:color="auto" w:fill="CCEEFF"/>
          </w:tcPr>
          <w:p>
            <w:pPr>
              <w:spacing w:after="0"/>
              <w:rPr>
                <w:sz w:val="18"/>
                <w:szCs w:val="18"/>
                <w:color w:val="auto"/>
              </w:rPr>
            </w:pPr>
          </w:p>
        </w:tc>
        <w:tc>
          <w:tcPr>
            <w:tcW w:w="860" w:type="dxa"/>
            <w:vAlign w:val="bottom"/>
            <w:gridSpan w:val="2"/>
            <w:shd w:val="clear" w:color="auto" w:fill="CCEEFF"/>
          </w:tcPr>
          <w:p>
            <w:pPr>
              <w:jc w:val="right"/>
              <w:ind w:right="240"/>
              <w:spacing w:after="0"/>
              <w:rPr>
                <w:sz w:val="20"/>
                <w:szCs w:val="20"/>
                <w:color w:val="auto"/>
              </w:rPr>
            </w:pPr>
            <w:r>
              <w:rPr>
                <w:rFonts w:ascii="Arial" w:cs="Arial" w:eastAsia="Arial" w:hAnsi="Arial"/>
                <w:sz w:val="18"/>
                <w:szCs w:val="18"/>
                <w:color w:val="auto"/>
              </w:rPr>
              <w:t>17.8%</w:t>
            </w:r>
          </w:p>
        </w:tc>
        <w:tc>
          <w:tcPr>
            <w:tcW w:w="1200" w:type="dxa"/>
            <w:vAlign w:val="bottom"/>
            <w:gridSpan w:val="2"/>
            <w:shd w:val="clear" w:color="auto" w:fill="CCEEFF"/>
          </w:tcPr>
          <w:p>
            <w:pPr>
              <w:jc w:val="right"/>
              <w:ind w:right="328"/>
              <w:spacing w:after="0"/>
              <w:rPr>
                <w:sz w:val="20"/>
                <w:szCs w:val="20"/>
                <w:color w:val="auto"/>
              </w:rPr>
            </w:pPr>
            <w:r>
              <w:rPr>
                <w:rFonts w:ascii="Arial" w:cs="Arial" w:eastAsia="Arial" w:hAnsi="Arial"/>
                <w:sz w:val="18"/>
                <w:szCs w:val="18"/>
                <w:b w:val="1"/>
                <w:bCs w:val="1"/>
                <w:color w:val="auto"/>
              </w:rPr>
              <w:t>-283 bps</w:t>
            </w:r>
          </w:p>
        </w:tc>
        <w:tc>
          <w:tcPr>
            <w:tcW w:w="1100" w:type="dxa"/>
            <w:vAlign w:val="bottom"/>
            <w:gridSpan w:val="2"/>
            <w:shd w:val="clear" w:color="auto" w:fill="CCEEFF"/>
          </w:tcPr>
          <w:p>
            <w:pPr>
              <w:jc w:val="right"/>
              <w:ind w:right="220"/>
              <w:spacing w:after="0"/>
              <w:rPr>
                <w:sz w:val="20"/>
                <w:szCs w:val="20"/>
                <w:color w:val="auto"/>
              </w:rPr>
            </w:pPr>
            <w:r>
              <w:rPr>
                <w:rFonts w:ascii="Arial" w:cs="Arial" w:eastAsia="Arial" w:hAnsi="Arial"/>
                <w:sz w:val="18"/>
                <w:szCs w:val="18"/>
                <w:color w:val="auto"/>
              </w:rPr>
              <w:t>-294 bps</w:t>
            </w:r>
          </w:p>
        </w:tc>
        <w:tc>
          <w:tcPr>
            <w:tcW w:w="0" w:type="dxa"/>
            <w:vAlign w:val="bottom"/>
          </w:tcPr>
          <w:p>
            <w:pPr>
              <w:spacing w:after="0"/>
              <w:rPr>
                <w:sz w:val="1"/>
                <w:szCs w:val="1"/>
                <w:color w:val="auto"/>
              </w:rPr>
            </w:pPr>
          </w:p>
        </w:tc>
      </w:tr>
      <w:tr>
        <w:trPr>
          <w:trHeight w:val="20"/>
        </w:trPr>
        <w:tc>
          <w:tcPr>
            <w:tcW w:w="3940" w:type="dxa"/>
            <w:vAlign w:val="bottom"/>
          </w:tcPr>
          <w:p>
            <w:pPr>
              <w:spacing w:after="0" w:line="20" w:lineRule="exact"/>
              <w:rPr>
                <w:sz w:val="1"/>
                <w:szCs w:val="1"/>
                <w:color w:val="auto"/>
              </w:rPr>
            </w:pPr>
          </w:p>
        </w:tc>
        <w:tc>
          <w:tcPr>
            <w:tcW w:w="182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5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1" w:lineRule="exact"/>
        <w:rPr>
          <w:sz w:val="20"/>
          <w:szCs w:val="20"/>
          <w:color w:val="auto"/>
        </w:rPr>
      </w:pPr>
    </w:p>
    <w:p>
      <w:pPr>
        <w:jc w:val="both"/>
        <w:ind w:left="4" w:right="40"/>
        <w:spacing w:after="0" w:line="271" w:lineRule="auto"/>
        <w:rPr>
          <w:sz w:val="20"/>
          <w:szCs w:val="20"/>
          <w:color w:val="auto"/>
        </w:rPr>
      </w:pPr>
      <w:r>
        <w:rPr>
          <w:rFonts w:ascii="Arial" w:cs="Arial" w:eastAsia="Arial" w:hAnsi="Arial"/>
          <w:sz w:val="18"/>
          <w:szCs w:val="18"/>
          <w:color w:val="auto"/>
        </w:rPr>
        <w:t>First-quarter 2026 results reflect activity from ChampionX, which contributed $833 million of revenue to Production Systems. Excluding the impact of this acquisition, Core revenue decreased 6% year on year.</w:t>
      </w:r>
    </w:p>
    <w:p>
      <w:pPr>
        <w:spacing w:after="0" w:line="26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About SLB</w:t>
      </w:r>
    </w:p>
    <w:p>
      <w:pPr>
        <w:spacing w:after="0" w:line="104" w:lineRule="exact"/>
        <w:rPr>
          <w:sz w:val="20"/>
          <w:szCs w:val="20"/>
          <w:color w:val="auto"/>
        </w:rPr>
      </w:pPr>
    </w:p>
    <w:p>
      <w:pPr>
        <w:ind w:left="4" w:right="220"/>
        <w:spacing w:after="0" w:line="247" w:lineRule="auto"/>
        <w:rPr>
          <w:sz w:val="20"/>
          <w:szCs w:val="20"/>
          <w:color w:val="auto"/>
        </w:rPr>
      </w:pPr>
      <w:r>
        <w:rPr>
          <w:rFonts w:ascii="Arial" w:cs="Arial" w:eastAsia="Arial" w:hAnsi="Arial"/>
          <w:sz w:val="18"/>
          <w:szCs w:val="18"/>
          <w:color w:val="auto"/>
        </w:rPr>
        <w:t>SLB (NYSE: SLB) is a global technology company that has driven energy innovation for 100 years. With a global presence in more than 100 countries and employees representing almost twice as many nationalities, we work each day on innovating oil and gas, delivering digital at scale, decarbonizing industries, and developing and scaling new energy systems that accelerate the energy transition. Find out more at slb.com.</w:t>
      </w:r>
    </w:p>
    <w:p>
      <w:pPr>
        <w:spacing w:after="0" w:line="282" w:lineRule="exact"/>
        <w:rPr>
          <w:sz w:val="20"/>
          <w:szCs w:val="20"/>
          <w:color w:val="auto"/>
        </w:rPr>
      </w:pPr>
    </w:p>
    <w:p>
      <w:pPr>
        <w:ind w:left="4"/>
        <w:spacing w:after="0"/>
        <w:rPr>
          <w:sz w:val="20"/>
          <w:szCs w:val="20"/>
          <w:color w:val="auto"/>
        </w:rPr>
      </w:pPr>
      <w:r>
        <w:rPr>
          <w:rFonts w:ascii="Arial" w:cs="Arial" w:eastAsia="Arial" w:hAnsi="Arial"/>
          <w:sz w:val="18"/>
          <w:szCs w:val="18"/>
          <w:b w:val="1"/>
          <w:bCs w:val="1"/>
          <w:color w:val="auto"/>
        </w:rPr>
        <w:t>Conference Call Information</w:t>
      </w:r>
    </w:p>
    <w:p>
      <w:pPr>
        <w:spacing w:after="0" w:line="104" w:lineRule="exact"/>
        <w:rPr>
          <w:sz w:val="20"/>
          <w:szCs w:val="20"/>
          <w:color w:val="auto"/>
        </w:rPr>
      </w:pPr>
    </w:p>
    <w:p>
      <w:pPr>
        <w:ind w:left="4" w:right="40"/>
        <w:spacing w:after="0" w:line="257" w:lineRule="auto"/>
        <w:rPr>
          <w:sz w:val="20"/>
          <w:szCs w:val="20"/>
          <w:color w:val="auto"/>
        </w:rPr>
      </w:pPr>
      <w:r>
        <w:rPr>
          <w:rFonts w:ascii="Arial" w:cs="Arial" w:eastAsia="Arial" w:hAnsi="Arial"/>
          <w:sz w:val="17"/>
          <w:szCs w:val="17"/>
          <w:color w:val="auto"/>
        </w:rPr>
        <w:t>SLB will hold a conference call to discuss the earnings press release and business outlook on Friday, April 24, 2026. The call is scheduled to begin at 11:00 a.m. U.S. Eastern time. To access the call, which is open to the public, please contact the conference call operator at +1 (833) 470-1428 within North America, or +1 (404) 975-4839 outside of North America, approximately 10 minutes prior to the call’s scheduled start time, and provide the access code 742955. At the conclusion of the conference call, an audio replay will be available until May 1, 2026, by dialling +1 (866) 813-9403 within North America, or +1 (929) 458-6194 outside of North America, and providing the access code 360731. The conference call will be webcasted simultaneously at https://events.q4inc.com/attendee/972985185 on a listen-only basis. A replay of the webcast will also be available at the same website until May 1, 2026.</w:t>
      </w:r>
    </w:p>
    <w:p>
      <w:pPr>
        <w:sectPr>
          <w:pgSz w:w="11900" w:h="16838" w:orient="portrait"/>
          <w:cols w:equalWidth="0" w:num="1">
            <w:col w:w="11024"/>
          </w:cols>
          <w:pgMar w:left="436" w:top="269" w:right="439" w:bottom="1440" w:gutter="0" w:footer="0" w:header="0"/>
        </w:sectPr>
      </w:pPr>
    </w:p>
    <w:bookmarkStart w:id="31" w:name="page32"/>
    <w:bookmarkEnd w:id="31"/>
    <w:p>
      <w:pPr>
        <w:spacing w:after="0"/>
        <w:rPr>
          <w:sz w:val="20"/>
          <w:szCs w:val="20"/>
          <w:color w:val="auto"/>
        </w:rPr>
      </w:pPr>
      <w:r>
        <w:rPr>
          <w:rFonts w:ascii="Arial" w:cs="Arial" w:eastAsia="Arial" w:hAnsi="Arial"/>
          <w:sz w:val="17"/>
          <w:szCs w:val="17"/>
          <w:b w:val="1"/>
          <w:bCs w:val="1"/>
          <w:color w:val="auto"/>
        </w:rPr>
        <w:t>Investors</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7"/>
          <w:szCs w:val="17"/>
          <w:b w:val="1"/>
          <w:bCs w:val="1"/>
          <w:color w:val="auto"/>
        </w:rPr>
        <w:t>Media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-4236085</wp:posOffset>
            </wp:positionH>
            <wp:positionV relativeFrom="paragraph">
              <wp:posOffset>-205740</wp:posOffset>
            </wp:positionV>
            <wp:extent cx="7174865" cy="3810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174865" cy="38100"/>
                    </a:xfrm>
                    <a:prstGeom prst="rect">
                      <a:avLst/>
                    </a:prstGeom>
                    <a:noFill/>
                  </pic:spPr>
                </pic:pic>
              </a:graphicData>
            </a:graphic>
          </wp:anchor>
        </w:drawing>
      </w:r>
    </w:p>
    <w:p>
      <w:pPr>
        <w:spacing w:after="0" w:line="34" w:lineRule="exact"/>
        <w:rPr>
          <w:sz w:val="20"/>
          <w:szCs w:val="20"/>
          <w:color w:val="auto"/>
        </w:rPr>
      </w:pPr>
    </w:p>
    <w:p>
      <w:pPr>
        <w:sectPr>
          <w:pgSz w:w="11900" w:h="16838" w:orient="portrait"/>
          <w:cols w:equalWidth="0" w:num="2">
            <w:col w:w="5820" w:space="720"/>
            <w:col w:w="4460"/>
          </w:cols>
          <w:pgMar w:left="440" w:top="269" w:right="459" w:bottom="1440" w:gutter="0" w:footer="0" w:header="0"/>
        </w:sectPr>
      </w:pPr>
    </w:p>
    <w:p>
      <w:pPr>
        <w:spacing w:after="0" w:line="12" w:lineRule="exact"/>
        <w:rPr>
          <w:sz w:val="20"/>
          <w:szCs w:val="20"/>
          <w:color w:val="auto"/>
        </w:rPr>
      </w:pPr>
    </w:p>
    <w:p>
      <w:pPr>
        <w:spacing w:after="0"/>
        <w:rPr>
          <w:sz w:val="20"/>
          <w:szCs w:val="20"/>
          <w:color w:val="auto"/>
        </w:rPr>
      </w:pPr>
      <w:r>
        <w:rPr>
          <w:rFonts w:ascii="Arial" w:cs="Arial" w:eastAsia="Arial" w:hAnsi="Arial"/>
          <w:sz w:val="17"/>
          <w:szCs w:val="17"/>
          <w:color w:val="auto"/>
        </w:rPr>
        <w:t>James R. McDonald — SVP, Investor Relations &amp; Industry Affairs, SLB</w:t>
      </w:r>
    </w:p>
    <w:p>
      <w:pPr>
        <w:spacing w:after="0" w:line="234" w:lineRule="auto"/>
        <w:rPr>
          <w:sz w:val="20"/>
          <w:szCs w:val="20"/>
          <w:color w:val="auto"/>
        </w:rPr>
      </w:pPr>
      <w:r>
        <w:rPr>
          <w:rFonts w:ascii="Arial" w:cs="Arial" w:eastAsia="Arial" w:hAnsi="Arial"/>
          <w:sz w:val="18"/>
          <w:szCs w:val="18"/>
          <w:color w:val="auto"/>
        </w:rPr>
        <w:t>Joy V. Domingo — Director of Investor Relations, SLB</w:t>
      </w:r>
    </w:p>
    <w:p>
      <w:pPr>
        <w:spacing w:after="0" w:line="235" w:lineRule="auto"/>
        <w:rPr>
          <w:sz w:val="20"/>
          <w:szCs w:val="20"/>
          <w:color w:val="auto"/>
        </w:rPr>
      </w:pPr>
      <w:r>
        <w:rPr>
          <w:rFonts w:ascii="Arial" w:cs="Arial" w:eastAsia="Arial" w:hAnsi="Arial"/>
          <w:sz w:val="18"/>
          <w:szCs w:val="18"/>
          <w:color w:val="auto"/>
        </w:rPr>
        <w:t>Tel: +1 (713) 375-3535</w:t>
      </w:r>
    </w:p>
    <w:p>
      <w:pPr>
        <w:spacing w:after="0" w:line="1" w:lineRule="exact"/>
        <w:rPr>
          <w:sz w:val="20"/>
          <w:szCs w:val="20"/>
          <w:color w:val="auto"/>
        </w:rPr>
      </w:pPr>
    </w:p>
    <w:p>
      <w:pPr>
        <w:spacing w:after="0"/>
        <w:rPr>
          <w:sz w:val="20"/>
          <w:szCs w:val="20"/>
          <w:color w:val="auto"/>
        </w:rPr>
      </w:pPr>
      <w:r>
        <w:rPr>
          <w:rFonts w:ascii="Arial" w:cs="Arial" w:eastAsia="Arial" w:hAnsi="Arial"/>
          <w:sz w:val="18"/>
          <w:szCs w:val="18"/>
          <w:color w:val="auto"/>
        </w:rPr>
        <w:t>investor-relations@slb.com</w:t>
      </w:r>
    </w:p>
    <w:p>
      <w:pPr>
        <w:spacing w:after="0" w:line="20" w:lineRule="exact"/>
        <w:rPr>
          <w:sz w:val="20"/>
          <w:szCs w:val="20"/>
          <w:color w:val="auto"/>
        </w:rPr>
      </w:pPr>
      <w:r>
        <w:rPr>
          <w:sz w:val="20"/>
          <w:szCs w:val="20"/>
          <w:color w:val="auto"/>
        </w:rPr>
        <w:br w:type="column"/>
      </w:r>
    </w:p>
    <w:p>
      <w:pPr>
        <w:spacing w:after="0"/>
        <w:rPr>
          <w:sz w:val="20"/>
          <w:szCs w:val="20"/>
          <w:color w:val="auto"/>
        </w:rPr>
      </w:pPr>
      <w:r>
        <w:rPr>
          <w:rFonts w:ascii="Arial" w:cs="Arial" w:eastAsia="Arial" w:hAnsi="Arial"/>
          <w:sz w:val="18"/>
          <w:szCs w:val="18"/>
          <w:color w:val="auto"/>
        </w:rPr>
        <w:t>Josh Byerly — SVP of Global Communications, SLB</w:t>
      </w:r>
    </w:p>
    <w:p>
      <w:pPr>
        <w:spacing w:after="0"/>
        <w:rPr>
          <w:sz w:val="20"/>
          <w:szCs w:val="20"/>
          <w:color w:val="auto"/>
        </w:rPr>
      </w:pPr>
      <w:r>
        <w:rPr>
          <w:rFonts w:ascii="Arial" w:cs="Arial" w:eastAsia="Arial" w:hAnsi="Arial"/>
          <w:sz w:val="17"/>
          <w:szCs w:val="17"/>
          <w:color w:val="auto"/>
        </w:rPr>
        <w:t>Moira Duff — Director of External Communications, SLB</w:t>
      </w:r>
    </w:p>
    <w:p>
      <w:pPr>
        <w:spacing w:after="0" w:line="3" w:lineRule="exact"/>
        <w:rPr>
          <w:sz w:val="20"/>
          <w:szCs w:val="20"/>
          <w:color w:val="auto"/>
        </w:rPr>
      </w:pPr>
    </w:p>
    <w:p>
      <w:pPr>
        <w:spacing w:after="0"/>
        <w:rPr>
          <w:sz w:val="20"/>
          <w:szCs w:val="20"/>
          <w:color w:val="auto"/>
        </w:rPr>
      </w:pPr>
      <w:r>
        <w:rPr>
          <w:rFonts w:ascii="Arial" w:cs="Arial" w:eastAsia="Arial" w:hAnsi="Arial"/>
          <w:sz w:val="18"/>
          <w:szCs w:val="18"/>
          <w:color w:val="auto"/>
        </w:rPr>
        <w:t>Tel: +1 (713) 375-3407</w:t>
      </w:r>
    </w:p>
    <w:p>
      <w:pPr>
        <w:spacing w:after="0"/>
        <w:rPr>
          <w:sz w:val="20"/>
          <w:szCs w:val="20"/>
          <w:color w:val="auto"/>
        </w:rPr>
      </w:pPr>
      <w:r>
        <w:rPr>
          <w:rFonts w:ascii="Arial" w:cs="Arial" w:eastAsia="Arial" w:hAnsi="Arial"/>
          <w:sz w:val="18"/>
          <w:szCs w:val="18"/>
          <w:color w:val="auto"/>
        </w:rPr>
        <w:t>media@slb.com</w:t>
      </w:r>
    </w:p>
    <w:p>
      <w:pPr>
        <w:spacing w:after="0" w:line="200" w:lineRule="exact"/>
        <w:rPr>
          <w:sz w:val="20"/>
          <w:szCs w:val="20"/>
          <w:color w:val="auto"/>
        </w:rPr>
      </w:pPr>
    </w:p>
    <w:p>
      <w:pPr>
        <w:sectPr>
          <w:pgSz w:w="11900" w:h="16838" w:orient="portrait"/>
          <w:cols w:equalWidth="0" w:num="2">
            <w:col w:w="5820" w:space="720"/>
            <w:col w:w="4460"/>
          </w:cols>
          <w:pgMar w:left="440" w:top="269" w:right="459" w:bottom="1440" w:gutter="0" w:footer="0" w:header="0"/>
          <w:type w:val="continuous"/>
        </w:sectPr>
      </w:pPr>
    </w:p>
    <w:p>
      <w:pPr>
        <w:spacing w:after="0" w:line="11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Forward-Looking Statements</w:t>
      </w:r>
    </w:p>
    <w:p>
      <w:pPr>
        <w:spacing w:after="0" w:line="104" w:lineRule="exact"/>
        <w:rPr>
          <w:sz w:val="20"/>
          <w:szCs w:val="20"/>
          <w:color w:val="auto"/>
        </w:rPr>
      </w:pPr>
    </w:p>
    <w:p>
      <w:pPr>
        <w:spacing w:after="0" w:line="236" w:lineRule="auto"/>
        <w:rPr>
          <w:sz w:val="20"/>
          <w:szCs w:val="20"/>
          <w:color w:val="auto"/>
        </w:rPr>
      </w:pPr>
      <w:r>
        <w:rPr>
          <w:rFonts w:ascii="Arial" w:cs="Arial" w:eastAsia="Arial" w:hAnsi="Arial"/>
          <w:sz w:val="18"/>
          <w:szCs w:val="18"/>
          <w:color w:val="auto"/>
        </w:rPr>
        <w:t>This first-quarter 2026 earnings press release, as well as other statements we make, contain “forward-looking statements” within the meaning of the federal securities laws, which include any statements that are not historical facts. Such statements often contain words such as “expect,” “may,” “can,” “believe,” “predict,” “plan,” “potential,” “projected,” “projections,” “precursor,” “forecast,” “outlook,” “expectations,” “estimate,” “intend,” “anticipate,” “ambition,” “goal,” “target,” “scheduled,” “think,” “should,” “could,” “would,” “will,” “see,” “likely,” and other similar words. Forward-looking statements address matters that are, to varying degrees, uncertain, such as statements about our financial and performance targets and other forecasts or expectations regarding, or dependent on, our business outlook; growth for SLB as a whole and for each of its Divisions (and for specified business lines, geographic areas, or technologies within each Division); the benefits of the ChampionX acquisition, including the ability of SLB to integrate the ChampionX business successfully and to achieve anticipated synergies and value creation from the acquisition; oil and natural gas demand and production growth; oil and natural gas prices; forecasts or expectations regarding energy transition and global climate change; improvements in operating procedures and technology; capital expenditures by SLB and the oil and gas industry; our business strategies, including digital and “fit for basin,” as well as the strategies of our customers; our capital allocation plans, including dividend plans and share repurchase programs; our APS projects, joint ventures, and other alliances; the impact of the ongoing or escalating conflicts on global energy supply; access to raw materials; future global economic and geopolitical conditions; future liquidity, including free cash flow; and future results of operations, such as margin levels. These statements are subject to risks and uncertainties, including, but not limited to, changing global economic and geopolitical conditions; changes in exploration and production spending by our customers, and changes in the level of oil and natural gas exploration and development; the results of operations and financial condition of our customers and suppliers; the inability to achieve our financial and performance targets and other forecasts and expectations; the inability to achieve our net-zero carbon emissions goals or interim emissions reduction goals; general economic, geopolitical, and business conditions in key regions of the world; foreign currency risk; inflation; changes in monetary policy by governments; tariffs; pricing pressure; weather and seasonal factors; unfavorable effects of health pandemics; availability and cost of raw materials; operational modifications, delays, or cancellations; challenges in our supply chain; production declines; the extent of future charges; the inability to recognize efficiencies and other intended benefits from our business strategies and initiatives, such as digital or new energy, as well as our cost reduction strategies; changes in government regulations and regulatory requirements, including those related to offshore oil and gas exploration, radioactive sources, explosives, chemicals, and climate-related initiatives; the inability of technology to meet new challenges in exploration; the competitiveness of alternative energy sources or product substitutes; and other risks and uncertainties detailed in this press release and our most recent Forms 10-K, 10-Q, and 8-K filed with or furnished to the Securities and Exchange Commission (the “SEC”).</w:t>
      </w:r>
    </w:p>
    <w:p>
      <w:pPr>
        <w:spacing w:after="0" w:line="188" w:lineRule="exact"/>
        <w:rPr>
          <w:sz w:val="20"/>
          <w:szCs w:val="20"/>
          <w:color w:val="auto"/>
        </w:rPr>
      </w:pPr>
    </w:p>
    <w:p>
      <w:pPr>
        <w:ind w:right="20"/>
        <w:spacing w:after="0"/>
        <w:rPr>
          <w:sz w:val="20"/>
          <w:szCs w:val="20"/>
          <w:color w:val="auto"/>
        </w:rPr>
      </w:pPr>
      <w:r>
        <w:rPr>
          <w:rFonts w:ascii="Arial" w:cs="Arial" w:eastAsia="Arial" w:hAnsi="Arial"/>
          <w:sz w:val="18"/>
          <w:szCs w:val="18"/>
          <w:color w:val="auto"/>
        </w:rPr>
        <w:t>If one or more of these or other risks or uncertainties materialize (or the consequences of any such development changes), or should our underlying assumptions prove incorrect, actual results or outcomes may vary materially from those reflected in our forward-looking statements. Forward-looking and other statements in this press release regarding our environmental, social, and other sustainability plans and goals are not an indication that these statements are necessarily material to investors or required to be disclosed in our filings with the SEC. In addition, historical, current, and forward-looking environmental, social, and sustainability-related statements may be based on standards for measuring progress that are still developing, internal controls and processes that continue to evolve, and assumptions that are subject to change in the future. Statements in this press release are made as of the date of this release, and SLB disclaims any intention or obligation to update publicly or revise such statements, whether as a result of new information, future events, or otherwise.</w:t>
      </w:r>
    </w:p>
    <w:sectPr>
      <w:pgSz w:w="11900" w:h="16838" w:orient="portrait"/>
      <w:cols w:equalWidth="0" w:num="1">
        <w:col w:w="11000"/>
      </w:cols>
      <w:pgMar w:left="440" w:top="269" w:right="4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BEFD79F"/>
    <w:multiLevelType w:val="hybridMultilevel"/>
    <w:lvl w:ilvl="0">
      <w:lvlJc w:val="left"/>
      <w:lvlText w:val="☐"/>
      <w:numFmt w:val="bullet"/>
      <w:start w:val="1"/>
    </w:lvl>
  </w:abstractNum>
  <w:abstractNum w:abstractNumId="1">
    <w:nsid w:val="41A7C4C9"/>
    <w:multiLevelType w:val="hybridMultilevel"/>
    <w:lvl w:ilvl="0">
      <w:lvlJc w:val="left"/>
      <w:lvlText w:val="(%1)"/>
      <w:numFmt w:val="lowerLetter"/>
      <w:start w:val="4"/>
    </w:lvl>
  </w:abstractNum>
  <w:abstractNum w:abstractNumId="2">
    <w:nsid w:val="6B68079A"/>
    <w:multiLevelType w:val="hybridMultilevel"/>
    <w:lvl w:ilvl="0">
      <w:lvlJc w:val="left"/>
      <w:lvlText w:val=" "/>
      <w:numFmt w:val="bullet"/>
      <w:start w:val="1"/>
    </w:lvl>
  </w:abstractNum>
  <w:abstractNum w:abstractNumId="3">
    <w:nsid w:val="4E6AFB66"/>
    <w:multiLevelType w:val="hybridMultilevel"/>
    <w:lvl w:ilvl="0">
      <w:lvlJc w:val="left"/>
      <w:lvlText w:val="•"/>
      <w:numFmt w:val="bullet"/>
      <w:start w:val="1"/>
    </w:lvl>
  </w:abstractNum>
  <w:abstractNum w:abstractNumId="4">
    <w:nsid w:val="25E45D32"/>
    <w:multiLevelType w:val="hybridMultilevel"/>
    <w:lvl w:ilvl="0">
      <w:lvlJc w:val="left"/>
      <w:lvlText w:val="*"/>
      <w:numFmt w:val="bullet"/>
      <w:start w:val="1"/>
    </w:lvl>
  </w:abstractNum>
  <w:abstractNum w:abstractNumId="5">
    <w:nsid w:val="519B500D"/>
    <w:multiLevelType w:val="hybridMultilevel"/>
    <w:lvl w:ilvl="0">
      <w:lvlJc w:val="left"/>
      <w:lvlText w:val="*"/>
      <w:numFmt w:val="bullet"/>
      <w:start w:val="1"/>
    </w:lvl>
  </w:abstractNum>
  <w:abstractNum w:abstractNumId="6">
    <w:nsid w:val="431BD7B7"/>
    <w:multiLevelType w:val="hybridMultilevel"/>
    <w:lvl w:ilvl="0">
      <w:lvlJc w:val="left"/>
      <w:lvlText w:val="*"/>
      <w:numFmt w:val="bullet"/>
      <w:start w:val="1"/>
    </w:lvl>
  </w:abstractNum>
  <w:abstractNum w:abstractNumId="7">
    <w:nsid w:val="3F2DBA31"/>
    <w:multiLevelType w:val="hybridMultilevel"/>
    <w:lvl w:ilvl="0">
      <w:lvlJc w:val="left"/>
      <w:lvlText w:val="*"/>
      <w:numFmt w:val="bullet"/>
      <w:start w:val="1"/>
    </w:lvl>
  </w:abstractNum>
  <w:abstractNum w:abstractNumId="8">
    <w:nsid w:val="7C83E458"/>
    <w:multiLevelType w:val="hybridMultilevel"/>
    <w:lvl w:ilvl="0">
      <w:lvlJc w:val="left"/>
      <w:lvlText w:val="*"/>
      <w:numFmt w:val="bullet"/>
      <w:start w:val="1"/>
    </w:lvl>
  </w:abstractNum>
  <w:abstractNum w:abstractNumId="9">
    <w:nsid w:val="257130A3"/>
    <w:multiLevelType w:val="hybridMultilevel"/>
    <w:lvl w:ilvl="0">
      <w:lvlJc w:val="left"/>
      <w:lvlText w:val="*"/>
      <w:numFmt w:val="bullet"/>
      <w:start w:val="1"/>
    </w:lvl>
  </w:abstractNum>
  <w:abstractNum w:abstractNumId="10">
    <w:nsid w:val="62BBD95A"/>
    <w:multiLevelType w:val="hybridMultilevel"/>
    <w:lvl w:ilvl="0">
      <w:lvlJc w:val="left"/>
      <w:lvlText w:val="*"/>
      <w:numFmt w:val="bullet"/>
      <w:start w:val="1"/>
    </w:lvl>
  </w:abstractNum>
  <w:abstractNum w:abstractNumId="11">
    <w:nsid w:val="436C6125"/>
    <w:multiLevelType w:val="hybridMultilevel"/>
    <w:lvl w:ilvl="0">
      <w:lvlJc w:val="left"/>
      <w:lvlText w:val="•"/>
      <w:numFmt w:val="bullet"/>
      <w:start w:val="1"/>
    </w:lvl>
  </w:abstractNum>
  <w:abstractNum w:abstractNumId="12">
    <w:nsid w:val="628C895D"/>
    <w:multiLevelType w:val="hybridMultilevel"/>
    <w:lvl w:ilvl="0">
      <w:lvlJc w:val="left"/>
      <w:lvlText w:val="•"/>
      <w:numFmt w:val="bullet"/>
      <w:start w:val="1"/>
    </w:lvl>
  </w:abstractNum>
  <w:abstractNum w:abstractNumId="13">
    <w:nsid w:val="333AB105"/>
    <w:multiLevelType w:val="hybridMultilevel"/>
    <w:lvl w:ilvl="0">
      <w:lvlJc w:val="left"/>
      <w:lvlText w:val="•"/>
      <w:numFmt w:val="bullet"/>
      <w:start w:val="1"/>
    </w:lvl>
  </w:abstractNum>
  <w:abstractNum w:abstractNumId="14">
    <w:nsid w:val="721DA317"/>
    <w:multiLevelType w:val="hybridMultilevel"/>
    <w:lvl w:ilvl="0">
      <w:lvlJc w:val="left"/>
      <w:lvlText w:val="•"/>
      <w:numFmt w:val="bullet"/>
      <w:start w:val="1"/>
    </w:lvl>
  </w:abstractNum>
  <w:abstractNum w:abstractNumId="15">
    <w:nsid w:val="2443A858"/>
    <w:multiLevelType w:val="hybridMultilevel"/>
    <w:lvl w:ilvl="0">
      <w:lvlJc w:val="left"/>
      <w:lvlText w:val="•"/>
      <w:numFmt w:val="bullet"/>
      <w:start w:val="1"/>
    </w:lvl>
  </w:abstractNum>
  <w:abstractNum w:abstractNumId="16">
    <w:nsid w:val="2D1D5AE9"/>
    <w:multiLevelType w:val="hybridMultilevel"/>
    <w:lvl w:ilvl="0">
      <w:lvlJc w:val="left"/>
      <w:lvlText w:val="(%1)"/>
      <w:numFmt w:val="decimal"/>
      <w:start w:val="1"/>
    </w:lvl>
  </w:abstractNum>
  <w:abstractNum w:abstractNumId="17">
    <w:nsid w:val="6763845E"/>
    <w:multiLevelType w:val="hybridMultilevel"/>
    <w:lvl w:ilvl="0">
      <w:lvlJc w:val="left"/>
      <w:lvlText w:val="%1"/>
      <w:numFmt w:val="decimal"/>
      <w:start w:val="878"/>
    </w:lvl>
  </w:abstractNum>
  <w:abstractNum w:abstractNumId="18">
    <w:nsid w:val="75A2A8D4"/>
    <w:multiLevelType w:val="hybridMultilevel"/>
    <w:lvl w:ilvl="0">
      <w:lvlJc w:val="left"/>
      <w:lvlText w:val="%1"/>
      <w:numFmt w:val="decimal"/>
      <w:start w:val="457"/>
    </w:lvl>
  </w:abstractNum>
  <w:abstractNum w:abstractNumId="19">
    <w:nsid w:val="8EDBDAB"/>
    <w:multiLevelType w:val="hybridMultilevel"/>
    <w:lvl w:ilvl="0">
      <w:lvlJc w:val="left"/>
      <w:lvlText w:val="(%1)"/>
      <w:numFmt w:val="decimal"/>
      <w:start w:val="1"/>
    </w:lvl>
  </w:abstractNum>
  <w:abstractNum w:abstractNumId="20">
    <w:nsid w:val="79838CB2"/>
    <w:multiLevelType w:val="hybridMultilevel"/>
    <w:lvl w:ilvl="0">
      <w:lvlJc w:val="left"/>
      <w:lvlText w:val="(%1)"/>
      <w:numFmt w:val="decimal"/>
      <w:start w:val="1"/>
    </w:lvl>
  </w:abstractNum>
  <w:abstractNum w:abstractNumId="21">
    <w:nsid w:val="4353D0CD"/>
    <w:multiLevelType w:val="hybridMultilevel"/>
    <w:lvl w:ilvl="0">
      <w:lvlJc w:val="left"/>
      <w:lvlText w:val="(%1)"/>
      <w:numFmt w:val="decimal"/>
      <w:start w:val="1"/>
    </w:lvl>
  </w:abstractNum>
  <w:abstractNum w:abstractNumId="22">
    <w:nsid w:val="B03E0C6"/>
    <w:multiLevelType w:val="hybridMultilevel"/>
    <w:lvl w:ilvl="0">
      <w:lvlJc w:val="left"/>
      <w:lvlText w:val="%1)"/>
      <w:numFmt w:val="decimal"/>
      <w:start w:val="1"/>
    </w:lvl>
  </w:abstractNum>
  <w:abstractNum w:abstractNumId="23">
    <w:nsid w:val="189A769B"/>
    <w:multiLevelType w:val="hybridMultilevel"/>
    <w:lvl w:ilvl="0">
      <w:lvlJc w:val="left"/>
      <w:lvlText w:val="%1)"/>
      <w:numFmt w:val="decimal"/>
      <w:start w:val="7"/>
    </w:lvl>
  </w:abstractNum>
  <w:abstractNum w:abstractNumId="24">
    <w:nsid w:val="54E49EB4"/>
    <w:multiLevelType w:val="hybridMultilevel"/>
    <w:lvl w:ilvl="0">
      <w:lvlJc w:val="left"/>
      <w:lvlText w:val="%1)"/>
      <w:numFmt w:val="decimal"/>
      <w:start w:val="8"/>
    </w:lvl>
  </w:abstractNum>
  <w:abstractNum w:abstractNumId="25">
    <w:nsid w:val="71F32454"/>
    <w:multiLevelType w:val="hybridMultilevel"/>
    <w:lvl w:ilvl="0">
      <w:lvlJc w:val="left"/>
      <w:lvlText w:val="%1)"/>
      <w:numFmt w:val="decimal"/>
      <w:start w:val="9"/>
    </w:lvl>
  </w:abstractNum>
  <w:abstractNum w:abstractNumId="26">
    <w:nsid w:val="2CA88611"/>
    <w:multiLevelType w:val="hybridMultilevel"/>
    <w:lvl w:ilvl="0">
      <w:lvlJc w:val="left"/>
      <w:lvlText w:val="%1)"/>
      <w:numFmt w:val="decimal"/>
      <w:start w:val="10"/>
    </w:lvl>
  </w:abstractNum>
  <w:abstractNum w:abstractNumId="27">
    <w:nsid w:val="836C40E"/>
    <w:multiLevelType w:val="hybridMultilevel"/>
    <w:lvl w:ilvl="0">
      <w:lvlJc w:val="left"/>
      <w:lvlText w:val="%1)"/>
      <w:numFmt w:val="decimal"/>
      <w:start w:val="11"/>
    </w:lvl>
  </w:abstractNum>
  <w:abstractNum w:abstractNumId="28">
    <w:nsid w:val="2901D82"/>
    <w:multiLevelType w:val="hybridMultilevel"/>
    <w:lvl w:ilvl="0">
      <w:lvlJc w:val="left"/>
      <w:lvlText w:val="%1)"/>
      <w:numFmt w:val="decimal"/>
      <w:start w:val="14"/>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jpe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2026-04-24T06:17:06Z</dcterms:created>
  <dcterms:modified xsi:type="dcterms:W3CDTF">2026-04-24T06:17:06Z</dcterms:modified>
</cp:coreProperties>
</file>