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#806857108</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Corp.</w:t>
      </w:r>
    </w:p>
    <w:p>
      <w:pPr>
        <w:spacing w:after="0" w:line="238" w:lineRule="auto"/>
        <w:rPr>
          <w:sz w:val="20"/>
          <w:szCs w:val="20"/>
          <w:color w:val="auto"/>
        </w:rPr>
      </w:pPr>
      <w:r>
        <w:rPr>
          <w:rFonts w:ascii="Courier New" w:cs="Courier New" w:eastAsia="Courier New" w:hAnsi="Courier New"/>
          <w:sz w:val="18"/>
          <w:szCs w:val="18"/>
          <w:color w:val="auto"/>
        </w:rPr>
        <w:t>Item 4: Commonwealth of Massachusetts</w:t>
      </w:r>
    </w:p>
    <w:p>
      <w:pPr>
        <w:spacing w:after="0"/>
        <w:rPr>
          <w:sz w:val="20"/>
          <w:szCs w:val="20"/>
          <w:color w:val="auto"/>
        </w:rPr>
      </w:pPr>
      <w:r>
        <w:rPr>
          <w:rFonts w:ascii="Courier New" w:cs="Courier New" w:eastAsia="Courier New" w:hAnsi="Courier New"/>
          <w:sz w:val="18"/>
          <w:szCs w:val="18"/>
          <w:color w:val="auto"/>
        </w:rPr>
        <w:t>Item 5: 3,016,417</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43,972,478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43,972,478</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7.638%</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Edward C. Johnson 3d</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43,972,478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43,972,478</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170" w:lineRule="exact"/>
              <w:rPr>
                <w:sz w:val="20"/>
                <w:szCs w:val="20"/>
                <w:color w:val="auto"/>
              </w:rPr>
            </w:pPr>
            <w:r>
              <w:rPr>
                <w:rFonts w:ascii="Courier New" w:cs="Courier New" w:eastAsia="Courier New" w:hAnsi="Courier New"/>
                <w:sz w:val="18"/>
                <w:szCs w:val="18"/>
                <w:color w:val="auto"/>
                <w:w w:val="92"/>
              </w:rPr>
              <w:t>7.638%</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IN</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43,972,478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43,972,478</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7.638%</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31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277 Park Avenue</w:t>
      </w:r>
    </w:p>
    <w:p>
      <w:pPr>
        <w:spacing w:after="0" w:line="31" w:lineRule="exact"/>
        <w:rPr>
          <w:sz w:val="24"/>
          <w:szCs w:val="24"/>
          <w:color w:val="auto"/>
        </w:rPr>
      </w:pP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10172</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3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38" w:orient="portrait"/>
          <w:cols w:equalWidth="0" w:num="1">
            <w:col w:w="10219"/>
          </w:cols>
          <w:pgMar w:left="240" w:top="218"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806857108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53"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43,972,478</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7.638%</w:t>
            </w:r>
          </w:p>
        </w:tc>
        <w:tc>
          <w:tcPr>
            <w:tcW w:w="1160" w:type="dxa"/>
            <w:vAlign w:val="bottom"/>
          </w:tcPr>
          <w:p>
            <w:pPr>
              <w:spacing w:after="0"/>
              <w:rPr>
                <w:sz w:val="24"/>
                <w:szCs w:val="24"/>
                <w:color w:val="auto"/>
              </w:rPr>
            </w:pPr>
          </w:p>
        </w:tc>
      </w:tr>
    </w:tbl>
    <w:p>
      <w:pPr>
        <w:spacing w:after="0" w:line="109"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10" w:right="1440" w:bottom="0" w:gutter="0" w:footer="0" w:header="0"/>
        </w:sectPr>
      </w:pP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3,016,417</w:t>
      </w:r>
    </w:p>
    <w:p>
      <w:pPr>
        <w:spacing w:after="0" w:line="169" w:lineRule="exact"/>
        <w:rPr>
          <w:sz w:val="20"/>
          <w:szCs w:val="20"/>
          <w:color w:val="auto"/>
        </w:rPr>
      </w:pPr>
    </w:p>
    <w:p>
      <w:pPr>
        <w:sectPr>
          <w:pgSz w:w="11900" w:h="16838" w:orient="portrait"/>
          <w:cols w:equalWidth="0" w:num="2">
            <w:col w:w="1160" w:space="540"/>
            <w:col w:w="8519"/>
          </w:cols>
          <w:pgMar w:left="240" w:top="110" w:right="1440" w:bottom="0" w:gutter="0" w:footer="0" w:header="0"/>
          <w:type w:val="continuous"/>
        </w:sect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43,972,478</w:t>
            </w:r>
          </w:p>
        </w:tc>
      </w:tr>
    </w:tbl>
    <w:p>
      <w:pPr>
        <w:spacing w:after="0" w:line="77"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right="3359" w:firstLine="843"/>
        <w:spacing w:after="0" w:line="24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Schlumberger Limited. No one person's interest in the Common Stock of Schlumberger</w:t>
      </w:r>
    </w:p>
    <w:p>
      <w:pPr>
        <w:spacing w:after="0" w:line="3" w:lineRule="exact"/>
        <w:rPr>
          <w:sz w:val="20"/>
          <w:szCs w:val="20"/>
          <w:color w:val="auto"/>
        </w:rPr>
      </w:pPr>
    </w:p>
    <w:p>
      <w:pPr>
        <w:ind w:right="4099"/>
        <w:spacing w:after="0" w:line="309" w:lineRule="auto"/>
        <w:rPr>
          <w:sz w:val="20"/>
          <w:szCs w:val="20"/>
          <w:color w:val="auto"/>
        </w:rPr>
      </w:pPr>
      <w:r>
        <w:rPr>
          <w:rFonts w:ascii="Courier New" w:cs="Courier New" w:eastAsia="Courier New" w:hAnsi="Courier New"/>
          <w:sz w:val="18"/>
          <w:szCs w:val="18"/>
          <w:color w:val="auto"/>
        </w:rPr>
        <w:t>Limited is more than five percent of the total outstanding Common Stock.</w:t>
      </w:r>
    </w:p>
    <w:p>
      <w:pPr>
        <w:spacing w:after="0" w:line="51"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ind w:right="441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3039" w:firstLine="843"/>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62"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039" w:firstLine="843"/>
        <w:spacing w:after="0" w:line="28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the Common Stock of Schlumberger Limited at December 31, 2001 is true, complete and correct.</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ectPr>
          <w:pgSz w:w="11900" w:h="16838" w:orient="portrait"/>
          <w:cols w:equalWidth="0" w:num="1">
            <w:col w:w="10219"/>
          </w:cols>
          <w:pgMar w:left="24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spacing w:after="0"/>
        <w:rPr>
          <w:sz w:val="20"/>
          <w:szCs w:val="20"/>
          <w:color w:val="auto"/>
        </w:rPr>
      </w:pPr>
      <w:r>
        <w:rPr>
          <w:rFonts w:ascii="Courier New" w:cs="Courier New" w:eastAsia="Courier New" w:hAnsi="Courier New"/>
          <w:sz w:val="18"/>
          <w:szCs w:val="18"/>
          <w:color w:val="auto"/>
        </w:rPr>
        <w:t>of FMR Corp. and its direct 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Fidelity Management &amp; Research Company</w:t>
      </w:r>
    </w:p>
    <w:p>
      <w:pPr>
        <w:spacing w:after="0" w:line="238" w:lineRule="auto"/>
        <w:rPr>
          <w:sz w:val="20"/>
          <w:szCs w:val="20"/>
          <w:color w:val="auto"/>
        </w:rPr>
      </w:pPr>
      <w:r>
        <w:rPr>
          <w:rFonts w:ascii="Courier New" w:cs="Courier New" w:eastAsia="Courier New" w:hAnsi="Courier New"/>
          <w:sz w:val="18"/>
          <w:szCs w:val="18"/>
          <w:color w:val="auto"/>
        </w:rPr>
        <w:t>("Fidelity"), 82 Devonshire Street, Boston, Massachusetts</w:t>
      </w:r>
    </w:p>
    <w:p>
      <w:pPr>
        <w:spacing w:after="0"/>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8" w:lineRule="auto"/>
        <w:rPr>
          <w:sz w:val="20"/>
          <w:szCs w:val="20"/>
          <w:color w:val="auto"/>
        </w:rPr>
      </w:pPr>
      <w:r>
        <w:rPr>
          <w:rFonts w:ascii="Courier New" w:cs="Courier New" w:eastAsia="Courier New" w:hAnsi="Courier New"/>
          <w:sz w:val="18"/>
          <w:szCs w:val="18"/>
          <w:color w:val="auto"/>
        </w:rPr>
        <w:t>40,721,221 shares or 7.073% of the Common Stock</w:t>
      </w:r>
    </w:p>
    <w:p>
      <w:pPr>
        <w:spacing w:after="0"/>
        <w:tabs>
          <w:tab w:leader="none" w:pos="3880" w:val="left"/>
        </w:tabs>
        <w:rPr>
          <w:sz w:val="20"/>
          <w:szCs w:val="20"/>
          <w:color w:val="auto"/>
        </w:rPr>
      </w:pPr>
      <w:r>
        <w:rPr>
          <w:rFonts w:ascii="Courier New" w:cs="Courier New" w:eastAsia="Courier New" w:hAnsi="Courier New"/>
          <w:sz w:val="18"/>
          <w:szCs w:val="18"/>
          <w:color w:val="auto"/>
        </w:rPr>
        <w:t>outstanding of Schlumberger Limited</w:t>
      </w:r>
      <w:r>
        <w:rPr>
          <w:sz w:val="20"/>
          <w:szCs w:val="20"/>
          <w:color w:val="auto"/>
        </w:rPr>
        <w:tab/>
      </w:r>
      <w:r>
        <w:rPr>
          <w:rFonts w:ascii="Courier New" w:cs="Courier New" w:eastAsia="Courier New" w:hAnsi="Courier New"/>
          <w:sz w:val="16"/>
          <w:szCs w:val="16"/>
          <w:color w:val="auto"/>
        </w:rPr>
        <w:t>("the Company") as a</w:t>
      </w:r>
    </w:p>
    <w:p>
      <w:pPr>
        <w:spacing w:after="0" w:line="238" w:lineRule="auto"/>
        <w:rPr>
          <w:sz w:val="20"/>
          <w:szCs w:val="20"/>
          <w:color w:val="auto"/>
        </w:rPr>
      </w:pPr>
      <w:r>
        <w:rPr>
          <w:rFonts w:ascii="Courier New" w:cs="Courier New" w:eastAsia="Courier New" w:hAnsi="Courier New"/>
          <w:sz w:val="18"/>
          <w:szCs w:val="18"/>
          <w:color w:val="auto"/>
        </w:rPr>
        <w:t>result of acting as investment adviser to various investment</w:t>
      </w:r>
    </w:p>
    <w:p>
      <w:pPr>
        <w:spacing w:after="0"/>
        <w:rPr>
          <w:sz w:val="20"/>
          <w:szCs w:val="20"/>
          <w:color w:val="auto"/>
        </w:rPr>
      </w:pPr>
      <w:r>
        <w:rPr>
          <w:rFonts w:ascii="Courier New" w:cs="Courier New" w:eastAsia="Courier New" w:hAnsi="Courier New"/>
          <w:sz w:val="18"/>
          <w:szCs w:val="18"/>
          <w:color w:val="auto"/>
        </w:rPr>
        <w:t>companies registered under Section 8 of the Investment</w:t>
      </w:r>
    </w:p>
    <w:p>
      <w:pPr>
        <w:spacing w:after="0"/>
        <w:rPr>
          <w:sz w:val="20"/>
          <w:szCs w:val="20"/>
          <w:color w:val="auto"/>
        </w:rPr>
      </w:pPr>
      <w:r>
        <w:rPr>
          <w:rFonts w:ascii="Courier New" w:cs="Courier New" w:eastAsia="Courier New" w:hAnsi="Courier New"/>
          <w:sz w:val="18"/>
          <w:szCs w:val="18"/>
          <w:color w:val="auto"/>
        </w:rPr>
        <w:t>Company Act of 1940.</w:t>
      </w:r>
    </w:p>
    <w:p>
      <w:pPr>
        <w:spacing w:after="0" w:line="169" w:lineRule="exact"/>
        <w:rPr>
          <w:sz w:val="20"/>
          <w:szCs w:val="20"/>
          <w:color w:val="auto"/>
        </w:rPr>
      </w:pPr>
    </w:p>
    <w:p>
      <w:pPr>
        <w:ind w:right="4199" w:firstLine="843"/>
        <w:spacing w:after="0" w:line="292"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40,721,221 shares owned by the Funds.</w:t>
      </w:r>
    </w:p>
    <w:p>
      <w:pPr>
        <w:spacing w:after="0" w:line="66" w:lineRule="exact"/>
        <w:rPr>
          <w:sz w:val="20"/>
          <w:szCs w:val="20"/>
          <w:color w:val="auto"/>
        </w:rPr>
      </w:pPr>
    </w:p>
    <w:p>
      <w:pPr>
        <w:ind w:right="3679" w:firstLine="843"/>
        <w:spacing w:after="0" w:line="260"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93" w:lineRule="exact"/>
        <w:rPr>
          <w:sz w:val="20"/>
          <w:szCs w:val="20"/>
          <w:color w:val="auto"/>
        </w:rPr>
      </w:pPr>
    </w:p>
    <w:p>
      <w:pPr>
        <w:ind w:right="3679" w:firstLine="843"/>
        <w:spacing w:after="0" w:line="256"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2,475,998 shares or 0.430% of the Common Stock outstanding of the Company as a result of its serving as investment manager of the institutional account(s).</w:t>
      </w:r>
    </w:p>
    <w:p>
      <w:pPr>
        <w:spacing w:after="0" w:line="9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 of Fidelity Management Trust Company, each has</w:t>
      </w:r>
    </w:p>
    <w:p>
      <w:pPr>
        <w:spacing w:after="0" w:line="238" w:lineRule="auto"/>
        <w:rPr>
          <w:sz w:val="20"/>
          <w:szCs w:val="20"/>
          <w:color w:val="auto"/>
        </w:rPr>
      </w:pPr>
      <w:r>
        <w:rPr>
          <w:rFonts w:ascii="Courier New" w:cs="Courier New" w:eastAsia="Courier New" w:hAnsi="Courier New"/>
          <w:sz w:val="18"/>
          <w:szCs w:val="18"/>
          <w:color w:val="auto"/>
        </w:rPr>
        <w:t>sole dispositive power over 2,475,998 shares and sole power</w:t>
      </w:r>
    </w:p>
    <w:p>
      <w:pPr>
        <w:spacing w:after="0"/>
        <w:rPr>
          <w:sz w:val="20"/>
          <w:szCs w:val="20"/>
          <w:color w:val="auto"/>
        </w:rPr>
      </w:pPr>
      <w:r>
        <w:rPr>
          <w:rFonts w:ascii="Courier New" w:cs="Courier New" w:eastAsia="Courier New" w:hAnsi="Courier New"/>
          <w:sz w:val="18"/>
          <w:szCs w:val="18"/>
          <w:color w:val="auto"/>
        </w:rPr>
        <w:t>to vote or to direct the voting of 2,241,158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234,840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rPr>
          <w:sz w:val="20"/>
          <w:szCs w:val="20"/>
          <w:color w:val="auto"/>
        </w:rPr>
      </w:pPr>
      <w:r>
        <w:rPr>
          <w:rFonts w:ascii="Courier New" w:cs="Courier New" w:eastAsia="Courier New" w:hAnsi="Courier New"/>
          <w:sz w:val="18"/>
          <w:szCs w:val="18"/>
          <w:color w:val="auto"/>
        </w:rPr>
        <w:t>reported above.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ind w:left="860"/>
              <w:spacing w:after="0"/>
              <w:rPr>
                <w:sz w:val="20"/>
                <w:szCs w:val="20"/>
                <w:color w:val="auto"/>
              </w:rPr>
            </w:pPr>
            <w:r>
              <w:rPr>
                <w:rFonts w:ascii="Courier New" w:cs="Courier New" w:eastAsia="Courier New" w:hAnsi="Courier New"/>
                <w:sz w:val="18"/>
                <w:szCs w:val="18"/>
                <w:color w:val="auto"/>
              </w:rPr>
              <w:t>Strategic</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Advisers, Inc.,</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82 Devonshire Street,</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MA 02109,</w:t>
            </w:r>
          </w:p>
        </w:tc>
        <w:tc>
          <w:tcPr>
            <w:tcW w:w="5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wholly-owned subsidiary of FMR</w:t>
            </w:r>
          </w:p>
        </w:tc>
      </w:tr>
      <w:tr>
        <w:trPr>
          <w:trHeight w:val="203"/>
        </w:trPr>
        <w:tc>
          <w:tcPr>
            <w:tcW w:w="6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Corp. and an investment adviser registered under Section 203</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Investment</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Advisers Act of</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1940, provides investment</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services</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individuals.</w:t>
            </w: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It does not have sole power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to vote or direct</w:t>
            </w:r>
          </w:p>
        </w:tc>
        <w:tc>
          <w:tcPr>
            <w:tcW w:w="5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the voting of shares of certain securities held</w:t>
            </w:r>
          </w:p>
        </w:tc>
      </w:tr>
      <w:tr>
        <w:trPr>
          <w:trHeight w:val="203"/>
        </w:trPr>
        <w:tc>
          <w:tcPr>
            <w:tcW w:w="6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clients and has sole dispositive power over such</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securities.  As such, FMR Corp.'s</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beneficial ownership</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includes 8,117 shares, or 0.001%,</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Common Stock</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outstanding</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 Schlumberger</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Limited, beneficially</w:t>
            </w:r>
          </w:p>
        </w:tc>
      </w:tr>
      <w:tr>
        <w:trPr>
          <w:trHeight w:val="296"/>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w w:val="98"/>
              </w:rPr>
              <w:t>owned through Strategic Advisers,</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r>
    </w:tbl>
    <w:p>
      <w:pPr>
        <w:spacing w:after="0" w:line="109" w:lineRule="exact"/>
        <w:rPr>
          <w:sz w:val="20"/>
          <w:szCs w:val="20"/>
          <w:color w:val="auto"/>
        </w:rPr>
      </w:pPr>
    </w:p>
    <w:p>
      <w:pPr>
        <w:ind w:right="4099" w:firstLine="843"/>
        <w:spacing w:after="0" w:line="246"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w:t>
      </w:r>
    </w:p>
    <w:p>
      <w:pPr>
        <w:sectPr>
          <w:pgSz w:w="11900" w:h="16838" w:orient="portrait"/>
          <w:cols w:equalWidth="0" w:num="1">
            <w:col w:w="10219"/>
          </w:cols>
          <w:pgMar w:left="240" w:top="110" w:right="1440" w:bottom="0" w:gutter="0" w:footer="0" w:header="0"/>
        </w:sectPr>
      </w:pPr>
    </w:p>
    <w:bookmarkStart w:id="3" w:name="page4"/>
    <w:bookmarkEnd w:id="3"/>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controlling group with respect to FMR Corp.</w:t>
      </w:r>
    </w:p>
    <w:p>
      <w:pPr>
        <w:spacing w:after="0" w:line="201" w:lineRule="exact"/>
        <w:rPr>
          <w:sz w:val="20"/>
          <w:szCs w:val="20"/>
          <w:color w:val="auto"/>
        </w:rPr>
      </w:pPr>
    </w:p>
    <w:p>
      <w:pPr>
        <w:ind w:right="3999" w:firstLine="843"/>
        <w:spacing w:after="0" w:line="250"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767,142 shares or 0.133%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ind w:right="3459" w:firstLine="843"/>
        <w:spacing w:after="0" w:line="282"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50"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767,142 shares or 0.133% of the Common Stock outstanding of Schlumberger Limited.</w:t>
      </w:r>
    </w:p>
    <w:p>
      <w:pPr>
        <w:spacing w:after="0" w:line="314" w:lineRule="exact"/>
        <w:rPr>
          <w:sz w:val="20"/>
          <w:szCs w:val="20"/>
          <w:color w:val="auto"/>
        </w:rPr>
      </w:pPr>
    </w:p>
    <w:p>
      <w:pPr>
        <w:ind w:right="3479" w:firstLine="843"/>
        <w:spacing w:after="0" w:line="252"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99" w:lineRule="exact"/>
        <w:rPr>
          <w:sz w:val="20"/>
          <w:szCs w:val="20"/>
          <w:color w:val="auto"/>
        </w:rPr>
      </w:pPr>
    </w:p>
    <w:p>
      <w:pPr>
        <w:ind w:right="3899" w:firstLine="843"/>
        <w:spacing w:after="0" w:line="289"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spacing w:after="0" w:line="1"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95"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7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line="238" w:lineRule="auto"/>
        <w:rPr>
          <w:sz w:val="20"/>
          <w:szCs w:val="20"/>
          <w:color w:val="auto"/>
        </w:rPr>
      </w:pPr>
      <w:r>
        <w:rPr>
          <w:rFonts w:ascii="Courier New" w:cs="Courier New" w:eastAsia="Courier New" w:hAnsi="Courier New"/>
          <w:sz w:val="18"/>
          <w:szCs w:val="18"/>
          <w:color w:val="auto"/>
        </w:rPr>
        <w:t>Securities Exchange Act of 1934 (the "1934" Act) and that</w:t>
      </w:r>
    </w:p>
    <w:p>
      <w:pPr>
        <w:spacing w:after="0"/>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8" w:lineRule="auto"/>
        <w:rPr>
          <w:sz w:val="20"/>
          <w:szCs w:val="20"/>
          <w:color w:val="auto"/>
        </w:rPr>
      </w:pPr>
      <w:r>
        <w:rPr>
          <w:rFonts w:ascii="Courier New" w:cs="Courier New" w:eastAsia="Courier New" w:hAnsi="Courier New"/>
          <w:sz w:val="18"/>
          <w:szCs w:val="18"/>
          <w:color w:val="auto"/>
        </w:rPr>
        <w:t>aggregated for purposes of Section 13(d). However, FMR</w:t>
      </w:r>
    </w:p>
    <w:p>
      <w:pPr>
        <w:ind w:right="3359"/>
        <w:spacing w:after="0" w:line="273"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82" w:lineRule="exact"/>
        <w:rPr>
          <w:sz w:val="20"/>
          <w:szCs w:val="20"/>
          <w:color w:val="auto"/>
        </w:rPr>
      </w:pPr>
    </w:p>
    <w:p>
      <w:pPr>
        <w:ind w:right="3579" w:firstLine="843"/>
        <w:spacing w:after="0" w:line="260"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93" w:lineRule="exact"/>
        <w:rPr>
          <w:sz w:val="20"/>
          <w:szCs w:val="20"/>
          <w:color w:val="auto"/>
        </w:rPr>
      </w:pPr>
    </w:p>
    <w:p>
      <w:pPr>
        <w:ind w:right="3679" w:firstLine="843"/>
        <w:spacing w:after="0" w:line="275"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323" w:lineRule="auto"/>
        <w:rPr>
          <w:sz w:val="20"/>
          <w:szCs w:val="20"/>
          <w:color w:val="auto"/>
        </w:rPr>
      </w:pPr>
      <w:r>
        <w:rPr>
          <w:rFonts w:ascii="Courier New" w:cs="Courier New" w:eastAsia="Courier New" w:hAnsi="Courier New"/>
          <w:sz w:val="16"/>
          <w:szCs w:val="16"/>
          <w:color w:val="auto"/>
        </w:rPr>
        <w:t>FIL may determine to cease making additional purchases of shares or to increase or decrease the equity interest in the Company by acquiring additional shares, or by disposing of all</w:t>
      </w:r>
    </w:p>
    <w:p>
      <w:pPr>
        <w:sectPr>
          <w:pgSz w:w="11900" w:h="16875" w:orient="portrait"/>
          <w:cols w:equalWidth="0" w:num="1">
            <w:col w:w="10219"/>
          </w:cols>
          <w:pgMar w:left="24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or a portion of the shares.</w:t>
      </w:r>
    </w:p>
    <w:p>
      <w:pPr>
        <w:spacing w:after="0" w:line="201" w:lineRule="exact"/>
        <w:rPr>
          <w:sz w:val="20"/>
          <w:szCs w:val="20"/>
          <w:color w:val="auto"/>
        </w:rPr>
      </w:pPr>
    </w:p>
    <w:p>
      <w:pPr>
        <w:ind w:right="3679" w:firstLine="843"/>
        <w:spacing w:after="0" w:line="275"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72" w:lineRule="exact"/>
        <w:rPr>
          <w:sz w:val="20"/>
          <w:szCs w:val="20"/>
          <w:color w:val="auto"/>
        </w:rPr>
      </w:pPr>
    </w:p>
    <w:p>
      <w:pPr>
        <w:ind w:right="4199" w:firstLine="843"/>
        <w:spacing w:after="0" w:line="347" w:lineRule="auto"/>
        <w:rPr>
          <w:sz w:val="20"/>
          <w:szCs w:val="20"/>
          <w:color w:val="auto"/>
        </w:rPr>
      </w:pPr>
      <w:r>
        <w:rPr>
          <w:rFonts w:ascii="Courier New" w:cs="Courier New" w:eastAsia="Courier New" w:hAnsi="Courier New"/>
          <w:sz w:val="18"/>
          <w:szCs w:val="18"/>
          <w:color w:val="auto"/>
        </w:rPr>
        <w:t>FIL has sole power to vote and the sole power to dispose of 767,142 shares.</w:t>
      </w: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169" w:lineRule="exact"/>
        <w:rPr>
          <w:sz w:val="20"/>
          <w:szCs w:val="20"/>
          <w:color w:val="auto"/>
        </w:rPr>
      </w:pPr>
    </w:p>
    <w:p>
      <w:pPr>
        <w:ind w:right="3479" w:firstLine="843"/>
        <w:spacing w:after="0" w:line="267" w:lineRule="auto"/>
        <w:rPr>
          <w:sz w:val="20"/>
          <w:szCs w:val="20"/>
          <w:color w:val="auto"/>
        </w:rPr>
      </w:pPr>
      <w:r>
        <w:rPr>
          <w:rFonts w:ascii="Courier New" w:cs="Courier New" w:eastAsia="Courier New" w:hAnsi="Courier New"/>
          <w:sz w:val="18"/>
          <w:szCs w:val="18"/>
          <w:color w:val="auto"/>
        </w:rPr>
        <w:t>The undersigned persons, on February 14, 2002, agree and consent to the joint filing on their behalf of this Schedule 13G in connection with their beneficial ownership of the Common Stock of Schlumberger Limited at December 31, 2001.</w:t>
      </w:r>
    </w:p>
    <w:p>
      <w:pPr>
        <w:spacing w:after="0" w:line="3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Edward C. Johnson 3d</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Abigail P. Johnson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2019-12-11T19:22:16Z</dcterms:created>
  <dcterms:modified xsi:type="dcterms:W3CDTF">2019-12-11T19:22:16Z</dcterms:modified>
</cp:coreProperties>
</file>