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January 18,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ind w:left="1140" w:right="42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January 18, 2012, the Compensation Committee of the Board of Directors of Schlumberger Limited (the “Company”) approved the acceleration of the</w:t>
      </w:r>
    </w:p>
    <w:p>
      <w:pPr>
        <w:spacing w:after="0" w:line="38"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vesting of all unvested stock options held by Andrew Gould that were awarded to him in January 2011, pursuant to the terms of the plan under which the options were issued. As a result, all such options will vest upon Mr. Gould’s retirement as an executive officer of the Company on April 30, 2012, and be exercisable pursuant to the original terms of the award. All of Mr. Gould’s other unvested stock options at his retirement will be forfeited pursuant to the terms of the plans under which they were issued. As previously announced, Mr. Gould will continue to serve as the Chairman of the Board until the Company’s 2012 annual general meeting of stockholders, which is expected to be held in April 2012.</w:t>
      </w:r>
    </w:p>
    <w:p>
      <w:pPr>
        <w:spacing w:after="0" w:line="14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table below provides additional details regarding the effect of the Compensation Committee’s actions on the stock options awarded to Mr. Gould in January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20, 2012:</w:t>
      </w:r>
    </w:p>
    <w:p>
      <w:pPr>
        <w:sectPr>
          <w:pgSz w:w="11900" w:h="16838" w:orient="portrait"/>
          <w:cols w:equalWidth="0" w:num="1">
            <w:col w:w="11420"/>
          </w:cols>
          <w:pgMar w:left="240" w:top="274" w:right="239" w:bottom="1440" w:gutter="0" w:footer="0" w:header="0"/>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8"/>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Award Amount</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Vested</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Unvested</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5820" w:type="dxa"/>
            <w:vAlign w:val="bottom"/>
          </w:tcPr>
          <w:p>
            <w:pPr>
              <w:ind w:left="2600"/>
              <w:spacing w:after="0"/>
              <w:rPr>
                <w:sz w:val="20"/>
                <w:szCs w:val="20"/>
                <w:color w:val="auto"/>
              </w:rPr>
            </w:pPr>
            <w:r>
              <w:rPr>
                <w:rFonts w:ascii="Arial" w:cs="Arial" w:eastAsia="Arial" w:hAnsi="Arial"/>
                <w:sz w:val="14"/>
                <w:szCs w:val="14"/>
                <w:b w:val="1"/>
                <w:bCs w:val="1"/>
                <w:color w:val="auto"/>
              </w:rPr>
              <w:t>Treatment</w:t>
            </w:r>
          </w:p>
        </w:tc>
      </w:tr>
      <w:tr>
        <w:trPr>
          <w:trHeight w:val="208"/>
        </w:trPr>
        <w:tc>
          <w:tcPr>
            <w:tcW w:w="5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Options to purchase 400,000</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shares may be exercised on or</w:t>
            </w:r>
          </w:p>
        </w:tc>
      </w:tr>
      <w:tr>
        <w:trPr>
          <w:trHeight w:val="236"/>
        </w:trPr>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$83.885</w:t>
            </w: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133,333</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266,667</w:t>
            </w:r>
          </w:p>
        </w:tc>
        <w:tc>
          <w:tcPr>
            <w:tcW w:w="22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w w:val="95"/>
              </w:rPr>
              <w:t>400,000</w:t>
            </w:r>
          </w:p>
        </w:tc>
        <w:tc>
          <w:tcPr>
            <w:tcW w:w="2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before April 30,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Value of</w:t>
      </w:r>
    </w:p>
    <w:p>
      <w:pPr>
        <w:jc w:val="center"/>
        <w:spacing w:after="0"/>
        <w:rPr>
          <w:sz w:val="20"/>
          <w:szCs w:val="20"/>
          <w:color w:val="auto"/>
        </w:rPr>
      </w:pPr>
      <w:r>
        <w:rPr>
          <w:rFonts w:ascii="Arial" w:cs="Arial" w:eastAsia="Arial" w:hAnsi="Arial"/>
          <w:sz w:val="11"/>
          <w:szCs w:val="11"/>
          <w:b w:val="1"/>
          <w:bCs w:val="1"/>
          <w:u w:val="single" w:color="auto"/>
          <w:color w:val="auto"/>
        </w:rPr>
        <w:t>Acceleration</w:t>
      </w:r>
      <w:r>
        <w:rPr>
          <w:rFonts w:ascii="Arial" w:cs="Arial" w:eastAsia="Arial" w:hAnsi="Arial"/>
          <w:sz w:val="17"/>
          <w:szCs w:val="17"/>
          <w:b w:val="1"/>
          <w:bCs w:val="1"/>
          <w:u w:val="single" w:color="auto"/>
          <w:color w:val="auto"/>
          <w:vertAlign w:val="superscript"/>
        </w:rPr>
        <w:t>(1)</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0</w:t>
      </w:r>
    </w:p>
    <w:p>
      <w:pPr>
        <w:spacing w:after="0" w:line="211" w:lineRule="exact"/>
        <w:rPr>
          <w:sz w:val="20"/>
          <w:szCs w:val="20"/>
          <w:color w:val="auto"/>
        </w:rPr>
      </w:pPr>
    </w:p>
    <w:p>
      <w:pPr>
        <w:sectPr>
          <w:pgSz w:w="11900" w:h="16838" w:orient="portrait"/>
          <w:cols w:equalWidth="0" w:num="2">
            <w:col w:w="10340" w:space="220"/>
            <w:col w:w="860"/>
          </w:cols>
          <w:pgMar w:left="240" w:top="274" w:right="239" w:bottom="1440" w:gutter="0" w:footer="0" w:header="0"/>
          <w:type w:val="continuous"/>
        </w:sectPr>
      </w:pPr>
    </w:p>
    <w:p>
      <w:pPr>
        <w:ind w:left="460" w:right="14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Based on the closing price of the Company’s shares on the New York Stock Exchange on January 13, 2012, which was $67.99. The amount represents the value of the options that would have been forfeited but for the action of the Compensation Committee.</w:t>
      </w:r>
    </w:p>
    <w:p>
      <w:pPr>
        <w:sectPr>
          <w:pgSz w:w="11900" w:h="16838" w:orient="portrait"/>
          <w:cols w:equalWidth="0" w:num="1">
            <w:col w:w="11420"/>
          </w:cols>
          <w:pgMar w:left="240" w:top="274" w:right="239" w:bottom="1440" w:gutter="0" w:footer="0" w:header="0"/>
          <w:type w:val="continuous"/>
        </w:sectPr>
      </w:pPr>
    </w:p>
    <w:bookmarkStart w:id="2" w:name="page3"/>
    <w:bookmarkEnd w:id="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2012</w:t>
      </w:r>
    </w:p>
    <w:sectPr>
      <w:pgSz w:w="11900" w:h="16838" w:orient="portrait"/>
      <w:cols w:equalWidth="0" w:num="1">
        <w:col w:w="10540"/>
      </w:cols>
      <w:pgMar w:left="2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2019-12-09T07:37:03Z</dcterms:created>
  <dcterms:modified xsi:type="dcterms:W3CDTF">2019-12-09T07:37:03Z</dcterms:modified>
</cp:coreProperties>
</file>