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Kmieciak Agnieszka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41"/>
        <w:gridCol w:w="1221"/>
        <w:gridCol w:w="1126"/>
        <w:gridCol w:w="1329"/>
        <w:gridCol w:w="933"/>
        <w:gridCol w:w="1262"/>
        <w:gridCol w:w="1223"/>
        <w:gridCol w:w="1370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RSU (Restricted Stock Unit)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6,737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 award was granted July 16, 2025 and vests 100% on July 16,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receive, at settlement, one (1)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6496" TargetMode="External"/><Relationship Id="rId3" Type="http://schemas.openxmlformats.org/officeDocument/2006/relationships/hyperlink" Target="http://www.sec.gov/cgi-bin/browse-edgar?action=getcompany&amp;CIK=000008734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442</Words>
  <Characters>2412</Characters>
  <CharactersWithSpaces>2807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